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BE191" w14:textId="67D5E798" w:rsidR="00267ECE" w:rsidRDefault="00267ECE" w:rsidP="00C451DA">
      <w:pPr>
        <w:spacing w:before="100" w:beforeAutospacing="1" w:after="45" w:line="276" w:lineRule="auto"/>
        <w:jc w:val="both"/>
        <w:outlineLvl w:val="1"/>
        <w:rPr>
          <w:rFonts w:ascii="Bernard MT Condensed" w:eastAsia="Times New Roman" w:hAnsi="Bernard MT Condensed" w:cs="Times New Roman"/>
          <w:color w:val="000000" w:themeColor="text1"/>
          <w:kern w:val="36"/>
          <w:sz w:val="28"/>
          <w:szCs w:val="28"/>
          <w:lang w:val="fr-FR" w:eastAsia="fr-FR"/>
        </w:rPr>
      </w:pPr>
      <w:r w:rsidRPr="00B671A8">
        <w:rPr>
          <w:rFonts w:ascii="Bernard MT Condensed" w:hAnsi="Bernard MT Condensed"/>
          <w:color w:val="000000" w:themeColor="text1"/>
          <w:sz w:val="28"/>
          <w:szCs w:val="28"/>
        </w:rPr>
        <w:t xml:space="preserve">ABSTRACT </w:t>
      </w:r>
      <w:r>
        <w:rPr>
          <w:rFonts w:ascii="Bernard MT Condensed" w:hAnsi="Bernard MT Condensed"/>
          <w:color w:val="000000" w:themeColor="text1"/>
          <w:sz w:val="28"/>
          <w:szCs w:val="28"/>
        </w:rPr>
        <w:tab/>
      </w:r>
      <w:r w:rsidRPr="00B671A8">
        <w:rPr>
          <w:rFonts w:ascii="Bernard MT Condensed" w:hAnsi="Bernard MT Condensed"/>
          <w:color w:val="000000" w:themeColor="text1"/>
          <w:sz w:val="28"/>
          <w:szCs w:val="28"/>
        </w:rPr>
        <w:t>« </w:t>
      </w:r>
      <w:hyperlink r:id="rId7" w:history="1">
        <w:r w:rsidRPr="00B671A8">
          <w:rPr>
            <w:rFonts w:ascii="Bernard MT Condensed" w:eastAsia="Times New Roman" w:hAnsi="Bernard MT Condensed" w:cs="Times New Roman"/>
            <w:color w:val="000000" w:themeColor="text1"/>
            <w:kern w:val="36"/>
            <w:sz w:val="28"/>
            <w:szCs w:val="28"/>
            <w:lang w:val="fr-FR" w:eastAsia="fr-FR"/>
          </w:rPr>
          <w:t>Loger les classes populaires dans la ville</w:t>
        </w:r>
      </w:hyperlink>
      <w:r w:rsidRPr="00B671A8">
        <w:rPr>
          <w:rFonts w:ascii="Bernard MT Condensed" w:eastAsia="Times New Roman" w:hAnsi="Bernard MT Condensed" w:cs="Times New Roman"/>
          <w:color w:val="000000" w:themeColor="text1"/>
          <w:kern w:val="36"/>
          <w:sz w:val="28"/>
          <w:szCs w:val="28"/>
          <w:lang w:val="fr-FR" w:eastAsia="fr-FR"/>
        </w:rPr>
        <w:t> »</w:t>
      </w:r>
      <w:r w:rsidR="00DA3D0C">
        <w:rPr>
          <w:rFonts w:ascii="Bernard MT Condensed" w:eastAsia="Times New Roman" w:hAnsi="Bernard MT Condensed" w:cs="Times New Roman"/>
          <w:color w:val="000000" w:themeColor="text1"/>
          <w:kern w:val="36"/>
          <w:sz w:val="28"/>
          <w:szCs w:val="28"/>
          <w:lang w:val="fr-FR" w:eastAsia="fr-FR"/>
        </w:rPr>
        <w:t xml:space="preserve"> : </w:t>
      </w:r>
      <w:r w:rsidR="003E5693">
        <w:rPr>
          <w:rFonts w:ascii="Bernard MT Condensed" w:eastAsia="Times New Roman" w:hAnsi="Bernard MT Condensed" w:cs="Times New Roman"/>
          <w:color w:val="000000" w:themeColor="text1"/>
          <w:kern w:val="36"/>
          <w:sz w:val="28"/>
          <w:szCs w:val="28"/>
          <w:lang w:val="fr-FR" w:eastAsia="fr-FR"/>
        </w:rPr>
        <w:t>le rôle des formes architecturales</w:t>
      </w:r>
      <w:r w:rsidR="00BC2EFD">
        <w:rPr>
          <w:rFonts w:ascii="Bernard MT Condensed" w:eastAsia="Times New Roman" w:hAnsi="Bernard MT Condensed" w:cs="Times New Roman"/>
          <w:color w:val="000000" w:themeColor="text1"/>
          <w:kern w:val="36"/>
          <w:sz w:val="28"/>
          <w:szCs w:val="28"/>
          <w:lang w:val="fr-FR" w:eastAsia="fr-FR"/>
        </w:rPr>
        <w:t> ;</w:t>
      </w:r>
      <w:r w:rsidR="003E5693">
        <w:rPr>
          <w:rFonts w:ascii="Bernard MT Condensed" w:eastAsia="Times New Roman" w:hAnsi="Bernard MT Condensed" w:cs="Times New Roman"/>
          <w:color w:val="000000" w:themeColor="text1"/>
          <w:kern w:val="36"/>
          <w:sz w:val="28"/>
          <w:szCs w:val="28"/>
          <w:lang w:val="fr-FR" w:eastAsia="fr-FR"/>
        </w:rPr>
        <w:t xml:space="preserve"> </w:t>
      </w:r>
      <w:r w:rsidR="00DA3D0C">
        <w:rPr>
          <w:rFonts w:ascii="Bernard MT Condensed" w:eastAsia="Times New Roman" w:hAnsi="Bernard MT Condensed" w:cs="Times New Roman"/>
          <w:color w:val="000000" w:themeColor="text1"/>
          <w:kern w:val="36"/>
          <w:sz w:val="28"/>
          <w:szCs w:val="28"/>
          <w:lang w:val="fr-FR" w:eastAsia="fr-FR"/>
        </w:rPr>
        <w:t>observations en Wallonie autour de l’habitat léger</w:t>
      </w:r>
    </w:p>
    <w:p w14:paraId="77B74DA8" w14:textId="16FF5788" w:rsidR="00934DD0" w:rsidRDefault="00934DD0" w:rsidP="00C451DA">
      <w:pPr>
        <w:spacing w:line="276" w:lineRule="auto"/>
        <w:jc w:val="both"/>
      </w:pPr>
      <w:bookmarkStart w:id="0" w:name="_GoBack"/>
      <w:bookmarkEnd w:id="0"/>
    </w:p>
    <w:p w14:paraId="2CE5B272" w14:textId="55F731BF" w:rsidR="00E01EDB" w:rsidRDefault="004F44D8" w:rsidP="00E01EDB">
      <w:pPr>
        <w:spacing w:line="276" w:lineRule="auto"/>
        <w:jc w:val="both"/>
      </w:pPr>
      <w:r w:rsidRPr="00D847A2">
        <w:rPr>
          <w:i/>
        </w:rPr>
        <w:t>Se donner un toit est une activité humaine universelle</w:t>
      </w:r>
      <w:r>
        <w:rPr>
          <w:rStyle w:val="Appelnotedebasdep"/>
        </w:rPr>
        <w:footnoteReference w:id="1"/>
      </w:r>
      <w:r>
        <w:t>. Depuis la nuit des temps, l’homme s’investi</w:t>
      </w:r>
      <w:r w:rsidR="00D0134C">
        <w:t>t</w:t>
      </w:r>
      <w:r>
        <w:t>, nourri</w:t>
      </w:r>
      <w:r w:rsidR="00D0134C">
        <w:t>t</w:t>
      </w:r>
      <w:r>
        <w:t xml:space="preserve"> et construit son habitat, par ses propres moyens et selon ses besoins. </w:t>
      </w:r>
      <w:r w:rsidR="008543B4">
        <w:t>D’autre part, l’Architecture était uniquement réservée à la noblesse</w:t>
      </w:r>
      <w:r w:rsidR="003105F1">
        <w:t xml:space="preserve"> et à l’église</w:t>
      </w:r>
      <w:r w:rsidR="008543B4">
        <w:t>, jusqu’au</w:t>
      </w:r>
      <w:r w:rsidR="00D0134C">
        <w:t>x</w:t>
      </w:r>
      <w:r w:rsidR="008543B4">
        <w:t xml:space="preserve"> premières œuvres d’architectes révolutionnaires comme Ledoux. A</w:t>
      </w:r>
      <w:r>
        <w:t>vec l’avènement du logement ouvrier</w:t>
      </w:r>
      <w:r w:rsidR="00C451DA">
        <w:t xml:space="preserve"> (19</w:t>
      </w:r>
      <w:r w:rsidR="00C451DA" w:rsidRPr="00C451DA">
        <w:rPr>
          <w:vertAlign w:val="superscript"/>
        </w:rPr>
        <w:t>e</w:t>
      </w:r>
      <w:r w:rsidR="00C451DA">
        <w:t>)</w:t>
      </w:r>
      <w:r>
        <w:t xml:space="preserve"> </w:t>
      </w:r>
      <w:r w:rsidR="008543B4">
        <w:t>commandité par les patrons ou l’état</w:t>
      </w:r>
      <w:r w:rsidR="004B64EB">
        <w:t>,</w:t>
      </w:r>
      <w:r w:rsidR="008543B4">
        <w:t xml:space="preserve"> </w:t>
      </w:r>
      <w:r w:rsidR="003105F1">
        <w:t xml:space="preserve">suivi </w:t>
      </w:r>
      <w:r>
        <w:t xml:space="preserve">de la construction </w:t>
      </w:r>
      <w:r w:rsidR="003105F1">
        <w:t xml:space="preserve">standardisée </w:t>
      </w:r>
      <w:r w:rsidR="004B64EB">
        <w:t>prônée par les</w:t>
      </w:r>
      <w:r w:rsidR="008543B4">
        <w:t xml:space="preserve"> C</w:t>
      </w:r>
      <w:r w:rsidR="004B64EB">
        <w:t>ongrès Internationaux d’</w:t>
      </w:r>
      <w:r w:rsidR="008543B4">
        <w:t>A</w:t>
      </w:r>
      <w:r w:rsidR="004B64EB">
        <w:t xml:space="preserve">rchitecture </w:t>
      </w:r>
      <w:r w:rsidR="008543B4">
        <w:t>M</w:t>
      </w:r>
      <w:r w:rsidR="004B64EB">
        <w:t>oderne</w:t>
      </w:r>
      <w:r w:rsidR="00C451DA">
        <w:t xml:space="preserve"> (20</w:t>
      </w:r>
      <w:r w:rsidR="00C451DA" w:rsidRPr="00C451DA">
        <w:rPr>
          <w:vertAlign w:val="superscript"/>
        </w:rPr>
        <w:t>e</w:t>
      </w:r>
      <w:r w:rsidR="00C451DA">
        <w:t>)</w:t>
      </w:r>
      <w:r>
        <w:t xml:space="preserve">, </w:t>
      </w:r>
      <w:r w:rsidR="00222FDC" w:rsidRPr="00222FDC">
        <w:rPr>
          <w:i/>
        </w:rPr>
        <w:t>la liberté de construire</w:t>
      </w:r>
      <w:r w:rsidRPr="00222FDC">
        <w:rPr>
          <w:i/>
        </w:rPr>
        <w:t xml:space="preserve"> </w:t>
      </w:r>
      <w:r w:rsidR="00222FDC">
        <w:t xml:space="preserve">fait place à l’industrialisation massive du logement, ce que rejette dès </w:t>
      </w:r>
      <w:r w:rsidR="009E21E6">
        <w:t>les années 60</w:t>
      </w:r>
      <w:r w:rsidR="00222FDC">
        <w:t xml:space="preserve">, JFC Turner, </w:t>
      </w:r>
      <w:r w:rsidR="00222FDC" w:rsidRPr="00222FDC">
        <w:rPr>
          <w:i/>
        </w:rPr>
        <w:t xml:space="preserve">architecte </w:t>
      </w:r>
      <w:r w:rsidR="00D0134C">
        <w:rPr>
          <w:i/>
        </w:rPr>
        <w:t>"</w:t>
      </w:r>
      <w:r w:rsidR="00222FDC" w:rsidRPr="00222FDC">
        <w:rPr>
          <w:i/>
        </w:rPr>
        <w:t>anti-big social housing projects</w:t>
      </w:r>
      <w:r w:rsidR="00D0134C">
        <w:rPr>
          <w:i/>
        </w:rPr>
        <w:t>"</w:t>
      </w:r>
      <w:r w:rsidR="00222FDC">
        <w:rPr>
          <w:i/>
        </w:rPr>
        <w:t>.</w:t>
      </w:r>
      <w:r w:rsidR="00D87BFB">
        <w:rPr>
          <w:rStyle w:val="Appelnotedebasdep"/>
          <w:i/>
        </w:rPr>
        <w:footnoteReference w:id="2"/>
      </w:r>
      <w:r w:rsidR="00D87BFB">
        <w:rPr>
          <w:i/>
        </w:rPr>
        <w:t xml:space="preserve"> </w:t>
      </w:r>
      <w:r w:rsidR="00D87BFB">
        <w:t xml:space="preserve">De cette manière, non seulement </w:t>
      </w:r>
      <w:r w:rsidR="00CC7C39">
        <w:t xml:space="preserve">le pouvoir décisionnel passe aux mains des dirigeants par un système centro-administré – qui sous-entend que les gouvernants ont une </w:t>
      </w:r>
      <w:r w:rsidR="00C451DA">
        <w:t>connaissance</w:t>
      </w:r>
      <w:r w:rsidR="00CC7C39">
        <w:t xml:space="preserve"> </w:t>
      </w:r>
      <w:r w:rsidR="00250F65">
        <w:t>suffisante</w:t>
      </w:r>
      <w:r w:rsidR="00CC7C39">
        <w:t xml:space="preserve"> </w:t>
      </w:r>
      <w:r w:rsidR="00C451DA">
        <w:t>des</w:t>
      </w:r>
      <w:r w:rsidR="00CC7C39">
        <w:t xml:space="preserve"> besoins des usagers - , mais le logement se transforme </w:t>
      </w:r>
      <w:r w:rsidR="00E22A33">
        <w:t xml:space="preserve">aussi </w:t>
      </w:r>
      <w:r w:rsidR="00CC7C39">
        <w:t>en bien de consommation</w:t>
      </w:r>
      <w:r w:rsidR="00C451DA">
        <w:t xml:space="preserve">. </w:t>
      </w:r>
      <w:r w:rsidR="00A910B8">
        <w:t xml:space="preserve">Ce système de fonctionnement </w:t>
      </w:r>
      <w:r w:rsidR="00E22A33">
        <w:t>s’</w:t>
      </w:r>
      <w:r w:rsidR="00A910B8">
        <w:t>affaibli</w:t>
      </w:r>
      <w:r w:rsidR="00E22A33">
        <w:t>t</w:t>
      </w:r>
      <w:r w:rsidR="00754D91">
        <w:t xml:space="preserve"> au fil du temps</w:t>
      </w:r>
      <w:r w:rsidR="00A910B8">
        <w:t>.</w:t>
      </w:r>
      <w:r w:rsidR="00754D91">
        <w:t xml:space="preserve"> </w:t>
      </w:r>
      <w:r w:rsidR="00E01EDB">
        <w:t>Les pouvoirs sociaux n’arrivant pas à maintenir le rythme en terme</w:t>
      </w:r>
      <w:r w:rsidR="00D0134C">
        <w:t>s</w:t>
      </w:r>
      <w:r w:rsidR="00E01EDB">
        <w:t xml:space="preserve"> d’offre, </w:t>
      </w:r>
      <w:r w:rsidR="00E22A33">
        <w:t xml:space="preserve">la pénurie de </w:t>
      </w:r>
      <w:r w:rsidR="00E01EDB">
        <w:t>logements</w:t>
      </w:r>
      <w:r w:rsidR="00E22A33">
        <w:t xml:space="preserve"> accessible</w:t>
      </w:r>
      <w:r w:rsidR="009E21E6">
        <w:t>s</w:t>
      </w:r>
      <w:r w:rsidR="00E22A33">
        <w:t xml:space="preserve"> aux classes populaires</w:t>
      </w:r>
      <w:r w:rsidR="009E21E6">
        <w:t xml:space="preserve"> (et</w:t>
      </w:r>
      <w:r w:rsidR="00E22A33">
        <w:t xml:space="preserve"> maintenant à la classe moyenne</w:t>
      </w:r>
      <w:r w:rsidR="009E21E6">
        <w:t>)</w:t>
      </w:r>
      <w:r w:rsidR="00E01EDB">
        <w:t xml:space="preserve"> pousse la population </w:t>
      </w:r>
      <w:r w:rsidR="003105F1">
        <w:t>à</w:t>
      </w:r>
      <w:r w:rsidR="00E01EDB">
        <w:t xml:space="preserve"> trouver des solutions autres pour se loger</w:t>
      </w:r>
      <w:r w:rsidR="003105F1">
        <w:t>. Problème d’autant plus</w:t>
      </w:r>
      <w:r w:rsidR="00E01EDB">
        <w:t xml:space="preserve"> </w:t>
      </w:r>
      <w:r w:rsidR="003105F1">
        <w:t xml:space="preserve">complexe que : </w:t>
      </w:r>
      <w:r w:rsidR="00E01EDB">
        <w:t>des règlementations urbanistiques menace</w:t>
      </w:r>
      <w:r w:rsidR="003105F1">
        <w:t>nt</w:t>
      </w:r>
      <w:r w:rsidR="00E01EDB">
        <w:t xml:space="preserve"> le droit au logement</w:t>
      </w:r>
      <w:r w:rsidR="003105F1">
        <w:t> ;</w:t>
      </w:r>
      <w:r w:rsidR="00E01EDB">
        <w:t xml:space="preserve"> l’augmentation du co</w:t>
      </w:r>
      <w:r w:rsidR="00151C01">
        <w:t>û</w:t>
      </w:r>
      <w:r w:rsidR="00E01EDB">
        <w:t xml:space="preserve">t de l’immobilier rend difficile le statut de propriétaire ; </w:t>
      </w:r>
      <w:r w:rsidR="006D3E1B">
        <w:t>la part importante des revenus alloué</w:t>
      </w:r>
      <w:r w:rsidR="00E22A33">
        <w:t>s</w:t>
      </w:r>
      <w:r w:rsidR="006D3E1B">
        <w:t xml:space="preserve"> à l’habitation diminue les ressources des ménages ; la population se précarise et sait de moins en moins se loger. </w:t>
      </w:r>
    </w:p>
    <w:p w14:paraId="3F7F58AE" w14:textId="7643BC0F" w:rsidR="003E5693" w:rsidRDefault="003E5693" w:rsidP="00C451DA">
      <w:pPr>
        <w:spacing w:line="276" w:lineRule="auto"/>
        <w:jc w:val="both"/>
      </w:pPr>
    </w:p>
    <w:p w14:paraId="327A038C" w14:textId="77777777" w:rsidR="00CD24FE" w:rsidRDefault="00C91EA6" w:rsidP="00CD24FE">
      <w:pPr>
        <w:keepNext/>
        <w:spacing w:line="276" w:lineRule="auto"/>
        <w:jc w:val="both"/>
      </w:pPr>
      <w:r>
        <w:rPr>
          <w:i/>
          <w:noProof/>
          <w:lang w:val="fr-FR" w:eastAsia="fr-FR"/>
        </w:rPr>
        <w:drawing>
          <wp:inline distT="0" distB="0" distL="0" distR="0" wp14:anchorId="3AE94B20" wp14:editId="4F99E795">
            <wp:extent cx="5793772" cy="10795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ne du temp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54" r="6526" b="37684"/>
                    <a:stretch/>
                  </pic:blipFill>
                  <pic:spPr bwMode="auto">
                    <a:xfrm>
                      <a:off x="0" y="0"/>
                      <a:ext cx="5801632" cy="1080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552C8" w14:textId="0C0AC9A5" w:rsidR="00C91EA6" w:rsidRDefault="00CD24FE" w:rsidP="00CD24FE">
      <w:pPr>
        <w:pStyle w:val="Lgende"/>
        <w:jc w:val="both"/>
        <w:rPr>
          <w:i w:val="0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</w:t>
      </w:r>
      <w:r w:rsidRPr="00CB323B">
        <w:t xml:space="preserve"> L’évolution de la liberté de construire bien décrite par Ragon (L'Architecte, le Prince et la Démocratie, 1977) est ici adaptée à des constats plus récent.</w:t>
      </w:r>
    </w:p>
    <w:p w14:paraId="02FB79DD" w14:textId="2071B26A" w:rsidR="00C451DA" w:rsidRDefault="004F44D8" w:rsidP="00C451DA">
      <w:pPr>
        <w:spacing w:line="276" w:lineRule="auto"/>
        <w:jc w:val="both"/>
        <w:rPr>
          <w:noProof/>
        </w:rPr>
      </w:pPr>
      <w:r>
        <w:t xml:space="preserve">On voit fleurir </w:t>
      </w:r>
      <w:r w:rsidR="00DC6DFF">
        <w:t xml:space="preserve">en Belgique </w:t>
      </w:r>
      <w:r>
        <w:t>depuis les année</w:t>
      </w:r>
      <w:r w:rsidR="00D0134C">
        <w:t>s</w:t>
      </w:r>
      <w:r>
        <w:t xml:space="preserve"> 70’ des alternatives au logement social</w:t>
      </w:r>
      <w:r w:rsidR="00E22A33">
        <w:t xml:space="preserve"> (appelé actuellement logement public)</w:t>
      </w:r>
      <w:r>
        <w:t xml:space="preserve">. </w:t>
      </w:r>
      <w:r w:rsidR="00C451DA" w:rsidRPr="00190841">
        <w:rPr>
          <w:noProof/>
        </w:rPr>
        <w:t>Non seulement pour répondre à la demande croissante</w:t>
      </w:r>
      <w:r w:rsidR="00C451DA">
        <w:rPr>
          <w:noProof/>
        </w:rPr>
        <w:t xml:space="preserve"> en terme</w:t>
      </w:r>
      <w:r w:rsidR="00E22A33">
        <w:rPr>
          <w:noProof/>
        </w:rPr>
        <w:t>s</w:t>
      </w:r>
      <w:r w:rsidR="00C451DA">
        <w:rPr>
          <w:noProof/>
        </w:rPr>
        <w:t xml:space="preserve"> de logement</w:t>
      </w:r>
      <w:r w:rsidR="00E22A33">
        <w:rPr>
          <w:noProof/>
        </w:rPr>
        <w:t>s</w:t>
      </w:r>
      <w:r w:rsidR="00C451DA" w:rsidRPr="00190841">
        <w:rPr>
          <w:noProof/>
        </w:rPr>
        <w:t xml:space="preserve">, mais également pour offrir plus d’alternatives à la manière de « se loger » traditionnelle. </w:t>
      </w:r>
      <w:r w:rsidR="00250F65">
        <w:rPr>
          <w:noProof/>
        </w:rPr>
        <w:t>Maisons-</w:t>
      </w:r>
      <w:r w:rsidR="00C451DA">
        <w:rPr>
          <w:noProof/>
        </w:rPr>
        <w:t xml:space="preserve">containers, habitat kangourou, habitat groupé, tiny houses, yourtes, constructions légères en bois, caravanes... </w:t>
      </w:r>
      <w:r w:rsidR="00C451DA" w:rsidRPr="00190841">
        <w:rPr>
          <w:noProof/>
        </w:rPr>
        <w:t xml:space="preserve"> se multiplient aujourd’hui</w:t>
      </w:r>
      <w:r w:rsidR="006D3E1B">
        <w:rPr>
          <w:noProof/>
        </w:rPr>
        <w:t xml:space="preserve"> et vont de pair avec les changements en terme</w:t>
      </w:r>
      <w:r w:rsidR="00E22A33">
        <w:rPr>
          <w:noProof/>
        </w:rPr>
        <w:t>s</w:t>
      </w:r>
      <w:r w:rsidR="006D3E1B">
        <w:rPr>
          <w:noProof/>
        </w:rPr>
        <w:t xml:space="preserve"> de besoins sociaux</w:t>
      </w:r>
      <w:r w:rsidR="00C451DA" w:rsidRPr="00190841">
        <w:rPr>
          <w:noProof/>
        </w:rPr>
        <w:t xml:space="preserve">. </w:t>
      </w:r>
      <w:r w:rsidR="00250F65">
        <w:rPr>
          <w:noProof/>
        </w:rPr>
        <w:t>Ces</w:t>
      </w:r>
      <w:r w:rsidR="00C451DA">
        <w:rPr>
          <w:noProof/>
        </w:rPr>
        <w:t xml:space="preserve"> solution</w:t>
      </w:r>
      <w:r w:rsidR="00250F65">
        <w:rPr>
          <w:noProof/>
        </w:rPr>
        <w:t>s</w:t>
      </w:r>
      <w:r w:rsidR="00C451DA">
        <w:rPr>
          <w:noProof/>
        </w:rPr>
        <w:t xml:space="preserve"> </w:t>
      </w:r>
      <w:r w:rsidR="00250F65">
        <w:rPr>
          <w:noProof/>
        </w:rPr>
        <w:t>sont</w:t>
      </w:r>
      <w:r w:rsidR="00C451DA">
        <w:rPr>
          <w:noProof/>
        </w:rPr>
        <w:t xml:space="preserve"> utilisée</w:t>
      </w:r>
      <w:r w:rsidR="00250F65">
        <w:rPr>
          <w:noProof/>
        </w:rPr>
        <w:t>s</w:t>
      </w:r>
      <w:r w:rsidR="00C451DA">
        <w:rPr>
          <w:noProof/>
        </w:rPr>
        <w:t xml:space="preserve"> tant</w:t>
      </w:r>
      <w:r w:rsidR="00D0134C">
        <w:rPr>
          <w:noProof/>
        </w:rPr>
        <w:t>ô</w:t>
      </w:r>
      <w:r w:rsidR="00C451DA">
        <w:rPr>
          <w:noProof/>
        </w:rPr>
        <w:t>t comme transitoire</w:t>
      </w:r>
      <w:r w:rsidR="00D0134C">
        <w:rPr>
          <w:noProof/>
        </w:rPr>
        <w:t>s</w:t>
      </w:r>
      <w:r w:rsidR="00C451DA">
        <w:rPr>
          <w:noProof/>
        </w:rPr>
        <w:t>, tant</w:t>
      </w:r>
      <w:r w:rsidR="00D0134C">
        <w:rPr>
          <w:noProof/>
        </w:rPr>
        <w:t>ô</w:t>
      </w:r>
      <w:r w:rsidR="00C451DA">
        <w:rPr>
          <w:noProof/>
        </w:rPr>
        <w:t>t comme l’occasion de changer son mode de vie. Cette réponse étant dans tous les cas, pour chaque personne qui l’adopte une réponse à la hauteur de leur besoin.</w:t>
      </w:r>
      <w:r w:rsidR="00DC6DFF">
        <w:rPr>
          <w:noProof/>
        </w:rPr>
        <w:t xml:space="preserve"> </w:t>
      </w:r>
    </w:p>
    <w:p w14:paraId="047EBA7A" w14:textId="720EBBA8" w:rsidR="00E01EDB" w:rsidRDefault="00E01EDB" w:rsidP="00C451DA">
      <w:pPr>
        <w:spacing w:line="276" w:lineRule="auto"/>
        <w:jc w:val="both"/>
        <w:rPr>
          <w:noProof/>
        </w:rPr>
      </w:pPr>
      <w:r w:rsidRPr="00E01EDB">
        <w:rPr>
          <w:noProof/>
        </w:rPr>
        <w:t xml:space="preserve">Le questionnement initial </w:t>
      </w:r>
      <w:r w:rsidR="00E22A33">
        <w:rPr>
          <w:noProof/>
        </w:rPr>
        <w:t xml:space="preserve">émerge de l’observation de </w:t>
      </w:r>
      <w:r w:rsidRPr="00E01EDB">
        <w:rPr>
          <w:noProof/>
        </w:rPr>
        <w:t xml:space="preserve">l’essor de l’habitat </w:t>
      </w:r>
      <w:r>
        <w:rPr>
          <w:noProof/>
        </w:rPr>
        <w:t>alternatif</w:t>
      </w:r>
      <w:r w:rsidRPr="00E01EDB">
        <w:rPr>
          <w:noProof/>
        </w:rPr>
        <w:t xml:space="preserve"> </w:t>
      </w:r>
      <w:r>
        <w:rPr>
          <w:noProof/>
        </w:rPr>
        <w:t xml:space="preserve">innovant </w:t>
      </w:r>
      <w:r w:rsidRPr="00E01EDB">
        <w:rPr>
          <w:noProof/>
        </w:rPr>
        <w:t xml:space="preserve">en </w:t>
      </w:r>
      <w:r>
        <w:rPr>
          <w:noProof/>
        </w:rPr>
        <w:t xml:space="preserve">Belgique, et notamment l’habitat léger, de plus en plus présent sur le territoire, </w:t>
      </w:r>
      <w:r w:rsidRPr="00E01EDB">
        <w:rPr>
          <w:noProof/>
        </w:rPr>
        <w:t xml:space="preserve">malgré son </w:t>
      </w:r>
      <w:r>
        <w:rPr>
          <w:noProof/>
        </w:rPr>
        <w:t xml:space="preserve">caractère </w:t>
      </w:r>
      <w:r>
        <w:rPr>
          <w:noProof/>
        </w:rPr>
        <w:lastRenderedPageBreak/>
        <w:t>illégal</w:t>
      </w:r>
      <w:r w:rsidRPr="00E01EDB">
        <w:rPr>
          <w:noProof/>
        </w:rPr>
        <w:t>.</w:t>
      </w:r>
      <w:r w:rsidR="006D3E1B">
        <w:rPr>
          <w:noProof/>
        </w:rPr>
        <w:t xml:space="preserve"> Certes hors du système et des lois, il continue de se développer ; à l’heure actuelle 15000 personnes </w:t>
      </w:r>
      <w:r w:rsidR="009E21E6">
        <w:rPr>
          <w:noProof/>
        </w:rPr>
        <w:t xml:space="preserve">vivraient </w:t>
      </w:r>
      <w:r w:rsidR="006D3E1B">
        <w:rPr>
          <w:noProof/>
        </w:rPr>
        <w:t xml:space="preserve">en habitat léger en </w:t>
      </w:r>
      <w:r w:rsidR="00E22A33">
        <w:rPr>
          <w:noProof/>
        </w:rPr>
        <w:t>Belgique.</w:t>
      </w:r>
      <w:r w:rsidR="006D3E1B">
        <w:rPr>
          <w:rStyle w:val="Appelnotedebasdep"/>
          <w:noProof/>
        </w:rPr>
        <w:footnoteReference w:id="3"/>
      </w:r>
      <w:r w:rsidR="004F78FB">
        <w:rPr>
          <w:noProof/>
        </w:rPr>
        <w:t xml:space="preserve"> Ne correspondrait-il pas mieux aux besoins de la société actuelle ?</w:t>
      </w:r>
    </w:p>
    <w:p w14:paraId="0CC48DBA" w14:textId="4D3A37E5" w:rsidR="00DC6DFF" w:rsidRDefault="00E22A33" w:rsidP="00C451DA">
      <w:pPr>
        <w:spacing w:line="276" w:lineRule="auto"/>
        <w:jc w:val="both"/>
        <w:rPr>
          <w:i/>
          <w:noProof/>
        </w:rPr>
      </w:pPr>
      <w:r>
        <w:rPr>
          <w:noProof/>
        </w:rPr>
        <w:t xml:space="preserve">Ce champ d’observation apparait symptomatique des changements sociaux en cours actuellement. </w:t>
      </w:r>
      <w:r w:rsidR="00DC6DFF">
        <w:rPr>
          <w:noProof/>
        </w:rPr>
        <w:t>L’habitat spontané, développé par Turner</w:t>
      </w:r>
      <w:r w:rsidR="00DC6DFF" w:rsidRPr="00E01EDB">
        <w:rPr>
          <w:vertAlign w:val="superscript"/>
        </w:rPr>
        <w:footnoteReference w:id="4"/>
      </w:r>
      <w:r w:rsidR="006D3E1B">
        <w:rPr>
          <w:noProof/>
        </w:rPr>
        <w:t xml:space="preserve"> dans les années 70’</w:t>
      </w:r>
      <w:r w:rsidR="00DC6DFF">
        <w:rPr>
          <w:noProof/>
        </w:rPr>
        <w:t>, montre le bénéfice d’une autonomie locale, basé sur trois règles : un contrôle décisionnel et/ou une contribution apportée à la conception,</w:t>
      </w:r>
      <w:r>
        <w:rPr>
          <w:noProof/>
        </w:rPr>
        <w:t xml:space="preserve"> </w:t>
      </w:r>
      <w:r w:rsidR="00DC6DFF">
        <w:rPr>
          <w:noProof/>
        </w:rPr>
        <w:t>construction, gestion par les usagers ; l’impact « fait » par le logement sur les usagers plutôt que ce qu’il « est »</w:t>
      </w:r>
      <w:r w:rsidR="00250F65">
        <w:rPr>
          <w:noProof/>
        </w:rPr>
        <w:t xml:space="preserve"> ou que ce qu’il « parait »</w:t>
      </w:r>
      <w:r w:rsidR="00DC6DFF">
        <w:rPr>
          <w:noProof/>
        </w:rPr>
        <w:t xml:space="preserve"> ; l’implication des usagers leur permettant de mieux </w:t>
      </w:r>
      <w:r w:rsidR="00250F65">
        <w:rPr>
          <w:noProof/>
        </w:rPr>
        <w:t xml:space="preserve">supporter </w:t>
      </w:r>
      <w:r w:rsidR="00DC6DFF" w:rsidRPr="00DC6DFF">
        <w:rPr>
          <w:noProof/>
        </w:rPr>
        <w:t>les défauts de leur propre logement s’ils en sont responsable</w:t>
      </w:r>
      <w:r w:rsidR="00D0134C">
        <w:rPr>
          <w:noProof/>
        </w:rPr>
        <w:t>s</w:t>
      </w:r>
      <w:r w:rsidR="00DC6DFF" w:rsidRPr="00DC6DFF">
        <w:rPr>
          <w:noProof/>
        </w:rPr>
        <w:t xml:space="preserve"> et non si la faute incombe à </w:t>
      </w:r>
      <w:r w:rsidR="00250F65">
        <w:rPr>
          <w:noProof/>
        </w:rPr>
        <w:t>un tier</w:t>
      </w:r>
      <w:r w:rsidR="00D0134C">
        <w:rPr>
          <w:noProof/>
        </w:rPr>
        <w:t>s</w:t>
      </w:r>
      <w:r w:rsidR="00DC6DFF">
        <w:rPr>
          <w:noProof/>
        </w:rPr>
        <w:t>. En somme, l’habitat est l’</w:t>
      </w:r>
      <w:r w:rsidR="00250F65">
        <w:rPr>
          <w:noProof/>
        </w:rPr>
        <w:t xml:space="preserve">affaire de la population ; </w:t>
      </w:r>
      <w:r w:rsidR="00D51600">
        <w:rPr>
          <w:noProof/>
        </w:rPr>
        <w:t>« </w:t>
      </w:r>
      <w:r w:rsidR="00250F65" w:rsidRPr="00250F65">
        <w:rPr>
          <w:i/>
          <w:noProof/>
        </w:rPr>
        <w:t>la</w:t>
      </w:r>
      <w:r w:rsidR="00250F65">
        <w:rPr>
          <w:noProof/>
        </w:rPr>
        <w:t xml:space="preserve"> </w:t>
      </w:r>
      <w:r w:rsidR="00250F65" w:rsidRPr="00250F65">
        <w:rPr>
          <w:i/>
          <w:noProof/>
        </w:rPr>
        <w:t>réalisation des exigences en matière de logement dépend</w:t>
      </w:r>
      <w:r w:rsidR="00250F65">
        <w:rPr>
          <w:i/>
          <w:noProof/>
        </w:rPr>
        <w:t>ant</w:t>
      </w:r>
      <w:r w:rsidR="00250F65" w:rsidRPr="00250F65">
        <w:rPr>
          <w:i/>
          <w:noProof/>
        </w:rPr>
        <w:t xml:space="preserve"> primordialement de l’expérience (le passé) et des attentes (le futur) des ménages, et de la volonté qui en découle d’investir des ressources dont ils ont, seuls, le contrôle</w:t>
      </w:r>
      <w:r w:rsidR="003105F1">
        <w:rPr>
          <w:i/>
          <w:noProof/>
        </w:rPr>
        <w:t>.</w:t>
      </w:r>
      <w:r w:rsidR="00250F65">
        <w:rPr>
          <w:rStyle w:val="Appelnotedebasdep"/>
          <w:noProof/>
        </w:rPr>
        <w:footnoteReference w:id="5"/>
      </w:r>
      <w:r w:rsidR="00D51600">
        <w:rPr>
          <w:i/>
          <w:noProof/>
        </w:rPr>
        <w:t> »</w:t>
      </w:r>
    </w:p>
    <w:p w14:paraId="6B7DD3E7" w14:textId="4077E0C1" w:rsidR="006D3E1B" w:rsidRDefault="006D3E1B" w:rsidP="006D3E1B">
      <w:pPr>
        <w:spacing w:line="276" w:lineRule="auto"/>
        <w:jc w:val="both"/>
        <w:rPr>
          <w:noProof/>
        </w:rPr>
      </w:pPr>
      <w:r>
        <w:rPr>
          <w:noProof/>
        </w:rPr>
        <w:t xml:space="preserve">Si JFC TURNER </w:t>
      </w:r>
      <w:r w:rsidRPr="006D3E1B">
        <w:rPr>
          <w:noProof/>
        </w:rPr>
        <w:t>démontre déjà dans les années 70</w:t>
      </w:r>
      <w:r>
        <w:rPr>
          <w:noProof/>
        </w:rPr>
        <w:t>’</w:t>
      </w:r>
      <w:r w:rsidRPr="006D3E1B">
        <w:rPr>
          <w:noProof/>
        </w:rPr>
        <w:t xml:space="preserve"> la capacité d’amélioration de la qualité de vie de l’habitat spontané dans le</w:t>
      </w:r>
      <w:r w:rsidR="009C475B">
        <w:rPr>
          <w:noProof/>
        </w:rPr>
        <w:t xml:space="preserve">s pays en voie de développement, </w:t>
      </w:r>
      <w:r w:rsidR="00E22A33">
        <w:rPr>
          <w:noProof/>
        </w:rPr>
        <w:t xml:space="preserve">la contribution montre le développement de ce phénomène au </w:t>
      </w:r>
      <w:r w:rsidR="003105F1">
        <w:rPr>
          <w:noProof/>
        </w:rPr>
        <w:t>milieu</w:t>
      </w:r>
      <w:r w:rsidR="00E22A33">
        <w:rPr>
          <w:noProof/>
        </w:rPr>
        <w:t xml:space="preserve"> de l’Europe et voit y </w:t>
      </w:r>
      <w:r w:rsidR="009E21E6">
        <w:rPr>
          <w:noProof/>
        </w:rPr>
        <w:t>participer</w:t>
      </w:r>
      <w:r w:rsidR="00E22A33">
        <w:rPr>
          <w:noProof/>
        </w:rPr>
        <w:t xml:space="preserve"> non seulement des personnes précarisées</w:t>
      </w:r>
      <w:r w:rsidR="00DA3D0C">
        <w:rPr>
          <w:noProof/>
        </w:rPr>
        <w:t xml:space="preserve"> contrainte</w:t>
      </w:r>
      <w:r w:rsidR="009E21E6">
        <w:rPr>
          <w:noProof/>
        </w:rPr>
        <w:t>s</w:t>
      </w:r>
      <w:r w:rsidR="00DA3D0C">
        <w:rPr>
          <w:noProof/>
        </w:rPr>
        <w:t xml:space="preserve"> à une architecture minimale</w:t>
      </w:r>
      <w:r w:rsidR="003105F1">
        <w:rPr>
          <w:noProof/>
        </w:rPr>
        <w:t xml:space="preserve"> (identifiées </w:t>
      </w:r>
      <w:r w:rsidR="00D0134C">
        <w:rPr>
          <w:noProof/>
        </w:rPr>
        <w:t>pa</w:t>
      </w:r>
      <w:r w:rsidR="003105F1">
        <w:rPr>
          <w:noProof/>
        </w:rPr>
        <w:t>r Turner)</w:t>
      </w:r>
      <w:r w:rsidR="00E22A33">
        <w:rPr>
          <w:noProof/>
        </w:rPr>
        <w:t>, mais</w:t>
      </w:r>
      <w:r w:rsidR="00DA3D0C">
        <w:rPr>
          <w:noProof/>
        </w:rPr>
        <w:t xml:space="preserve"> aussi des classes choisissant un</w:t>
      </w:r>
      <w:r w:rsidR="004F78FB">
        <w:rPr>
          <w:noProof/>
        </w:rPr>
        <w:t>e</w:t>
      </w:r>
      <w:r w:rsidR="00DA3D0C">
        <w:rPr>
          <w:noProof/>
        </w:rPr>
        <w:t xml:space="preserve"> autre</w:t>
      </w:r>
      <w:r w:rsidR="004F78FB">
        <w:rPr>
          <w:noProof/>
        </w:rPr>
        <w:t xml:space="preserve"> forme</w:t>
      </w:r>
      <w:r w:rsidR="00DA3D0C">
        <w:rPr>
          <w:noProof/>
        </w:rPr>
        <w:t xml:space="preserve"> habitat</w:t>
      </w:r>
      <w:r w:rsidR="004F78FB">
        <w:rPr>
          <w:noProof/>
        </w:rPr>
        <w:t xml:space="preserve"> que le logement traditionnel</w:t>
      </w:r>
      <w:r w:rsidR="00DA3D0C">
        <w:rPr>
          <w:noProof/>
        </w:rPr>
        <w:t>. Les résultats obtenus sont le fruit d’un travail de terrain suivant la Méthodologie de la Théorisation enracinée (grounded theory)</w:t>
      </w:r>
      <w:r w:rsidR="009E21E6">
        <w:rPr>
          <w:rStyle w:val="Appelnotedebasdep"/>
          <w:noProof/>
        </w:rPr>
        <w:footnoteReference w:id="6"/>
      </w:r>
      <w:r w:rsidR="00DA3D0C">
        <w:rPr>
          <w:noProof/>
        </w:rPr>
        <w:t xml:space="preserve"> </w:t>
      </w:r>
      <w:r w:rsidR="003105F1">
        <w:rPr>
          <w:noProof/>
        </w:rPr>
        <w:t>adaptée à la discipline architecturale</w:t>
      </w:r>
      <w:r w:rsidR="006C4E38">
        <w:rPr>
          <w:noProof/>
        </w:rPr>
        <w:t xml:space="preserve">. La méthode s’appuie sur des </w:t>
      </w:r>
      <w:r w:rsidR="00DA3D0C">
        <w:rPr>
          <w:noProof/>
        </w:rPr>
        <w:t>enquêtes portant tant sur le discours des h</w:t>
      </w:r>
      <w:r w:rsidR="009E21E6">
        <w:rPr>
          <w:noProof/>
        </w:rPr>
        <w:t>abitants que sur les ty</w:t>
      </w:r>
      <w:r w:rsidR="00DA3D0C">
        <w:rPr>
          <w:noProof/>
        </w:rPr>
        <w:t>pologies de logement.</w:t>
      </w:r>
    </w:p>
    <w:p w14:paraId="5583962D" w14:textId="77777777" w:rsidR="00CD24FE" w:rsidRDefault="00CD24FE" w:rsidP="00CD24FE">
      <w:pPr>
        <w:keepNext/>
        <w:spacing w:line="276" w:lineRule="auto"/>
        <w:jc w:val="both"/>
      </w:pPr>
      <w:r>
        <w:rPr>
          <w:noProof/>
          <w:lang w:val="fr-FR" w:eastAsia="fr-FR"/>
        </w:rPr>
        <w:drawing>
          <wp:inline distT="0" distB="0" distL="0" distR="0" wp14:anchorId="22CC7374" wp14:editId="39BA4360">
            <wp:extent cx="5782378" cy="1917700"/>
            <wp:effectExtent l="0" t="0" r="8890" b="6350"/>
            <wp:docPr id="4" name="Image 4" descr="C:\Users\531820\AppData\Local\Microsoft\Windows\INetCache\Content.Word\différents ty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1820\AppData\Local\Microsoft\Windows\INetCache\Content.Word\différents typ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19" b="50000"/>
                    <a:stretch/>
                  </pic:blipFill>
                  <pic:spPr bwMode="auto">
                    <a:xfrm>
                      <a:off x="0" y="0"/>
                      <a:ext cx="5795556" cy="19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FB46D" w14:textId="5A3CB444" w:rsidR="00DA3D0C" w:rsidRPr="006D3E1B" w:rsidRDefault="00CD24FE" w:rsidP="004F78FB">
      <w:pPr>
        <w:pStyle w:val="Lgende"/>
        <w:jc w:val="both"/>
        <w:rPr>
          <w:noProof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: Représentation </w:t>
      </w:r>
      <w:r w:rsidR="00C945CF">
        <w:t xml:space="preserve">non-exhaustive </w:t>
      </w:r>
      <w:r>
        <w:t xml:space="preserve">des différentes typologies existantes sur le territoire, traditionnelles et émergentes, </w:t>
      </w:r>
      <w:r>
        <w:rPr>
          <w:noProof/>
        </w:rPr>
        <w:t>avec la mise en parrallèle de leusr plans d'agencement, démontrant les multiples formes et propositions spatiales de l'habitat</w:t>
      </w:r>
    </w:p>
    <w:p w14:paraId="55373078" w14:textId="77777777" w:rsidR="006D3E1B" w:rsidRPr="00190841" w:rsidRDefault="006D3E1B" w:rsidP="00C451DA">
      <w:pPr>
        <w:spacing w:line="276" w:lineRule="auto"/>
        <w:jc w:val="both"/>
        <w:rPr>
          <w:noProof/>
        </w:rPr>
      </w:pPr>
    </w:p>
    <w:p w14:paraId="291BC57B" w14:textId="073C6061" w:rsidR="00375155" w:rsidRDefault="004B64EB" w:rsidP="00151C01">
      <w:r>
        <w:t>Bibliographie sommaire 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-1171707094"/>
        <w:docPartObj>
          <w:docPartGallery w:val="Bibliographies"/>
          <w:docPartUnique/>
        </w:docPartObj>
      </w:sdtPr>
      <w:sdtEndPr>
        <w:rPr>
          <w:lang w:val="fr-BE"/>
        </w:rPr>
      </w:sdtEndPr>
      <w:sdtContent>
        <w:p w14:paraId="102CBEDC" w14:textId="46EC947A" w:rsidR="004B64EB" w:rsidRDefault="004B64EB">
          <w:pPr>
            <w:pStyle w:val="Titre1"/>
          </w:pPr>
        </w:p>
        <w:sdt>
          <w:sdtPr>
            <w:id w:val="111145805"/>
            <w:bibliography/>
          </w:sdtPr>
          <w:sdtEndPr/>
          <w:sdtContent>
            <w:p w14:paraId="2233DC56" w14:textId="77777777" w:rsidR="004B64EB" w:rsidRDefault="004B64EB" w:rsidP="004B64EB">
              <w:pPr>
                <w:pStyle w:val="Bibliographie"/>
                <w:ind w:left="720" w:hanging="720"/>
                <w:rPr>
                  <w:noProof/>
                  <w:sz w:val="24"/>
                  <w:szCs w:val="24"/>
                  <w:lang w:val="fr-FR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fr-FR"/>
                </w:rPr>
                <w:t xml:space="preserve">OYON, J. L., &amp; Marta, S.-P. ( 2016/4 (n°167)). </w:t>
              </w:r>
              <w:r w:rsidRPr="00151C01">
                <w:rPr>
                  <w:noProof/>
                  <w:lang w:val="en-US"/>
                </w:rPr>
                <w:t xml:space="preserve">John Turner, un architecte geddesien. </w:t>
              </w:r>
              <w:r>
                <w:rPr>
                  <w:i/>
                  <w:iCs/>
                  <w:noProof/>
                  <w:lang w:val="fr-FR"/>
                </w:rPr>
                <w:t>Espaces et sociétés</w:t>
              </w:r>
              <w:r>
                <w:rPr>
                  <w:noProof/>
                  <w:lang w:val="fr-FR"/>
                </w:rPr>
                <w:t>, pp. 43-61.</w:t>
              </w:r>
            </w:p>
            <w:p w14:paraId="3A989440" w14:textId="77777777" w:rsidR="004B64EB" w:rsidRDefault="004B64EB" w:rsidP="004B64EB">
              <w:pPr>
                <w:pStyle w:val="Bibliographie"/>
                <w:ind w:left="720" w:hanging="720"/>
                <w:rPr>
                  <w:noProof/>
                  <w:lang w:val="fr-FR"/>
                </w:rPr>
              </w:pPr>
              <w:r>
                <w:rPr>
                  <w:noProof/>
                  <w:lang w:val="fr-FR"/>
                </w:rPr>
                <w:t xml:space="preserve">RAGON, M. (1977). </w:t>
              </w:r>
              <w:r>
                <w:rPr>
                  <w:i/>
                  <w:iCs/>
                  <w:noProof/>
                  <w:lang w:val="fr-FR"/>
                </w:rPr>
                <w:t>L'Architecte, le Prince et la Démocratie.</w:t>
              </w:r>
              <w:r>
                <w:rPr>
                  <w:noProof/>
                  <w:lang w:val="fr-FR"/>
                </w:rPr>
                <w:t xml:space="preserve"> Paris: Albin Michel.</w:t>
              </w:r>
            </w:p>
            <w:p w14:paraId="0A7C4042" w14:textId="77777777" w:rsidR="004B64EB" w:rsidRDefault="004B64EB" w:rsidP="004B64EB">
              <w:pPr>
                <w:pStyle w:val="Bibliographie"/>
                <w:ind w:left="720" w:hanging="720"/>
                <w:rPr>
                  <w:noProof/>
                  <w:lang w:val="fr-FR"/>
                </w:rPr>
              </w:pPr>
              <w:r>
                <w:rPr>
                  <w:noProof/>
                  <w:lang w:val="fr-FR"/>
                </w:rPr>
                <w:t xml:space="preserve">TURNER, J. (1979). </w:t>
              </w:r>
              <w:r>
                <w:rPr>
                  <w:i/>
                  <w:iCs/>
                  <w:noProof/>
                  <w:lang w:val="fr-FR"/>
                </w:rPr>
                <w:t>Le logement est votre affaire.</w:t>
              </w:r>
              <w:r>
                <w:rPr>
                  <w:noProof/>
                  <w:lang w:val="fr-FR"/>
                </w:rPr>
                <w:t xml:space="preserve"> Paris: Seuil.</w:t>
              </w:r>
            </w:p>
            <w:p w14:paraId="1FA2C375" w14:textId="42DCF4C2" w:rsidR="004B64EB" w:rsidRDefault="004B64EB" w:rsidP="004B64E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10AE37DD" w14:textId="77777777" w:rsidR="004B64EB" w:rsidRPr="00267ECE" w:rsidRDefault="004B64EB" w:rsidP="00C451DA">
      <w:pPr>
        <w:spacing w:line="276" w:lineRule="auto"/>
        <w:jc w:val="both"/>
      </w:pPr>
    </w:p>
    <w:sectPr w:rsidR="004B64EB" w:rsidRPr="0026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5726" w14:textId="77777777" w:rsidR="004F44D8" w:rsidRDefault="004F44D8" w:rsidP="004F44D8">
      <w:pPr>
        <w:spacing w:after="0" w:line="240" w:lineRule="auto"/>
      </w:pPr>
      <w:r>
        <w:separator/>
      </w:r>
    </w:p>
  </w:endnote>
  <w:endnote w:type="continuationSeparator" w:id="0">
    <w:p w14:paraId="7D9A758B" w14:textId="77777777" w:rsidR="004F44D8" w:rsidRDefault="004F44D8" w:rsidP="004F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A8A2B" w14:textId="77777777" w:rsidR="004F44D8" w:rsidRDefault="004F44D8" w:rsidP="004F44D8">
      <w:pPr>
        <w:spacing w:after="0" w:line="240" w:lineRule="auto"/>
      </w:pPr>
      <w:r>
        <w:separator/>
      </w:r>
    </w:p>
  </w:footnote>
  <w:footnote w:type="continuationSeparator" w:id="0">
    <w:p w14:paraId="6D9AFE95" w14:textId="77777777" w:rsidR="004F44D8" w:rsidRDefault="004F44D8" w:rsidP="004F44D8">
      <w:pPr>
        <w:spacing w:after="0" w:line="240" w:lineRule="auto"/>
      </w:pPr>
      <w:r>
        <w:continuationSeparator/>
      </w:r>
    </w:p>
  </w:footnote>
  <w:footnote w:id="1">
    <w:p w14:paraId="135D6693" w14:textId="77777777" w:rsidR="004F44D8" w:rsidRPr="00DC6868" w:rsidRDefault="004F44D8" w:rsidP="004F44D8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John F.C. TURNER, le logement est votre affaire, édition du Seuil, 1979, préface, pg 9</w:t>
      </w:r>
    </w:p>
  </w:footnote>
  <w:footnote w:id="2">
    <w:p w14:paraId="0134DDDD" w14:textId="77777777" w:rsidR="00D87BFB" w:rsidRPr="00D87BFB" w:rsidRDefault="00D87BFB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José Luis Oyon, Marta Serra-Permanyer « John Turner, un architecte geddesien », Espaces et sociétés 2016/4 (n°167), p 43-61 (pg 49)</w:t>
      </w:r>
    </w:p>
  </w:footnote>
  <w:footnote w:id="3">
    <w:p w14:paraId="64300D32" w14:textId="53E7FA0C" w:rsidR="006D3E1B" w:rsidRPr="006D3E1B" w:rsidRDefault="006D3E1B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EC060F">
        <w:rPr>
          <w:lang w:val="fr-BE"/>
        </w:rPr>
        <w:t xml:space="preserve">Page internet de la </w:t>
      </w:r>
      <w:r>
        <w:rPr>
          <w:lang w:val="fr-BE"/>
        </w:rPr>
        <w:t>RBDL</w:t>
      </w:r>
      <w:r w:rsidR="00BC2EFD">
        <w:rPr>
          <w:lang w:val="fr-BE"/>
        </w:rPr>
        <w:t xml:space="preserve"> (Réseau Brabançon du Droit au Logement)</w:t>
      </w:r>
      <w:r w:rsidR="00EC060F">
        <w:rPr>
          <w:lang w:val="fr-BE"/>
        </w:rPr>
        <w:t xml:space="preserve"> et du collectif Halé ; qui militent en faveur de l’habitat léger et du droit au logement. URL </w:t>
      </w:r>
      <w:r w:rsidR="00EC060F">
        <w:rPr>
          <w:rFonts w:cstheme="minorHAnsi"/>
          <w:lang w:val="fr-BE"/>
        </w:rPr>
        <w:t>[</w:t>
      </w:r>
      <w:r w:rsidR="00EC060F" w:rsidRPr="00EC060F">
        <w:rPr>
          <w:rFonts w:cstheme="minorHAnsi"/>
          <w:lang w:val="fr-BE"/>
        </w:rPr>
        <w:t>http://www.rbdl.be/</w:t>
      </w:r>
      <w:r w:rsidR="00EC060F">
        <w:rPr>
          <w:rFonts w:cstheme="minorHAnsi"/>
          <w:lang w:val="fr-BE"/>
        </w:rPr>
        <w:t>] et [</w:t>
      </w:r>
      <w:r w:rsidR="00EC060F" w:rsidRPr="00EC060F">
        <w:rPr>
          <w:rFonts w:cstheme="minorHAnsi"/>
          <w:lang w:val="fr-BE"/>
        </w:rPr>
        <w:t>http://www.habiterleger.be</w:t>
      </w:r>
      <w:r w:rsidR="00EC060F">
        <w:rPr>
          <w:rFonts w:cstheme="minorHAnsi"/>
          <w:lang w:val="fr-BE"/>
        </w:rPr>
        <w:t>] consulté le 26/04/2018</w:t>
      </w:r>
    </w:p>
  </w:footnote>
  <w:footnote w:id="4">
    <w:p w14:paraId="227733EC" w14:textId="77777777" w:rsidR="00DC6DFF" w:rsidRPr="00DC6DFF" w:rsidRDefault="00DC6DF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John F.C. TURNER, le logement est votre affaire, édition du Seuil, 1979</w:t>
      </w:r>
    </w:p>
  </w:footnote>
  <w:footnote w:id="5">
    <w:p w14:paraId="520FB43C" w14:textId="5D3DF263" w:rsidR="00250F65" w:rsidRPr="00250F65" w:rsidRDefault="00250F6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John F.C. TURNER, le logement est votre affaire, édition du Seuil, 1979</w:t>
      </w:r>
      <w:r w:rsidR="00BA18D5">
        <w:rPr>
          <w:lang w:val="fr-BE"/>
        </w:rPr>
        <w:t>,</w:t>
      </w:r>
      <w:r>
        <w:rPr>
          <w:lang w:val="fr-BE"/>
        </w:rPr>
        <w:t>pg 117</w:t>
      </w:r>
    </w:p>
  </w:footnote>
  <w:footnote w:id="6">
    <w:p w14:paraId="67D5D1CA" w14:textId="121D6E8C" w:rsidR="009E21E6" w:rsidRPr="00BA18D5" w:rsidRDefault="009E21E6" w:rsidP="002E0BE3">
      <w:r>
        <w:rPr>
          <w:rStyle w:val="Appelnotedebasdep"/>
        </w:rPr>
        <w:footnoteRef/>
      </w:r>
      <w:r>
        <w:t xml:space="preserve"> </w:t>
      </w:r>
      <w:r w:rsidR="00BA18D5" w:rsidRPr="002E0BE3">
        <w:rPr>
          <w:rFonts w:eastAsia="Times New Roman" w:cs="Arial"/>
          <w:color w:val="000000"/>
          <w:sz w:val="20"/>
          <w:szCs w:val="20"/>
          <w:lang w:eastAsia="fr-FR"/>
        </w:rPr>
        <w:t xml:space="preserve">GUILLEMETTE F., </w:t>
      </w:r>
      <w:r w:rsidR="00BA18D5" w:rsidRPr="002E0BE3">
        <w:rPr>
          <w:rFonts w:eastAsia="Times New Roman" w:cs="Arial"/>
          <w:i/>
          <w:color w:val="000000"/>
          <w:sz w:val="20"/>
          <w:szCs w:val="20"/>
          <w:lang w:eastAsia="fr-FR"/>
        </w:rPr>
        <w:t>L’approche de la Grounded Theory; pour innover?,</w:t>
      </w:r>
      <w:r w:rsidR="00BA18D5" w:rsidRPr="002E0BE3">
        <w:rPr>
          <w:rFonts w:eastAsia="Times New Roman" w:cs="Arial"/>
          <w:color w:val="000000"/>
          <w:sz w:val="20"/>
          <w:szCs w:val="20"/>
          <w:lang w:eastAsia="fr-FR"/>
        </w:rPr>
        <w:t xml:space="preserve">  Recherches qualitatives − VOL .26 (1), 2006, pp. 32-50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CE"/>
    <w:rsid w:val="00151C01"/>
    <w:rsid w:val="00222FDC"/>
    <w:rsid w:val="00250F65"/>
    <w:rsid w:val="00267ECE"/>
    <w:rsid w:val="002E0BE3"/>
    <w:rsid w:val="003105F1"/>
    <w:rsid w:val="00375155"/>
    <w:rsid w:val="003E5693"/>
    <w:rsid w:val="004B64EB"/>
    <w:rsid w:val="004F44D8"/>
    <w:rsid w:val="004F78FB"/>
    <w:rsid w:val="005C18F6"/>
    <w:rsid w:val="006C4E38"/>
    <w:rsid w:val="006D3E1B"/>
    <w:rsid w:val="00754D91"/>
    <w:rsid w:val="008543B4"/>
    <w:rsid w:val="00875DC1"/>
    <w:rsid w:val="00934DD0"/>
    <w:rsid w:val="009C475B"/>
    <w:rsid w:val="009E21E6"/>
    <w:rsid w:val="00A910B8"/>
    <w:rsid w:val="00BA18D5"/>
    <w:rsid w:val="00BC2EFD"/>
    <w:rsid w:val="00C451DA"/>
    <w:rsid w:val="00C91EA6"/>
    <w:rsid w:val="00C945CF"/>
    <w:rsid w:val="00CC7C39"/>
    <w:rsid w:val="00CD24FE"/>
    <w:rsid w:val="00D0134C"/>
    <w:rsid w:val="00D51600"/>
    <w:rsid w:val="00D87BFB"/>
    <w:rsid w:val="00DA3D0C"/>
    <w:rsid w:val="00DC6DFF"/>
    <w:rsid w:val="00E01EDB"/>
    <w:rsid w:val="00E22A33"/>
    <w:rsid w:val="00EC060F"/>
    <w:rsid w:val="00F0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B46F"/>
  <w15:chartTrackingRefBased/>
  <w15:docId w15:val="{50D84ADF-C19B-449A-9F08-E9506599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ECE"/>
  </w:style>
  <w:style w:type="paragraph" w:styleId="Titre1">
    <w:name w:val="heading 1"/>
    <w:basedOn w:val="Normal"/>
    <w:next w:val="Normal"/>
    <w:link w:val="Titre1Car"/>
    <w:uiPriority w:val="9"/>
    <w:qFormat/>
    <w:rsid w:val="004B6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4F44D8"/>
    <w:rPr>
      <w:rFonts w:ascii="Times New Roman" w:hAnsi="Times New Roman"/>
      <w:sz w:val="20"/>
      <w:szCs w:val="20"/>
      <w:vertAlign w:val="superscript"/>
    </w:rPr>
  </w:style>
  <w:style w:type="paragraph" w:styleId="Notedebasdepage">
    <w:name w:val="footnote text"/>
    <w:basedOn w:val="Normal"/>
    <w:link w:val="NotedebasdepageCar"/>
    <w:autoRedefine/>
    <w:rsid w:val="004F44D8"/>
    <w:pPr>
      <w:spacing w:after="0" w:line="240" w:lineRule="auto"/>
      <w:jc w:val="both"/>
    </w:pPr>
    <w:rPr>
      <w:rFonts w:eastAsia="Times New Roman" w:cs="Arial"/>
      <w:color w:val="000000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4F44D8"/>
    <w:rPr>
      <w:rFonts w:eastAsia="Times New Roman" w:cs="Arial"/>
      <w:color w:val="000000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3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3E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3E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E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E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E1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B64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BE"/>
    </w:rPr>
  </w:style>
  <w:style w:type="paragraph" w:styleId="Bibliographie">
    <w:name w:val="Bibliography"/>
    <w:basedOn w:val="Normal"/>
    <w:next w:val="Normal"/>
    <w:uiPriority w:val="37"/>
    <w:unhideWhenUsed/>
    <w:rsid w:val="004B64EB"/>
  </w:style>
  <w:style w:type="paragraph" w:styleId="En-tte">
    <w:name w:val="header"/>
    <w:basedOn w:val="Normal"/>
    <w:link w:val="En-tteCar"/>
    <w:uiPriority w:val="99"/>
    <w:unhideWhenUsed/>
    <w:rsid w:val="00D0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34C"/>
  </w:style>
  <w:style w:type="paragraph" w:styleId="Pieddepage">
    <w:name w:val="footer"/>
    <w:basedOn w:val="Normal"/>
    <w:link w:val="PieddepageCar"/>
    <w:uiPriority w:val="99"/>
    <w:unhideWhenUsed/>
    <w:rsid w:val="00D0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34C"/>
  </w:style>
  <w:style w:type="paragraph" w:styleId="Lgende">
    <w:name w:val="caption"/>
    <w:basedOn w:val="Normal"/>
    <w:next w:val="Normal"/>
    <w:uiPriority w:val="35"/>
    <w:unhideWhenUsed/>
    <w:qFormat/>
    <w:rsid w:val="00CD24F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alenda.org/4321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RAG77</b:Tag>
    <b:SourceType>Book</b:SourceType>
    <b:Guid>{E9C9A083-5B52-4221-8920-7EB47EE96DFB}</b:Guid>
    <b:Author>
      <b:Author>
        <b:NameList>
          <b:Person>
            <b:Last>RAGON</b:Last>
            <b:First>Michel</b:First>
          </b:Person>
        </b:NameList>
      </b:Author>
    </b:Author>
    <b:Title>L'Architecte, le Prince et la Démocratie</b:Title>
    <b:Year>1977</b:Year>
    <b:City>Paris</b:City>
    <b:Publisher>Albin Michel</b:Publisher>
    <b:RefOrder>1</b:RefOrder>
  </b:Source>
  <b:Source>
    <b:Tag>TUR79</b:Tag>
    <b:SourceType>Book</b:SourceType>
    <b:Guid>{81A90861-CEFF-47F1-9B9D-3D7818F5AE23}</b:Guid>
    <b:Author>
      <b:Author>
        <b:NameList>
          <b:Person>
            <b:Last>TURNER</b:Last>
            <b:First>John</b:First>
          </b:Person>
        </b:NameList>
      </b:Author>
    </b:Author>
    <b:Title>Le logement est votre affaire</b:Title>
    <b:Year>1979</b:Year>
    <b:City>Paris</b:City>
    <b:Publisher>Seuil</b:Publisher>
    <b:RefOrder>2</b:RefOrder>
  </b:Source>
  <b:Source>
    <b:Tag>OYO67</b:Tag>
    <b:SourceType>ArticleInAPeriodical</b:SourceType>
    <b:Guid>{841D66E6-9270-45E4-B212-B204EF3B5122}</b:Guid>
    <b:Title>John Turner, un architecte geddesien</b:Title>
    <b:Year> 2016/4 (n°167)</b:Year>
    <b:PeriodicalTitle>Espaces et sociétés</b:PeriodicalTitle>
    <b:Pages>43-61</b:Pages>
    <b:Author>
      <b:Author>
        <b:NameList>
          <b:Person>
            <b:Last>OYON</b:Last>
            <b:First>José</b:First>
            <b:Middle>Luis</b:Middle>
          </b:Person>
          <b:Person>
            <b:Last>Marta</b:Last>
            <b:First>SERRA-PERMANYER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BEAC4D0D-B987-4795-BB31-709BF898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Mons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VANZANDE [531820]</dc:creator>
  <cp:keywords/>
  <dc:description/>
  <cp:lastModifiedBy>Ornella VANZANDE [531820]</cp:lastModifiedBy>
  <cp:revision>25</cp:revision>
  <dcterms:created xsi:type="dcterms:W3CDTF">2018-04-25T13:14:00Z</dcterms:created>
  <dcterms:modified xsi:type="dcterms:W3CDTF">2018-04-27T10:40:00Z</dcterms:modified>
</cp:coreProperties>
</file>