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F3F5B4" w14:textId="77777777" w:rsidR="004C01C7" w:rsidRDefault="004C01C7"/>
    <w:p w14:paraId="53B22F63" w14:textId="77777777" w:rsidR="005B7E2F" w:rsidRDefault="005B7E2F"/>
    <w:p w14:paraId="75D0C8CC" w14:textId="77777777" w:rsidR="005B7E2F" w:rsidRDefault="005B7E2F"/>
    <w:p w14:paraId="65B42029" w14:textId="76732826" w:rsidR="0031782F" w:rsidRPr="00406D4F" w:rsidRDefault="00CB7E45" w:rsidP="00CB7E45">
      <w:pPr>
        <w:jc w:val="center"/>
        <w:rPr>
          <w:rFonts w:ascii="Times New Roman" w:hAnsi="Times New Roman" w:cs="Times New Roman"/>
          <w:b/>
          <w:sz w:val="40"/>
          <w:szCs w:val="40"/>
        </w:rPr>
      </w:pPr>
      <w:r w:rsidRPr="00406D4F">
        <w:rPr>
          <w:rFonts w:ascii="Times New Roman" w:hAnsi="Times New Roman" w:cs="Times New Roman"/>
          <w:b/>
          <w:sz w:val="40"/>
          <w:szCs w:val="40"/>
        </w:rPr>
        <w:t xml:space="preserve">Les instruments de prises de décisions en situation de trading : une </w:t>
      </w:r>
      <w:r w:rsidR="00694BE4">
        <w:rPr>
          <w:rFonts w:ascii="Times New Roman" w:hAnsi="Times New Roman" w:cs="Times New Roman"/>
          <w:b/>
          <w:sz w:val="40"/>
          <w:szCs w:val="40"/>
        </w:rPr>
        <w:t>approch</w:t>
      </w:r>
      <w:r w:rsidRPr="00406D4F">
        <w:rPr>
          <w:rFonts w:ascii="Times New Roman" w:hAnsi="Times New Roman" w:cs="Times New Roman"/>
          <w:b/>
          <w:sz w:val="40"/>
          <w:szCs w:val="40"/>
        </w:rPr>
        <w:t>e exp</w:t>
      </w:r>
      <w:r w:rsidR="00694BE4">
        <w:rPr>
          <w:rFonts w:ascii="Times New Roman" w:hAnsi="Times New Roman" w:cs="Times New Roman"/>
          <w:b/>
          <w:sz w:val="40"/>
          <w:szCs w:val="40"/>
        </w:rPr>
        <w:t>érimentale</w:t>
      </w:r>
    </w:p>
    <w:p w14:paraId="4A42AE05" w14:textId="05213136" w:rsidR="00CB7E45" w:rsidRDefault="00CB7E45" w:rsidP="00CB7E45">
      <w:pPr>
        <w:spacing w:line="240" w:lineRule="auto"/>
        <w:jc w:val="both"/>
        <w:rPr>
          <w:sz w:val="26"/>
          <w:szCs w:val="26"/>
        </w:rPr>
      </w:pPr>
    </w:p>
    <w:p w14:paraId="0EF1DBA5" w14:textId="77777777" w:rsidR="00905981" w:rsidRPr="00905981" w:rsidRDefault="00905981" w:rsidP="00905981">
      <w:pPr>
        <w:spacing w:line="240" w:lineRule="auto"/>
        <w:jc w:val="both"/>
        <w:rPr>
          <w:sz w:val="26"/>
          <w:szCs w:val="26"/>
        </w:rPr>
      </w:pPr>
      <w:r w:rsidRPr="00905981">
        <w:rPr>
          <w:sz w:val="26"/>
          <w:szCs w:val="26"/>
        </w:rPr>
        <w:t xml:space="preserve">Alain Finet, Professeur, Chef du Service Management Financier et Dynamiques Territoriales, Université de Mons, 17, Place </w:t>
      </w:r>
      <w:proofErr w:type="spellStart"/>
      <w:r w:rsidRPr="00905981">
        <w:rPr>
          <w:sz w:val="26"/>
          <w:szCs w:val="26"/>
        </w:rPr>
        <w:t>Warocqué</w:t>
      </w:r>
      <w:proofErr w:type="spellEnd"/>
      <w:r w:rsidRPr="00905981">
        <w:rPr>
          <w:sz w:val="26"/>
          <w:szCs w:val="26"/>
        </w:rPr>
        <w:t>, 7000, Mons, Belgique, alain.finet@umons.ac.be (personne de contact)</w:t>
      </w:r>
    </w:p>
    <w:p w14:paraId="6F841285" w14:textId="77777777" w:rsidR="00905981" w:rsidRPr="00905981" w:rsidRDefault="00905981" w:rsidP="00905981">
      <w:pPr>
        <w:spacing w:line="240" w:lineRule="auto"/>
        <w:jc w:val="both"/>
        <w:rPr>
          <w:sz w:val="26"/>
          <w:szCs w:val="26"/>
        </w:rPr>
      </w:pPr>
      <w:r w:rsidRPr="00905981">
        <w:rPr>
          <w:sz w:val="26"/>
          <w:szCs w:val="26"/>
        </w:rPr>
        <w:t xml:space="preserve">Robert Viseur, Chargé de cours, Chef du Service Technologies de l'Information et de la Communication, Université de Mons, 17, Place </w:t>
      </w:r>
      <w:proofErr w:type="spellStart"/>
      <w:r w:rsidRPr="00905981">
        <w:rPr>
          <w:sz w:val="26"/>
          <w:szCs w:val="26"/>
        </w:rPr>
        <w:t>Warocqué</w:t>
      </w:r>
      <w:proofErr w:type="spellEnd"/>
      <w:r w:rsidRPr="00905981">
        <w:rPr>
          <w:sz w:val="26"/>
          <w:szCs w:val="26"/>
        </w:rPr>
        <w:t>, 7000, Mons, Belgique, robert.viseur@umons.ac.be</w:t>
      </w:r>
    </w:p>
    <w:p w14:paraId="6569A1E8" w14:textId="38C76064" w:rsidR="00905981" w:rsidRDefault="00905981" w:rsidP="00905981">
      <w:pPr>
        <w:spacing w:line="240" w:lineRule="auto"/>
        <w:jc w:val="both"/>
        <w:rPr>
          <w:sz w:val="26"/>
          <w:szCs w:val="26"/>
        </w:rPr>
      </w:pPr>
      <w:r w:rsidRPr="00905981">
        <w:rPr>
          <w:sz w:val="26"/>
          <w:szCs w:val="26"/>
        </w:rPr>
        <w:t xml:space="preserve">Kevin </w:t>
      </w:r>
      <w:proofErr w:type="spellStart"/>
      <w:r w:rsidRPr="00905981">
        <w:rPr>
          <w:sz w:val="26"/>
          <w:szCs w:val="26"/>
        </w:rPr>
        <w:t>Kristoforidis</w:t>
      </w:r>
      <w:proofErr w:type="spellEnd"/>
      <w:r w:rsidRPr="00905981">
        <w:rPr>
          <w:sz w:val="26"/>
          <w:szCs w:val="26"/>
        </w:rPr>
        <w:t xml:space="preserve">, Assistant – chercheur, Service Management Financier et Dynamiques Territoriales, Université de Mons, 17, Place </w:t>
      </w:r>
      <w:proofErr w:type="spellStart"/>
      <w:r w:rsidRPr="00905981">
        <w:rPr>
          <w:sz w:val="26"/>
          <w:szCs w:val="26"/>
        </w:rPr>
        <w:t>Warocqué</w:t>
      </w:r>
      <w:proofErr w:type="spellEnd"/>
      <w:r w:rsidRPr="00905981">
        <w:rPr>
          <w:sz w:val="26"/>
          <w:szCs w:val="26"/>
        </w:rPr>
        <w:t>, 7000, Mons, Belgique, kevin.kristoforidis@umons.ac.be</w:t>
      </w:r>
    </w:p>
    <w:p w14:paraId="4AF6DF65" w14:textId="7BE4FEA1" w:rsidR="00905981" w:rsidRDefault="00905981" w:rsidP="00CB7E45">
      <w:pPr>
        <w:spacing w:line="240" w:lineRule="auto"/>
        <w:jc w:val="both"/>
        <w:rPr>
          <w:sz w:val="26"/>
          <w:szCs w:val="26"/>
        </w:rPr>
      </w:pPr>
    </w:p>
    <w:p w14:paraId="1B0957A2" w14:textId="77777777" w:rsidR="00905981" w:rsidRPr="00CB7E45" w:rsidRDefault="00905981" w:rsidP="00CB7E45">
      <w:pPr>
        <w:spacing w:line="240" w:lineRule="auto"/>
        <w:jc w:val="both"/>
        <w:rPr>
          <w:sz w:val="26"/>
          <w:szCs w:val="26"/>
        </w:rPr>
      </w:pPr>
    </w:p>
    <w:p w14:paraId="027FBF28" w14:textId="1126E637" w:rsidR="00CF67DC" w:rsidRPr="00406D4F" w:rsidRDefault="00CF67DC" w:rsidP="00003801">
      <w:pPr>
        <w:pStyle w:val="Paragraphedeliste"/>
        <w:numPr>
          <w:ilvl w:val="0"/>
          <w:numId w:val="1"/>
        </w:numPr>
        <w:spacing w:line="240" w:lineRule="auto"/>
        <w:jc w:val="both"/>
        <w:rPr>
          <w:rFonts w:ascii="Times New Roman" w:hAnsi="Times New Roman" w:cs="Times New Roman"/>
          <w:b/>
          <w:sz w:val="28"/>
          <w:szCs w:val="28"/>
          <w:u w:val="single"/>
        </w:rPr>
      </w:pPr>
      <w:r w:rsidRPr="00406D4F">
        <w:rPr>
          <w:rFonts w:ascii="Times New Roman" w:hAnsi="Times New Roman" w:cs="Times New Roman"/>
          <w:b/>
          <w:sz w:val="28"/>
          <w:szCs w:val="28"/>
          <w:u w:val="single"/>
        </w:rPr>
        <w:t>Résumé</w:t>
      </w:r>
    </w:p>
    <w:p w14:paraId="1C5A8381" w14:textId="5773B631" w:rsidR="004913CF" w:rsidRDefault="004913CF" w:rsidP="004913CF">
      <w:pPr>
        <w:pStyle w:val="Paragraphedeliste"/>
        <w:spacing w:line="240" w:lineRule="auto"/>
        <w:jc w:val="both"/>
        <w:rPr>
          <w:b/>
          <w:sz w:val="28"/>
          <w:szCs w:val="28"/>
          <w:u w:val="single"/>
        </w:rPr>
      </w:pPr>
    </w:p>
    <w:p w14:paraId="0D2156D6" w14:textId="3D29897E" w:rsidR="004913CF" w:rsidRPr="00FB0D94" w:rsidRDefault="004913CF" w:rsidP="00FB0D94">
      <w:pPr>
        <w:pStyle w:val="Paragraphedeliste"/>
        <w:spacing w:line="360" w:lineRule="auto"/>
        <w:jc w:val="both"/>
        <w:rPr>
          <w:rFonts w:ascii="Times New Roman" w:hAnsi="Times New Roman" w:cs="Times New Roman"/>
          <w:bCs/>
          <w:sz w:val="24"/>
          <w:szCs w:val="24"/>
        </w:rPr>
      </w:pPr>
      <w:r w:rsidRPr="00FB0D94">
        <w:rPr>
          <w:rFonts w:ascii="Times New Roman" w:hAnsi="Times New Roman" w:cs="Times New Roman"/>
          <w:bCs/>
          <w:sz w:val="24"/>
          <w:szCs w:val="24"/>
        </w:rPr>
        <w:t>A la lecture des paradigmes qui, théoriquement, régissent les modes de prises de décisions</w:t>
      </w:r>
      <w:r w:rsidR="0038595D">
        <w:rPr>
          <w:rFonts w:ascii="Times New Roman" w:hAnsi="Times New Roman" w:cs="Times New Roman"/>
          <w:bCs/>
          <w:sz w:val="24"/>
          <w:szCs w:val="24"/>
        </w:rPr>
        <w:t xml:space="preserve"> </w:t>
      </w:r>
      <w:r w:rsidRPr="00FB0D94">
        <w:rPr>
          <w:rFonts w:ascii="Times New Roman" w:hAnsi="Times New Roman" w:cs="Times New Roman"/>
          <w:bCs/>
          <w:sz w:val="24"/>
          <w:szCs w:val="24"/>
        </w:rPr>
        <w:t xml:space="preserve">sur les marchés boursiers, de nombreux paradoxes apparaissent. Historiquement, l’école fondamentale et l’école technique s’affrontent même si, parfois, elles peuvent se compléter. Schématiquement, la première pose que ce sont les contenus informationnels qui déterminent le comportement des investisseurs. La seconde postule que l’information n’est pas nécessairement accessible de manière simultanée à tous les investisseurs et qu’il convient de se retrancher </w:t>
      </w:r>
      <w:r w:rsidR="000F56C6">
        <w:rPr>
          <w:rFonts w:ascii="Times New Roman" w:hAnsi="Times New Roman" w:cs="Times New Roman"/>
          <w:bCs/>
          <w:sz w:val="24"/>
          <w:szCs w:val="24"/>
        </w:rPr>
        <w:t>derrière</w:t>
      </w:r>
      <w:r w:rsidRPr="00FB0D94">
        <w:rPr>
          <w:rFonts w:ascii="Times New Roman" w:hAnsi="Times New Roman" w:cs="Times New Roman"/>
          <w:bCs/>
          <w:sz w:val="24"/>
          <w:szCs w:val="24"/>
        </w:rPr>
        <w:t xml:space="preserve"> d’autres outils (graphiques et techniques) pour appréhender l’évolution des cours de Bourse. D’autres approches, sortant du champ de l’orthodoxie boursière, démontrent également que des biais comportementaux ainsi que certains processus plus ou moins inconscients peuvent fortement influencer les attitudes des acteurs sur les marchés. Ainsi, </w:t>
      </w:r>
      <w:r w:rsidR="00F00A92">
        <w:rPr>
          <w:rFonts w:ascii="Times New Roman" w:hAnsi="Times New Roman" w:cs="Times New Roman"/>
          <w:bCs/>
          <w:sz w:val="24"/>
          <w:szCs w:val="24"/>
        </w:rPr>
        <w:t xml:space="preserve">la théorie des conventions avance que </w:t>
      </w:r>
      <w:r w:rsidRPr="00FB0D94">
        <w:rPr>
          <w:rFonts w:ascii="Times New Roman" w:hAnsi="Times New Roman" w:cs="Times New Roman"/>
          <w:bCs/>
          <w:sz w:val="24"/>
          <w:szCs w:val="24"/>
        </w:rPr>
        <w:t xml:space="preserve">des normes de cours, qui débordent largement des champs techniques et fondamentaux, peuvent apparaître et permettre, dans certains cas, l’apparition de phénomènes spéculatifs à large échelle. </w:t>
      </w:r>
      <w:r w:rsidR="00F85BC4">
        <w:rPr>
          <w:rFonts w:ascii="Times New Roman" w:hAnsi="Times New Roman" w:cs="Times New Roman"/>
          <w:bCs/>
          <w:sz w:val="24"/>
          <w:szCs w:val="24"/>
        </w:rPr>
        <w:t>En</w:t>
      </w:r>
      <w:r w:rsidR="007811FB">
        <w:rPr>
          <w:rFonts w:ascii="Times New Roman" w:hAnsi="Times New Roman" w:cs="Times New Roman"/>
          <w:bCs/>
          <w:sz w:val="24"/>
          <w:szCs w:val="24"/>
        </w:rPr>
        <w:t xml:space="preserve"> considérant</w:t>
      </w:r>
      <w:r w:rsidR="00F85BC4">
        <w:rPr>
          <w:rFonts w:ascii="Times New Roman" w:hAnsi="Times New Roman" w:cs="Times New Roman"/>
          <w:bCs/>
          <w:sz w:val="24"/>
          <w:szCs w:val="24"/>
        </w:rPr>
        <w:t xml:space="preserve"> une </w:t>
      </w:r>
      <w:r w:rsidR="00F85BC4">
        <w:rPr>
          <w:rFonts w:ascii="Times New Roman" w:hAnsi="Times New Roman" w:cs="Times New Roman"/>
          <w:bCs/>
          <w:sz w:val="24"/>
          <w:szCs w:val="24"/>
        </w:rPr>
        <w:lastRenderedPageBreak/>
        <w:t xml:space="preserve">méthodologie prenant appui sur la psychologie sociale et </w:t>
      </w:r>
      <w:r w:rsidR="004446DE">
        <w:rPr>
          <w:rFonts w:ascii="Times New Roman" w:hAnsi="Times New Roman" w:cs="Times New Roman"/>
          <w:bCs/>
          <w:sz w:val="24"/>
          <w:szCs w:val="24"/>
        </w:rPr>
        <w:t>l’expérimentation, n</w:t>
      </w:r>
      <w:r w:rsidRPr="00FB0D94">
        <w:rPr>
          <w:rFonts w:ascii="Times New Roman" w:hAnsi="Times New Roman" w:cs="Times New Roman"/>
          <w:bCs/>
          <w:sz w:val="24"/>
          <w:szCs w:val="24"/>
        </w:rPr>
        <w:t xml:space="preserve">otre étude se base sur l’observation de 15 étudiants en situation de trading en continu durant une semaine boursière. </w:t>
      </w:r>
      <w:r w:rsidR="007811FB">
        <w:rPr>
          <w:rFonts w:ascii="Times New Roman" w:hAnsi="Times New Roman" w:cs="Times New Roman"/>
          <w:bCs/>
          <w:sz w:val="24"/>
          <w:szCs w:val="24"/>
        </w:rPr>
        <w:t>Par l’intermédiaire</w:t>
      </w:r>
      <w:r w:rsidRPr="00FB0D94">
        <w:rPr>
          <w:rFonts w:ascii="Times New Roman" w:hAnsi="Times New Roman" w:cs="Times New Roman"/>
          <w:bCs/>
          <w:sz w:val="24"/>
          <w:szCs w:val="24"/>
        </w:rPr>
        <w:t xml:space="preserve"> des </w:t>
      </w:r>
      <w:r w:rsidR="009D2036">
        <w:rPr>
          <w:rFonts w:ascii="Times New Roman" w:hAnsi="Times New Roman" w:cs="Times New Roman"/>
          <w:bCs/>
          <w:sz w:val="24"/>
          <w:szCs w:val="24"/>
        </w:rPr>
        <w:t xml:space="preserve">différents </w:t>
      </w:r>
      <w:r w:rsidRPr="00FB0D94">
        <w:rPr>
          <w:rFonts w:ascii="Times New Roman" w:hAnsi="Times New Roman" w:cs="Times New Roman"/>
          <w:bCs/>
          <w:sz w:val="24"/>
          <w:szCs w:val="24"/>
        </w:rPr>
        <w:t xml:space="preserve">matériaux que nous avons collectés (carnets de trading, impressions recueillies en cours d’expérimentation par des entretiens semi-directifs et impressions récoltées dans les trois jours qui ont suivi l’expérience), nous avons essayé d’approcher les méthodes utilisées par ces acteurs boursiers aux contours bien spécifiques. Les résultats auxquels nous parvenons tendent à démontrer qu’ils ont eu recours à des méthodes de choix très rudimentaires </w:t>
      </w:r>
      <w:r w:rsidR="008239C4">
        <w:rPr>
          <w:rFonts w:ascii="Times New Roman" w:hAnsi="Times New Roman" w:cs="Times New Roman"/>
          <w:bCs/>
          <w:sz w:val="24"/>
          <w:szCs w:val="24"/>
        </w:rPr>
        <w:t xml:space="preserve">– dérivées de la théorie des conventions - </w:t>
      </w:r>
      <w:r w:rsidRPr="00FB0D94">
        <w:rPr>
          <w:rFonts w:ascii="Times New Roman" w:hAnsi="Times New Roman" w:cs="Times New Roman"/>
          <w:bCs/>
          <w:sz w:val="24"/>
          <w:szCs w:val="24"/>
        </w:rPr>
        <w:t xml:space="preserve">et qu’ils se sont </w:t>
      </w:r>
      <w:r w:rsidR="00935397" w:rsidRPr="00FB0D94">
        <w:rPr>
          <w:rFonts w:ascii="Times New Roman" w:hAnsi="Times New Roman" w:cs="Times New Roman"/>
          <w:bCs/>
          <w:sz w:val="24"/>
          <w:szCs w:val="24"/>
        </w:rPr>
        <w:t xml:space="preserve">largement </w:t>
      </w:r>
      <w:r w:rsidRPr="00FB0D94">
        <w:rPr>
          <w:rFonts w:ascii="Times New Roman" w:hAnsi="Times New Roman" w:cs="Times New Roman"/>
          <w:bCs/>
          <w:sz w:val="24"/>
          <w:szCs w:val="24"/>
        </w:rPr>
        <w:t>retranchés derrière les comportements d’autres acteurs (a priori plus aguerris) pour l’orientation de leur choix de placements.</w:t>
      </w:r>
    </w:p>
    <w:p w14:paraId="7705DA96" w14:textId="77777777" w:rsidR="004913CF" w:rsidRPr="004913CF" w:rsidRDefault="004913CF" w:rsidP="004913CF">
      <w:pPr>
        <w:pStyle w:val="Paragraphedeliste"/>
        <w:spacing w:line="240" w:lineRule="auto"/>
        <w:jc w:val="both"/>
        <w:rPr>
          <w:bCs/>
          <w:sz w:val="28"/>
          <w:szCs w:val="28"/>
        </w:rPr>
      </w:pPr>
    </w:p>
    <w:p w14:paraId="7B1AC995" w14:textId="6277691F" w:rsidR="00003801" w:rsidRPr="00406D4F" w:rsidRDefault="00003801" w:rsidP="00003801">
      <w:pPr>
        <w:pStyle w:val="Paragraphedeliste"/>
        <w:numPr>
          <w:ilvl w:val="0"/>
          <w:numId w:val="1"/>
        </w:numPr>
        <w:spacing w:line="240" w:lineRule="auto"/>
        <w:jc w:val="both"/>
        <w:rPr>
          <w:rFonts w:ascii="Times New Roman" w:hAnsi="Times New Roman" w:cs="Times New Roman"/>
          <w:b/>
          <w:sz w:val="28"/>
          <w:szCs w:val="28"/>
          <w:u w:val="single"/>
        </w:rPr>
      </w:pPr>
      <w:r w:rsidRPr="00406D4F">
        <w:rPr>
          <w:rFonts w:ascii="Times New Roman" w:hAnsi="Times New Roman" w:cs="Times New Roman"/>
          <w:b/>
          <w:sz w:val="28"/>
          <w:szCs w:val="28"/>
          <w:u w:val="single"/>
        </w:rPr>
        <w:t>Introduction</w:t>
      </w:r>
      <w:r w:rsidR="00490ABF" w:rsidRPr="00406D4F">
        <w:rPr>
          <w:rFonts w:ascii="Times New Roman" w:hAnsi="Times New Roman" w:cs="Times New Roman"/>
          <w:b/>
          <w:sz w:val="28"/>
          <w:szCs w:val="28"/>
          <w:u w:val="single"/>
        </w:rPr>
        <w:t xml:space="preserve"> et </w:t>
      </w:r>
      <w:r w:rsidR="00CB7E45" w:rsidRPr="00406D4F">
        <w:rPr>
          <w:rFonts w:ascii="Times New Roman" w:hAnsi="Times New Roman" w:cs="Times New Roman"/>
          <w:b/>
          <w:sz w:val="28"/>
          <w:szCs w:val="28"/>
          <w:u w:val="single"/>
        </w:rPr>
        <w:t>objectifs de l’étude</w:t>
      </w:r>
    </w:p>
    <w:p w14:paraId="4DB45C2E" w14:textId="77777777" w:rsidR="00003801" w:rsidRDefault="00003801" w:rsidP="00003801">
      <w:pPr>
        <w:pStyle w:val="Paragraphedeliste"/>
        <w:spacing w:line="240" w:lineRule="auto"/>
        <w:jc w:val="both"/>
        <w:rPr>
          <w:sz w:val="26"/>
          <w:szCs w:val="26"/>
        </w:rPr>
      </w:pPr>
    </w:p>
    <w:p w14:paraId="1B411EB7" w14:textId="3FDEDF4B" w:rsidR="005638A7" w:rsidRPr="00FB0D94" w:rsidRDefault="00003801" w:rsidP="00FB0D94">
      <w:pPr>
        <w:pStyle w:val="Paragraphedeliste"/>
        <w:spacing w:line="360" w:lineRule="auto"/>
        <w:jc w:val="both"/>
        <w:rPr>
          <w:rFonts w:ascii="Times New Roman" w:hAnsi="Times New Roman" w:cs="Times New Roman"/>
          <w:sz w:val="24"/>
          <w:szCs w:val="24"/>
        </w:rPr>
      </w:pPr>
      <w:r w:rsidRPr="00FB0D94">
        <w:rPr>
          <w:rFonts w:ascii="Times New Roman" w:hAnsi="Times New Roman" w:cs="Times New Roman"/>
          <w:sz w:val="24"/>
          <w:szCs w:val="24"/>
        </w:rPr>
        <w:t xml:space="preserve">Les investisseurs boursiers ont a priori à </w:t>
      </w:r>
      <w:r w:rsidR="00CB7E45" w:rsidRPr="00FB0D94">
        <w:rPr>
          <w:rFonts w:ascii="Times New Roman" w:hAnsi="Times New Roman" w:cs="Times New Roman"/>
          <w:sz w:val="24"/>
          <w:szCs w:val="24"/>
        </w:rPr>
        <w:t xml:space="preserve">leur </w:t>
      </w:r>
      <w:r w:rsidRPr="00FB0D94">
        <w:rPr>
          <w:rFonts w:ascii="Times New Roman" w:hAnsi="Times New Roman" w:cs="Times New Roman"/>
          <w:sz w:val="24"/>
          <w:szCs w:val="24"/>
        </w:rPr>
        <w:t>disposition pléthore d’outils pou</w:t>
      </w:r>
      <w:r w:rsidR="000309CB" w:rsidRPr="00FB0D94">
        <w:rPr>
          <w:rFonts w:ascii="Times New Roman" w:hAnsi="Times New Roman" w:cs="Times New Roman"/>
          <w:sz w:val="24"/>
          <w:szCs w:val="24"/>
        </w:rPr>
        <w:t>r orienter leurs choix d’investissements</w:t>
      </w:r>
      <w:r w:rsidRPr="00FB0D94">
        <w:rPr>
          <w:rFonts w:ascii="Times New Roman" w:hAnsi="Times New Roman" w:cs="Times New Roman"/>
          <w:sz w:val="24"/>
          <w:szCs w:val="24"/>
        </w:rPr>
        <w:t>. Classiquement, on peut retrouver des méthodes issues de l’analyse fondamentale (avec un rôle important dédicacé à l’information</w:t>
      </w:r>
      <w:r w:rsidR="00A82788" w:rsidRPr="00FB0D94">
        <w:rPr>
          <w:rFonts w:ascii="Times New Roman" w:hAnsi="Times New Roman" w:cs="Times New Roman"/>
          <w:sz w:val="24"/>
          <w:szCs w:val="24"/>
        </w:rPr>
        <w:t xml:space="preserve"> et les effets de la publication de celle-ci sur la performance de l’entreprise</w:t>
      </w:r>
      <w:r w:rsidRPr="00FB0D94">
        <w:rPr>
          <w:rFonts w:ascii="Times New Roman" w:hAnsi="Times New Roman" w:cs="Times New Roman"/>
          <w:sz w:val="24"/>
          <w:szCs w:val="24"/>
        </w:rPr>
        <w:t>) et des méthodes en provenance des champs de l’analyse technique (faisant appel à des configurations graphiques</w:t>
      </w:r>
      <w:r w:rsidR="00A82788" w:rsidRPr="00FB0D94">
        <w:rPr>
          <w:rFonts w:ascii="Times New Roman" w:hAnsi="Times New Roman" w:cs="Times New Roman"/>
          <w:sz w:val="24"/>
          <w:szCs w:val="24"/>
        </w:rPr>
        <w:t xml:space="preserve"> avec la présence de signaux d’achat ou de vente</w:t>
      </w:r>
      <w:r w:rsidRPr="00FB0D94">
        <w:rPr>
          <w:rFonts w:ascii="Times New Roman" w:hAnsi="Times New Roman" w:cs="Times New Roman"/>
          <w:sz w:val="24"/>
          <w:szCs w:val="24"/>
        </w:rPr>
        <w:t xml:space="preserve">). </w:t>
      </w:r>
      <w:r w:rsidR="00A82788" w:rsidRPr="00FB0D94">
        <w:rPr>
          <w:rFonts w:ascii="Times New Roman" w:hAnsi="Times New Roman" w:cs="Times New Roman"/>
          <w:sz w:val="24"/>
          <w:szCs w:val="24"/>
        </w:rPr>
        <w:t xml:space="preserve">Si l’information a constitué le terreau pour le développement de théories financières devenues incontournables (l’efficience des marchés, </w:t>
      </w:r>
      <w:r w:rsidR="00D349D6" w:rsidRPr="00FB0D94">
        <w:rPr>
          <w:rFonts w:ascii="Times New Roman" w:hAnsi="Times New Roman" w:cs="Times New Roman"/>
          <w:sz w:val="24"/>
          <w:szCs w:val="24"/>
        </w:rPr>
        <w:t xml:space="preserve">dans ses </w:t>
      </w:r>
      <w:r w:rsidR="00A82788" w:rsidRPr="00FB0D94">
        <w:rPr>
          <w:rFonts w:ascii="Times New Roman" w:hAnsi="Times New Roman" w:cs="Times New Roman"/>
          <w:sz w:val="24"/>
          <w:szCs w:val="24"/>
        </w:rPr>
        <w:t>formes faible, forte et semi-forte) débouchant sur des méthodologies largement répandues (par exemple, les études événementielles), celles-ci ont tout d’abord démontré le</w:t>
      </w:r>
      <w:r w:rsidR="00D349D6" w:rsidRPr="00FB0D94">
        <w:rPr>
          <w:rFonts w:ascii="Times New Roman" w:hAnsi="Times New Roman" w:cs="Times New Roman"/>
          <w:sz w:val="24"/>
          <w:szCs w:val="24"/>
        </w:rPr>
        <w:t>ur</w:t>
      </w:r>
      <w:r w:rsidR="00A82788" w:rsidRPr="00FB0D94">
        <w:rPr>
          <w:rFonts w:ascii="Times New Roman" w:hAnsi="Times New Roman" w:cs="Times New Roman"/>
          <w:sz w:val="24"/>
          <w:szCs w:val="24"/>
        </w:rPr>
        <w:t>s limites lors de contextes à faible probabilité d’apparition (Taleb N., 2007). De plus, si l’information peut constituer de fait un outil d’analyse, sa pertinence est certainement plus adaptée aux investisseurs institutionnels qu’aux petits investisseurs, en mal chronique d’accès à l’information</w:t>
      </w:r>
      <w:r w:rsidR="008F2777" w:rsidRPr="00FB0D94">
        <w:rPr>
          <w:rFonts w:ascii="Times New Roman" w:hAnsi="Times New Roman" w:cs="Times New Roman"/>
          <w:sz w:val="24"/>
          <w:szCs w:val="24"/>
        </w:rPr>
        <w:t xml:space="preserve"> en temps réel. Ce constat peut engendrer des situations</w:t>
      </w:r>
      <w:r w:rsidR="00A82788" w:rsidRPr="00FB0D94">
        <w:rPr>
          <w:rFonts w:ascii="Times New Roman" w:hAnsi="Times New Roman" w:cs="Times New Roman"/>
          <w:sz w:val="24"/>
          <w:szCs w:val="24"/>
        </w:rPr>
        <w:t xml:space="preserve"> problématique</w:t>
      </w:r>
      <w:r w:rsidR="008F2777" w:rsidRPr="00FB0D94">
        <w:rPr>
          <w:rFonts w:ascii="Times New Roman" w:hAnsi="Times New Roman" w:cs="Times New Roman"/>
          <w:sz w:val="24"/>
          <w:szCs w:val="24"/>
        </w:rPr>
        <w:t>s</w:t>
      </w:r>
      <w:r w:rsidR="00A82788" w:rsidRPr="00FB0D94">
        <w:rPr>
          <w:rFonts w:ascii="Times New Roman" w:hAnsi="Times New Roman" w:cs="Times New Roman"/>
          <w:sz w:val="24"/>
          <w:szCs w:val="24"/>
        </w:rPr>
        <w:t xml:space="preserve"> pour les investisseurs is</w:t>
      </w:r>
      <w:r w:rsidR="008F2777" w:rsidRPr="00FB0D94">
        <w:rPr>
          <w:rFonts w:ascii="Times New Roman" w:hAnsi="Times New Roman" w:cs="Times New Roman"/>
          <w:sz w:val="24"/>
          <w:szCs w:val="24"/>
        </w:rPr>
        <w:t>olés. C</w:t>
      </w:r>
      <w:r w:rsidR="00766013" w:rsidRPr="00FB0D94">
        <w:rPr>
          <w:rFonts w:ascii="Times New Roman" w:hAnsi="Times New Roman" w:cs="Times New Roman"/>
          <w:sz w:val="24"/>
          <w:szCs w:val="24"/>
        </w:rPr>
        <w:t xml:space="preserve">eux-ci peuvent </w:t>
      </w:r>
      <w:r w:rsidR="008F2777" w:rsidRPr="00FB0D94">
        <w:rPr>
          <w:rFonts w:ascii="Times New Roman" w:hAnsi="Times New Roman" w:cs="Times New Roman"/>
          <w:sz w:val="24"/>
          <w:szCs w:val="24"/>
        </w:rPr>
        <w:t xml:space="preserve">alors </w:t>
      </w:r>
      <w:r w:rsidR="00766013" w:rsidRPr="00FB0D94">
        <w:rPr>
          <w:rFonts w:ascii="Times New Roman" w:hAnsi="Times New Roman" w:cs="Times New Roman"/>
          <w:sz w:val="24"/>
          <w:szCs w:val="24"/>
        </w:rPr>
        <w:t xml:space="preserve">retenir deux solutions ; soit </w:t>
      </w:r>
      <w:r w:rsidR="00266010" w:rsidRPr="00FB0D94">
        <w:rPr>
          <w:rFonts w:ascii="Times New Roman" w:hAnsi="Times New Roman" w:cs="Times New Roman"/>
          <w:sz w:val="24"/>
          <w:szCs w:val="24"/>
        </w:rPr>
        <w:t xml:space="preserve">ils </w:t>
      </w:r>
      <w:r w:rsidR="00766013" w:rsidRPr="00FB0D94">
        <w:rPr>
          <w:rFonts w:ascii="Times New Roman" w:hAnsi="Times New Roman" w:cs="Times New Roman"/>
          <w:sz w:val="24"/>
          <w:szCs w:val="24"/>
        </w:rPr>
        <w:t>colle</w:t>
      </w:r>
      <w:r w:rsidR="00266010" w:rsidRPr="00FB0D94">
        <w:rPr>
          <w:rFonts w:ascii="Times New Roman" w:hAnsi="Times New Roman" w:cs="Times New Roman"/>
          <w:sz w:val="24"/>
          <w:szCs w:val="24"/>
        </w:rPr>
        <w:t>nt</w:t>
      </w:r>
      <w:r w:rsidR="00766013" w:rsidRPr="00FB0D94">
        <w:rPr>
          <w:rFonts w:ascii="Times New Roman" w:hAnsi="Times New Roman" w:cs="Times New Roman"/>
          <w:sz w:val="24"/>
          <w:szCs w:val="24"/>
        </w:rPr>
        <w:t xml:space="preserve"> à la réaction des investisseurs institutionnels qu’ils mandatent pour réaliser l’exercice de traduction de l’information, soit </w:t>
      </w:r>
      <w:r w:rsidR="0035152B" w:rsidRPr="00FB0D94">
        <w:rPr>
          <w:rFonts w:ascii="Times New Roman" w:hAnsi="Times New Roman" w:cs="Times New Roman"/>
          <w:sz w:val="24"/>
          <w:szCs w:val="24"/>
        </w:rPr>
        <w:t xml:space="preserve">ils </w:t>
      </w:r>
      <w:r w:rsidR="00766013" w:rsidRPr="00FB0D94">
        <w:rPr>
          <w:rFonts w:ascii="Times New Roman" w:hAnsi="Times New Roman" w:cs="Times New Roman"/>
          <w:sz w:val="24"/>
          <w:szCs w:val="24"/>
        </w:rPr>
        <w:t>re</w:t>
      </w:r>
      <w:r w:rsidR="00895A1C" w:rsidRPr="00FB0D94">
        <w:rPr>
          <w:rFonts w:ascii="Times New Roman" w:hAnsi="Times New Roman" w:cs="Times New Roman"/>
          <w:sz w:val="24"/>
          <w:szCs w:val="24"/>
        </w:rPr>
        <w:t>cour</w:t>
      </w:r>
      <w:r w:rsidR="0035152B" w:rsidRPr="00FB0D94">
        <w:rPr>
          <w:rFonts w:ascii="Times New Roman" w:hAnsi="Times New Roman" w:cs="Times New Roman"/>
          <w:sz w:val="24"/>
          <w:szCs w:val="24"/>
        </w:rPr>
        <w:t>ent</w:t>
      </w:r>
      <w:r w:rsidR="00895A1C" w:rsidRPr="00FB0D94">
        <w:rPr>
          <w:rFonts w:ascii="Times New Roman" w:hAnsi="Times New Roman" w:cs="Times New Roman"/>
          <w:sz w:val="24"/>
          <w:szCs w:val="24"/>
        </w:rPr>
        <w:t xml:space="preserve"> à des méthodes issues de</w:t>
      </w:r>
      <w:r w:rsidR="00766013" w:rsidRPr="00FB0D94">
        <w:rPr>
          <w:rFonts w:ascii="Times New Roman" w:hAnsi="Times New Roman" w:cs="Times New Roman"/>
          <w:sz w:val="24"/>
          <w:szCs w:val="24"/>
        </w:rPr>
        <w:t xml:space="preserve"> paradigmes </w:t>
      </w:r>
      <w:r w:rsidR="00895A1C" w:rsidRPr="00FB0D94">
        <w:rPr>
          <w:rFonts w:ascii="Times New Roman" w:hAnsi="Times New Roman" w:cs="Times New Roman"/>
          <w:sz w:val="24"/>
          <w:szCs w:val="24"/>
        </w:rPr>
        <w:t xml:space="preserve">plus </w:t>
      </w:r>
      <w:r w:rsidR="00766013" w:rsidRPr="00FB0D94">
        <w:rPr>
          <w:rFonts w:ascii="Times New Roman" w:hAnsi="Times New Roman" w:cs="Times New Roman"/>
          <w:sz w:val="24"/>
          <w:szCs w:val="24"/>
        </w:rPr>
        <w:t xml:space="preserve">techniques. </w:t>
      </w:r>
      <w:r w:rsidR="00895A1C" w:rsidRPr="00FB0D94">
        <w:rPr>
          <w:rFonts w:ascii="Times New Roman" w:hAnsi="Times New Roman" w:cs="Times New Roman"/>
          <w:sz w:val="24"/>
          <w:szCs w:val="24"/>
        </w:rPr>
        <w:t>D’autres phénomènes pourraient également être théoriquement observés, tels que l’arrimage à des normes de marché</w:t>
      </w:r>
      <w:r w:rsidR="00DE1FB2">
        <w:rPr>
          <w:rFonts w:ascii="Times New Roman" w:hAnsi="Times New Roman" w:cs="Times New Roman"/>
          <w:sz w:val="24"/>
          <w:szCs w:val="24"/>
        </w:rPr>
        <w:t xml:space="preserve"> (assimilables à des conventions)</w:t>
      </w:r>
      <w:r w:rsidR="00895A1C" w:rsidRPr="00FB0D94">
        <w:rPr>
          <w:rFonts w:ascii="Times New Roman" w:hAnsi="Times New Roman" w:cs="Times New Roman"/>
          <w:sz w:val="24"/>
          <w:szCs w:val="24"/>
        </w:rPr>
        <w:t xml:space="preserve">. </w:t>
      </w:r>
      <w:r w:rsidRPr="00FB0D94">
        <w:rPr>
          <w:rFonts w:ascii="Times New Roman" w:hAnsi="Times New Roman" w:cs="Times New Roman"/>
          <w:sz w:val="24"/>
          <w:szCs w:val="24"/>
        </w:rPr>
        <w:t>Dans le cadre de cet article, n</w:t>
      </w:r>
      <w:r w:rsidR="00766013" w:rsidRPr="00FB0D94">
        <w:rPr>
          <w:rFonts w:ascii="Times New Roman" w:hAnsi="Times New Roman" w:cs="Times New Roman"/>
          <w:sz w:val="24"/>
          <w:szCs w:val="24"/>
        </w:rPr>
        <w:t xml:space="preserve">ous nous positionnons sur une cohorte estudiantine aguerrie (en fonction de la </w:t>
      </w:r>
      <w:r w:rsidR="00766013" w:rsidRPr="00FB0D94">
        <w:rPr>
          <w:rFonts w:ascii="Times New Roman" w:hAnsi="Times New Roman" w:cs="Times New Roman"/>
          <w:sz w:val="24"/>
          <w:szCs w:val="24"/>
        </w:rPr>
        <w:lastRenderedPageBreak/>
        <w:t>formation universitaire suivie) à l’utilisation de certaines techniques en lien avec les choix d’investissement</w:t>
      </w:r>
      <w:r w:rsidRPr="00FB0D94">
        <w:rPr>
          <w:rFonts w:ascii="Times New Roman" w:hAnsi="Times New Roman" w:cs="Times New Roman"/>
          <w:sz w:val="24"/>
          <w:szCs w:val="24"/>
        </w:rPr>
        <w:t>.</w:t>
      </w:r>
      <w:r w:rsidR="00B64809" w:rsidRPr="00FB0D94">
        <w:rPr>
          <w:rFonts w:ascii="Times New Roman" w:hAnsi="Times New Roman" w:cs="Times New Roman"/>
          <w:sz w:val="24"/>
          <w:szCs w:val="24"/>
        </w:rPr>
        <w:t xml:space="preserve"> </w:t>
      </w:r>
      <w:r w:rsidR="006E771E" w:rsidRPr="00FB0D94">
        <w:rPr>
          <w:rFonts w:ascii="Times New Roman" w:hAnsi="Times New Roman" w:cs="Times New Roman"/>
          <w:sz w:val="24"/>
          <w:szCs w:val="24"/>
        </w:rPr>
        <w:t xml:space="preserve">Même si la population estudiantine est homogène en termes de bagages scolaires, elle n’est évidemment pas socialisée aux normes des activités de trading. </w:t>
      </w:r>
    </w:p>
    <w:p w14:paraId="2C440954" w14:textId="7FB9C726" w:rsidR="005638A7" w:rsidRPr="00FB0D94" w:rsidRDefault="00B64809" w:rsidP="00FB0D94">
      <w:pPr>
        <w:pStyle w:val="Paragraphedeliste"/>
        <w:spacing w:line="360" w:lineRule="auto"/>
        <w:jc w:val="both"/>
        <w:rPr>
          <w:rFonts w:ascii="Times New Roman" w:hAnsi="Times New Roman" w:cs="Times New Roman"/>
          <w:sz w:val="24"/>
          <w:szCs w:val="24"/>
        </w:rPr>
      </w:pPr>
      <w:r w:rsidRPr="00FB0D94">
        <w:rPr>
          <w:rFonts w:ascii="Times New Roman" w:hAnsi="Times New Roman" w:cs="Times New Roman"/>
          <w:sz w:val="24"/>
          <w:szCs w:val="24"/>
        </w:rPr>
        <w:t>Au départ</w:t>
      </w:r>
      <w:r w:rsidR="00766013" w:rsidRPr="00FB0D94">
        <w:rPr>
          <w:rFonts w:ascii="Times New Roman" w:hAnsi="Times New Roman" w:cs="Times New Roman"/>
          <w:sz w:val="24"/>
          <w:szCs w:val="24"/>
        </w:rPr>
        <w:t xml:space="preserve"> d’un portefeuille virtuel de 100.000 euros composé d’actions reprises au sein du CAC40, il leur a été demandé de réaliser des activités de trading en continu durant une semaine boursière</w:t>
      </w:r>
      <w:r w:rsidR="00B1472C" w:rsidRPr="00FB0D94">
        <w:rPr>
          <w:rFonts w:ascii="Times New Roman" w:hAnsi="Times New Roman" w:cs="Times New Roman"/>
          <w:sz w:val="24"/>
          <w:szCs w:val="24"/>
        </w:rPr>
        <w:t xml:space="preserve"> (fin janvier 2019)</w:t>
      </w:r>
      <w:r w:rsidR="00766013" w:rsidRPr="00FB0D94">
        <w:rPr>
          <w:rFonts w:ascii="Times New Roman" w:hAnsi="Times New Roman" w:cs="Times New Roman"/>
          <w:sz w:val="24"/>
          <w:szCs w:val="24"/>
        </w:rPr>
        <w:t xml:space="preserve">. Sans intervention </w:t>
      </w:r>
      <w:r w:rsidR="00912645" w:rsidRPr="00FB0D94">
        <w:rPr>
          <w:rFonts w:ascii="Times New Roman" w:hAnsi="Times New Roman" w:cs="Times New Roman"/>
          <w:sz w:val="24"/>
          <w:szCs w:val="24"/>
        </w:rPr>
        <w:t>préalable des organisateurs de l’expérimentation</w:t>
      </w:r>
      <w:r w:rsidR="00766013" w:rsidRPr="00FB0D94">
        <w:rPr>
          <w:rFonts w:ascii="Times New Roman" w:hAnsi="Times New Roman" w:cs="Times New Roman"/>
          <w:sz w:val="24"/>
          <w:szCs w:val="24"/>
        </w:rPr>
        <w:t xml:space="preserve">, les </w:t>
      </w:r>
      <w:r w:rsidR="0084216F" w:rsidRPr="00FB0D94">
        <w:rPr>
          <w:rFonts w:ascii="Times New Roman" w:hAnsi="Times New Roman" w:cs="Times New Roman"/>
          <w:sz w:val="24"/>
          <w:szCs w:val="24"/>
        </w:rPr>
        <w:t>étudiants ont développé quelques</w:t>
      </w:r>
      <w:r w:rsidR="00766013" w:rsidRPr="00FB0D94">
        <w:rPr>
          <w:rFonts w:ascii="Times New Roman" w:hAnsi="Times New Roman" w:cs="Times New Roman"/>
          <w:sz w:val="24"/>
          <w:szCs w:val="24"/>
        </w:rPr>
        <w:t xml:space="preserve"> repères </w:t>
      </w:r>
      <w:r w:rsidR="0084216F" w:rsidRPr="00FB0D94">
        <w:rPr>
          <w:rFonts w:ascii="Times New Roman" w:hAnsi="Times New Roman" w:cs="Times New Roman"/>
          <w:sz w:val="24"/>
          <w:szCs w:val="24"/>
        </w:rPr>
        <w:t xml:space="preserve">sibyllins </w:t>
      </w:r>
      <w:r w:rsidR="00766013" w:rsidRPr="00FB0D94">
        <w:rPr>
          <w:rFonts w:ascii="Times New Roman" w:hAnsi="Times New Roman" w:cs="Times New Roman"/>
          <w:sz w:val="24"/>
          <w:szCs w:val="24"/>
        </w:rPr>
        <w:t>d’investissements dérivés des champs fondamentaux et techniques dans les premiers moments de l’expérience</w:t>
      </w:r>
      <w:r w:rsidR="00302BB2">
        <w:rPr>
          <w:rFonts w:ascii="Times New Roman" w:hAnsi="Times New Roman" w:cs="Times New Roman"/>
          <w:sz w:val="24"/>
          <w:szCs w:val="24"/>
        </w:rPr>
        <w:t xml:space="preserve"> mais</w:t>
      </w:r>
      <w:r w:rsidR="00766013" w:rsidRPr="00FB0D94">
        <w:rPr>
          <w:rFonts w:ascii="Times New Roman" w:hAnsi="Times New Roman" w:cs="Times New Roman"/>
          <w:sz w:val="24"/>
          <w:szCs w:val="24"/>
        </w:rPr>
        <w:t>, au fur et à mesur</w:t>
      </w:r>
      <w:r w:rsidR="00912645" w:rsidRPr="00FB0D94">
        <w:rPr>
          <w:rFonts w:ascii="Times New Roman" w:hAnsi="Times New Roman" w:cs="Times New Roman"/>
          <w:sz w:val="24"/>
          <w:szCs w:val="24"/>
        </w:rPr>
        <w:t>e du temps, les décisions ont eu tendance à être</w:t>
      </w:r>
      <w:r w:rsidR="00766013" w:rsidRPr="00FB0D94">
        <w:rPr>
          <w:rFonts w:ascii="Times New Roman" w:hAnsi="Times New Roman" w:cs="Times New Roman"/>
          <w:sz w:val="24"/>
          <w:szCs w:val="24"/>
        </w:rPr>
        <w:t xml:space="preserve"> prises sur base d’indicateurs de plus en plus rudimentaires qui leur permettaient d’intensifier le nombre d’opérations passées. </w:t>
      </w:r>
    </w:p>
    <w:p w14:paraId="261E01DD" w14:textId="77777777" w:rsidR="00060016" w:rsidRDefault="00060016" w:rsidP="00660053">
      <w:pPr>
        <w:pStyle w:val="Paragraphedeliste"/>
        <w:spacing w:line="240" w:lineRule="auto"/>
        <w:jc w:val="both"/>
        <w:rPr>
          <w:sz w:val="26"/>
          <w:szCs w:val="26"/>
        </w:rPr>
      </w:pPr>
    </w:p>
    <w:p w14:paraId="4926B3DB" w14:textId="77777777" w:rsidR="00003801" w:rsidRDefault="00B1472C" w:rsidP="00660053">
      <w:pPr>
        <w:pStyle w:val="Paragraphedeliste"/>
        <w:spacing w:line="240" w:lineRule="auto"/>
        <w:jc w:val="both"/>
        <w:rPr>
          <w:sz w:val="26"/>
          <w:szCs w:val="26"/>
        </w:rPr>
      </w:pPr>
      <w:r>
        <w:rPr>
          <w:sz w:val="26"/>
          <w:szCs w:val="26"/>
        </w:rPr>
        <w:t xml:space="preserve">  </w:t>
      </w:r>
    </w:p>
    <w:p w14:paraId="6CCEB851" w14:textId="77777777" w:rsidR="00003801" w:rsidRPr="00406D4F" w:rsidRDefault="00003801" w:rsidP="00660053">
      <w:pPr>
        <w:pStyle w:val="Paragraphedeliste"/>
        <w:numPr>
          <w:ilvl w:val="0"/>
          <w:numId w:val="1"/>
        </w:numPr>
        <w:spacing w:line="240" w:lineRule="auto"/>
        <w:jc w:val="both"/>
        <w:rPr>
          <w:rFonts w:ascii="Times New Roman" w:hAnsi="Times New Roman" w:cs="Times New Roman"/>
          <w:b/>
          <w:sz w:val="28"/>
          <w:szCs w:val="28"/>
          <w:u w:val="single"/>
        </w:rPr>
      </w:pPr>
      <w:r w:rsidRPr="00406D4F">
        <w:rPr>
          <w:rFonts w:ascii="Times New Roman" w:hAnsi="Times New Roman" w:cs="Times New Roman"/>
          <w:b/>
          <w:sz w:val="28"/>
          <w:szCs w:val="28"/>
          <w:u w:val="single"/>
        </w:rPr>
        <w:t>Etat de l’art</w:t>
      </w:r>
    </w:p>
    <w:p w14:paraId="5181DA82" w14:textId="77777777" w:rsidR="00B1472C" w:rsidRDefault="00B1472C" w:rsidP="00660053">
      <w:pPr>
        <w:pStyle w:val="Paragraphedeliste"/>
        <w:spacing w:line="240" w:lineRule="auto"/>
        <w:jc w:val="both"/>
        <w:rPr>
          <w:sz w:val="26"/>
          <w:szCs w:val="26"/>
        </w:rPr>
      </w:pPr>
    </w:p>
    <w:p w14:paraId="7DA89A65" w14:textId="3F2AC9C6" w:rsidR="00B1472C" w:rsidRPr="00FB0D94" w:rsidRDefault="00CB1B53" w:rsidP="00FB0D94">
      <w:pPr>
        <w:pStyle w:val="Paragraphedeliste"/>
        <w:spacing w:line="360" w:lineRule="auto"/>
        <w:jc w:val="both"/>
        <w:rPr>
          <w:rFonts w:ascii="Times New Roman" w:hAnsi="Times New Roman" w:cs="Times New Roman"/>
          <w:sz w:val="24"/>
          <w:szCs w:val="24"/>
        </w:rPr>
      </w:pPr>
      <w:r w:rsidRPr="00FB0D94">
        <w:rPr>
          <w:rFonts w:ascii="Times New Roman" w:hAnsi="Times New Roman" w:cs="Times New Roman"/>
          <w:sz w:val="24"/>
          <w:szCs w:val="24"/>
        </w:rPr>
        <w:t xml:space="preserve">Depuis les travaux de Fama E. (1970), </w:t>
      </w:r>
      <w:r w:rsidR="00C87C6D" w:rsidRPr="00FB0D94">
        <w:rPr>
          <w:rFonts w:ascii="Times New Roman" w:hAnsi="Times New Roman" w:cs="Times New Roman"/>
          <w:sz w:val="24"/>
          <w:szCs w:val="24"/>
        </w:rPr>
        <w:t>le contenu informationnel des messages</w:t>
      </w:r>
      <w:r w:rsidR="009B0901">
        <w:rPr>
          <w:rFonts w:ascii="Times New Roman" w:hAnsi="Times New Roman" w:cs="Times New Roman"/>
          <w:sz w:val="24"/>
          <w:szCs w:val="24"/>
        </w:rPr>
        <w:t xml:space="preserve"> </w:t>
      </w:r>
      <w:r w:rsidR="00E3616F" w:rsidRPr="00FB0D94">
        <w:rPr>
          <w:rFonts w:ascii="Times New Roman" w:hAnsi="Times New Roman" w:cs="Times New Roman"/>
          <w:sz w:val="24"/>
          <w:szCs w:val="24"/>
        </w:rPr>
        <w:t>envoyé</w:t>
      </w:r>
      <w:r w:rsidR="00C87C6D" w:rsidRPr="00FB0D94">
        <w:rPr>
          <w:rFonts w:ascii="Times New Roman" w:hAnsi="Times New Roman" w:cs="Times New Roman"/>
          <w:sz w:val="24"/>
          <w:szCs w:val="24"/>
        </w:rPr>
        <w:t xml:space="preserve"> aux investisseurs a souvent été considéré comme l’instrument central pour comprendre les processus décisio</w:t>
      </w:r>
      <w:r w:rsidR="00E3616F" w:rsidRPr="00FB0D94">
        <w:rPr>
          <w:rFonts w:ascii="Times New Roman" w:hAnsi="Times New Roman" w:cs="Times New Roman"/>
          <w:sz w:val="24"/>
          <w:szCs w:val="24"/>
        </w:rPr>
        <w:t>nnels sur les marchés boursiers.</w:t>
      </w:r>
      <w:r w:rsidR="00C87C6D" w:rsidRPr="00FB0D94">
        <w:rPr>
          <w:rFonts w:ascii="Times New Roman" w:hAnsi="Times New Roman" w:cs="Times New Roman"/>
          <w:sz w:val="24"/>
          <w:szCs w:val="24"/>
        </w:rPr>
        <w:t xml:space="preserve"> </w:t>
      </w:r>
      <w:r w:rsidR="00C01FA2" w:rsidRPr="00FB0D94">
        <w:rPr>
          <w:rFonts w:ascii="Times New Roman" w:hAnsi="Times New Roman" w:cs="Times New Roman"/>
          <w:sz w:val="24"/>
          <w:szCs w:val="24"/>
        </w:rPr>
        <w:t>L’hypothèse d’eff</w:t>
      </w:r>
      <w:r w:rsidR="00EB2B80" w:rsidRPr="00FB0D94">
        <w:rPr>
          <w:rFonts w:ascii="Times New Roman" w:hAnsi="Times New Roman" w:cs="Times New Roman"/>
          <w:sz w:val="24"/>
          <w:szCs w:val="24"/>
        </w:rPr>
        <w:t xml:space="preserve">icience informationnelle </w:t>
      </w:r>
      <w:r w:rsidR="00C01FA2" w:rsidRPr="00FB0D94">
        <w:rPr>
          <w:rFonts w:ascii="Times New Roman" w:hAnsi="Times New Roman" w:cs="Times New Roman"/>
          <w:sz w:val="24"/>
          <w:szCs w:val="24"/>
        </w:rPr>
        <w:t>s</w:t>
      </w:r>
      <w:r w:rsidR="00EB2B80" w:rsidRPr="00FB0D94">
        <w:rPr>
          <w:rFonts w:ascii="Times New Roman" w:hAnsi="Times New Roman" w:cs="Times New Roman"/>
          <w:sz w:val="24"/>
          <w:szCs w:val="24"/>
        </w:rPr>
        <w:t>tipule que le cours de Bourse</w:t>
      </w:r>
      <w:r w:rsidR="00C01FA2" w:rsidRPr="00FB0D94">
        <w:rPr>
          <w:rFonts w:ascii="Times New Roman" w:hAnsi="Times New Roman" w:cs="Times New Roman"/>
          <w:sz w:val="24"/>
          <w:szCs w:val="24"/>
        </w:rPr>
        <w:t xml:space="preserve"> reflète au mieux, compte tenu de l’information </w:t>
      </w:r>
      <w:r w:rsidR="00640EFD" w:rsidRPr="00FB0D94">
        <w:rPr>
          <w:rFonts w:ascii="Times New Roman" w:hAnsi="Times New Roman" w:cs="Times New Roman"/>
          <w:sz w:val="24"/>
          <w:szCs w:val="24"/>
        </w:rPr>
        <w:t xml:space="preserve">publiquement </w:t>
      </w:r>
      <w:r w:rsidR="00C01FA2" w:rsidRPr="00FB0D94">
        <w:rPr>
          <w:rFonts w:ascii="Times New Roman" w:hAnsi="Times New Roman" w:cs="Times New Roman"/>
          <w:sz w:val="24"/>
          <w:szCs w:val="24"/>
        </w:rPr>
        <w:t>disponible, la valeur fondamentale</w:t>
      </w:r>
      <w:r w:rsidR="00EB2B80" w:rsidRPr="00FB0D94">
        <w:rPr>
          <w:rFonts w:ascii="Times New Roman" w:hAnsi="Times New Roman" w:cs="Times New Roman"/>
          <w:sz w:val="24"/>
          <w:szCs w:val="24"/>
        </w:rPr>
        <w:t xml:space="preserve"> de l’</w:t>
      </w:r>
      <w:r w:rsidR="000A459D" w:rsidRPr="00FB0D94">
        <w:rPr>
          <w:rFonts w:ascii="Times New Roman" w:hAnsi="Times New Roman" w:cs="Times New Roman"/>
          <w:sz w:val="24"/>
          <w:szCs w:val="24"/>
        </w:rPr>
        <w:t>en</w:t>
      </w:r>
      <w:r w:rsidR="001E168F" w:rsidRPr="00FB0D94">
        <w:rPr>
          <w:rFonts w:ascii="Times New Roman" w:hAnsi="Times New Roman" w:cs="Times New Roman"/>
          <w:sz w:val="24"/>
          <w:szCs w:val="24"/>
        </w:rPr>
        <w:t>treprise (</w:t>
      </w:r>
      <w:r w:rsidR="00640EFD" w:rsidRPr="00FB0D94">
        <w:rPr>
          <w:rFonts w:ascii="Times New Roman" w:hAnsi="Times New Roman" w:cs="Times New Roman"/>
          <w:sz w:val="24"/>
          <w:szCs w:val="24"/>
        </w:rPr>
        <w:t xml:space="preserve">à savoir, </w:t>
      </w:r>
      <w:r w:rsidR="00EB2B80" w:rsidRPr="00FB0D94">
        <w:rPr>
          <w:rFonts w:ascii="Times New Roman" w:hAnsi="Times New Roman" w:cs="Times New Roman"/>
          <w:sz w:val="24"/>
          <w:szCs w:val="24"/>
        </w:rPr>
        <w:t>sa capacité à verser des divid</w:t>
      </w:r>
      <w:r w:rsidR="00BA63BB" w:rsidRPr="00FB0D94">
        <w:rPr>
          <w:rFonts w:ascii="Times New Roman" w:hAnsi="Times New Roman" w:cs="Times New Roman"/>
          <w:sz w:val="24"/>
          <w:szCs w:val="24"/>
        </w:rPr>
        <w:t xml:space="preserve">endes </w:t>
      </w:r>
      <w:r w:rsidR="00E1142D" w:rsidRPr="00FB0D94">
        <w:rPr>
          <w:rFonts w:ascii="Times New Roman" w:hAnsi="Times New Roman" w:cs="Times New Roman"/>
          <w:sz w:val="24"/>
          <w:szCs w:val="24"/>
        </w:rPr>
        <w:t xml:space="preserve">et à générer du </w:t>
      </w:r>
      <w:proofErr w:type="spellStart"/>
      <w:r w:rsidR="00E1142D" w:rsidRPr="00FB0D94">
        <w:rPr>
          <w:rFonts w:ascii="Times New Roman" w:hAnsi="Times New Roman" w:cs="Times New Roman"/>
          <w:sz w:val="24"/>
          <w:szCs w:val="24"/>
        </w:rPr>
        <w:t>cash flow</w:t>
      </w:r>
      <w:proofErr w:type="spellEnd"/>
      <w:r w:rsidR="00BA63BB" w:rsidRPr="00FB0D94">
        <w:rPr>
          <w:rFonts w:ascii="Times New Roman" w:hAnsi="Times New Roman" w:cs="Times New Roman"/>
          <w:sz w:val="24"/>
          <w:szCs w:val="24"/>
        </w:rPr>
        <w:t xml:space="preserve"> dans le futur</w:t>
      </w:r>
      <w:r w:rsidR="001E168F" w:rsidRPr="00FB0D94">
        <w:rPr>
          <w:rFonts w:ascii="Times New Roman" w:hAnsi="Times New Roman" w:cs="Times New Roman"/>
          <w:sz w:val="24"/>
          <w:szCs w:val="24"/>
        </w:rPr>
        <w:t>, son bilan financier, la qualité de son management, le caractère porteur du marché</w:t>
      </w:r>
      <w:r w:rsidR="00BA63BB" w:rsidRPr="00FB0D94">
        <w:rPr>
          <w:rFonts w:ascii="Times New Roman" w:hAnsi="Times New Roman" w:cs="Times New Roman"/>
          <w:sz w:val="24"/>
          <w:szCs w:val="24"/>
        </w:rPr>
        <w:t xml:space="preserve">, Cadet B., </w:t>
      </w:r>
      <w:proofErr w:type="spellStart"/>
      <w:r w:rsidR="00BA63BB" w:rsidRPr="00FB0D94">
        <w:rPr>
          <w:rFonts w:ascii="Times New Roman" w:hAnsi="Times New Roman" w:cs="Times New Roman"/>
          <w:sz w:val="24"/>
          <w:szCs w:val="24"/>
        </w:rPr>
        <w:t>Chasseigne</w:t>
      </w:r>
      <w:proofErr w:type="spellEnd"/>
      <w:r w:rsidR="00BA63BB" w:rsidRPr="00FB0D94">
        <w:rPr>
          <w:rFonts w:ascii="Times New Roman" w:hAnsi="Times New Roman" w:cs="Times New Roman"/>
          <w:sz w:val="24"/>
          <w:szCs w:val="24"/>
        </w:rPr>
        <w:t xml:space="preserve"> G., Foliot G. (2007</w:t>
      </w:r>
      <w:r w:rsidR="00EB2B80" w:rsidRPr="00FB0D94">
        <w:rPr>
          <w:rFonts w:ascii="Times New Roman" w:hAnsi="Times New Roman" w:cs="Times New Roman"/>
          <w:sz w:val="24"/>
          <w:szCs w:val="24"/>
        </w:rPr>
        <w:t>)</w:t>
      </w:r>
      <w:r w:rsidR="00BA63BB" w:rsidRPr="00FB0D94">
        <w:rPr>
          <w:rFonts w:ascii="Times New Roman" w:hAnsi="Times New Roman" w:cs="Times New Roman"/>
          <w:sz w:val="24"/>
          <w:szCs w:val="24"/>
        </w:rPr>
        <w:t>)</w:t>
      </w:r>
      <w:r w:rsidR="00C01FA2" w:rsidRPr="00FB0D94">
        <w:rPr>
          <w:rFonts w:ascii="Times New Roman" w:hAnsi="Times New Roman" w:cs="Times New Roman"/>
          <w:sz w:val="24"/>
          <w:szCs w:val="24"/>
        </w:rPr>
        <w:t>.</w:t>
      </w:r>
      <w:r w:rsidR="00E92A78" w:rsidRPr="00FB0D94">
        <w:rPr>
          <w:rFonts w:ascii="Times New Roman" w:hAnsi="Times New Roman" w:cs="Times New Roman"/>
          <w:sz w:val="24"/>
          <w:szCs w:val="24"/>
        </w:rPr>
        <w:t xml:space="preserve"> </w:t>
      </w:r>
      <w:r w:rsidR="00EB2B80" w:rsidRPr="00FB0D94">
        <w:rPr>
          <w:rFonts w:ascii="Times New Roman" w:hAnsi="Times New Roman" w:cs="Times New Roman"/>
          <w:sz w:val="24"/>
          <w:szCs w:val="24"/>
        </w:rPr>
        <w:t xml:space="preserve">Cette hypothèse présuppose </w:t>
      </w:r>
      <w:r w:rsidR="00E1142D" w:rsidRPr="00FB0D94">
        <w:rPr>
          <w:rFonts w:ascii="Times New Roman" w:hAnsi="Times New Roman" w:cs="Times New Roman"/>
          <w:sz w:val="24"/>
          <w:szCs w:val="24"/>
        </w:rPr>
        <w:t xml:space="preserve">bien évidemment </w:t>
      </w:r>
      <w:r w:rsidR="00EB2B80" w:rsidRPr="00FB0D94">
        <w:rPr>
          <w:rFonts w:ascii="Times New Roman" w:hAnsi="Times New Roman" w:cs="Times New Roman"/>
          <w:sz w:val="24"/>
          <w:szCs w:val="24"/>
        </w:rPr>
        <w:t>la rationalité des investisseurs (</w:t>
      </w:r>
      <w:proofErr w:type="spellStart"/>
      <w:r w:rsidR="00EB2B80" w:rsidRPr="00FB0D94">
        <w:rPr>
          <w:rFonts w:ascii="Times New Roman" w:hAnsi="Times New Roman" w:cs="Times New Roman"/>
          <w:sz w:val="24"/>
          <w:szCs w:val="24"/>
        </w:rPr>
        <w:t>Chartoire</w:t>
      </w:r>
      <w:proofErr w:type="spellEnd"/>
      <w:r w:rsidR="00EB2B80" w:rsidRPr="00FB0D94">
        <w:rPr>
          <w:rFonts w:ascii="Times New Roman" w:hAnsi="Times New Roman" w:cs="Times New Roman"/>
          <w:sz w:val="24"/>
          <w:szCs w:val="24"/>
        </w:rPr>
        <w:t xml:space="preserve"> R., 2012)</w:t>
      </w:r>
      <w:r w:rsidR="00571B8E" w:rsidRPr="00FB0D94">
        <w:rPr>
          <w:rFonts w:ascii="Times New Roman" w:hAnsi="Times New Roman" w:cs="Times New Roman"/>
          <w:sz w:val="24"/>
          <w:szCs w:val="24"/>
        </w:rPr>
        <w:t xml:space="preserve">, </w:t>
      </w:r>
      <w:r w:rsidR="00DB1178" w:rsidRPr="00FB0D94">
        <w:rPr>
          <w:rFonts w:ascii="Times New Roman" w:hAnsi="Times New Roman" w:cs="Times New Roman"/>
          <w:sz w:val="24"/>
          <w:szCs w:val="24"/>
        </w:rPr>
        <w:t>l’absence d’asymétrie informationnelle</w:t>
      </w:r>
      <w:r w:rsidR="00571B8E" w:rsidRPr="00FB0D94">
        <w:rPr>
          <w:rFonts w:ascii="Times New Roman" w:hAnsi="Times New Roman" w:cs="Times New Roman"/>
          <w:sz w:val="24"/>
          <w:szCs w:val="24"/>
        </w:rPr>
        <w:t>, la gratuité de l’information ainsi que l’absence de coûts de transaction</w:t>
      </w:r>
      <w:r w:rsidR="00EB2B80" w:rsidRPr="00FB0D94">
        <w:rPr>
          <w:rFonts w:ascii="Times New Roman" w:hAnsi="Times New Roman" w:cs="Times New Roman"/>
          <w:sz w:val="24"/>
          <w:szCs w:val="24"/>
        </w:rPr>
        <w:t>.</w:t>
      </w:r>
      <w:r w:rsidR="00E1142D" w:rsidRPr="00FB0D94">
        <w:rPr>
          <w:rFonts w:ascii="Times New Roman" w:hAnsi="Times New Roman" w:cs="Times New Roman"/>
          <w:sz w:val="24"/>
          <w:szCs w:val="24"/>
        </w:rPr>
        <w:t xml:space="preserve"> L’</w:t>
      </w:r>
      <w:r w:rsidR="00DB1178" w:rsidRPr="00FB0D94">
        <w:rPr>
          <w:rFonts w:ascii="Times New Roman" w:hAnsi="Times New Roman" w:cs="Times New Roman"/>
          <w:sz w:val="24"/>
          <w:szCs w:val="24"/>
        </w:rPr>
        <w:t>hypothèse d’</w:t>
      </w:r>
      <w:r w:rsidR="00E1142D" w:rsidRPr="00FB0D94">
        <w:rPr>
          <w:rFonts w:ascii="Times New Roman" w:hAnsi="Times New Roman" w:cs="Times New Roman"/>
          <w:sz w:val="24"/>
          <w:szCs w:val="24"/>
        </w:rPr>
        <w:t xml:space="preserve">efficience des marchés (et la place donnée à l’information </w:t>
      </w:r>
      <w:r w:rsidR="00ED4845" w:rsidRPr="00FB0D94">
        <w:rPr>
          <w:rFonts w:ascii="Times New Roman" w:hAnsi="Times New Roman" w:cs="Times New Roman"/>
          <w:sz w:val="24"/>
          <w:szCs w:val="24"/>
        </w:rPr>
        <w:t>ainsi qu’</w:t>
      </w:r>
      <w:r w:rsidR="00E1142D" w:rsidRPr="00FB0D94">
        <w:rPr>
          <w:rFonts w:ascii="Times New Roman" w:hAnsi="Times New Roman" w:cs="Times New Roman"/>
          <w:sz w:val="24"/>
          <w:szCs w:val="24"/>
        </w:rPr>
        <w:t xml:space="preserve">aux anticipations rationnelles) a </w:t>
      </w:r>
      <w:r w:rsidR="00DB1178" w:rsidRPr="00FB0D94">
        <w:rPr>
          <w:rFonts w:ascii="Times New Roman" w:hAnsi="Times New Roman" w:cs="Times New Roman"/>
          <w:sz w:val="24"/>
          <w:szCs w:val="24"/>
        </w:rPr>
        <w:t xml:space="preserve">bien souvent </w:t>
      </w:r>
      <w:r w:rsidR="00E1142D" w:rsidRPr="00FB0D94">
        <w:rPr>
          <w:rFonts w:ascii="Times New Roman" w:hAnsi="Times New Roman" w:cs="Times New Roman"/>
          <w:sz w:val="24"/>
          <w:szCs w:val="24"/>
        </w:rPr>
        <w:t xml:space="preserve">été mise à mal par la réalité des comportements </w:t>
      </w:r>
      <w:r w:rsidR="004A77AA">
        <w:rPr>
          <w:rFonts w:ascii="Times New Roman" w:hAnsi="Times New Roman" w:cs="Times New Roman"/>
          <w:sz w:val="24"/>
          <w:szCs w:val="24"/>
        </w:rPr>
        <w:t xml:space="preserve">des acteurs </w:t>
      </w:r>
      <w:r w:rsidR="00E1142D" w:rsidRPr="00FB0D94">
        <w:rPr>
          <w:rFonts w:ascii="Times New Roman" w:hAnsi="Times New Roman" w:cs="Times New Roman"/>
          <w:sz w:val="24"/>
          <w:szCs w:val="24"/>
        </w:rPr>
        <w:t>sur l</w:t>
      </w:r>
      <w:r w:rsidR="004A6F0E" w:rsidRPr="00FB0D94">
        <w:rPr>
          <w:rFonts w:ascii="Times New Roman" w:hAnsi="Times New Roman" w:cs="Times New Roman"/>
          <w:sz w:val="24"/>
          <w:szCs w:val="24"/>
        </w:rPr>
        <w:t>es marchés (Albouy M., 2005</w:t>
      </w:r>
      <w:r w:rsidR="00ED4845" w:rsidRPr="00FB0D94">
        <w:rPr>
          <w:rFonts w:ascii="Times New Roman" w:hAnsi="Times New Roman" w:cs="Times New Roman"/>
          <w:sz w:val="24"/>
          <w:szCs w:val="24"/>
        </w:rPr>
        <w:t>). L</w:t>
      </w:r>
      <w:r w:rsidR="00E1142D" w:rsidRPr="00FB0D94">
        <w:rPr>
          <w:rFonts w:ascii="Times New Roman" w:hAnsi="Times New Roman" w:cs="Times New Roman"/>
          <w:sz w:val="24"/>
          <w:szCs w:val="24"/>
        </w:rPr>
        <w:t xml:space="preserve">es critiques qui lui sont adressées </w:t>
      </w:r>
      <w:r w:rsidR="00DB1178" w:rsidRPr="00FB0D94">
        <w:rPr>
          <w:rFonts w:ascii="Times New Roman" w:hAnsi="Times New Roman" w:cs="Times New Roman"/>
          <w:sz w:val="24"/>
          <w:szCs w:val="24"/>
        </w:rPr>
        <w:t xml:space="preserve">sont plurielles (par exemple, </w:t>
      </w:r>
      <w:proofErr w:type="spellStart"/>
      <w:r w:rsidR="00DB1178" w:rsidRPr="00FB0D94">
        <w:rPr>
          <w:rFonts w:ascii="Times New Roman" w:hAnsi="Times New Roman" w:cs="Times New Roman"/>
          <w:sz w:val="24"/>
          <w:szCs w:val="24"/>
        </w:rPr>
        <w:t>Louhichi</w:t>
      </w:r>
      <w:proofErr w:type="spellEnd"/>
      <w:r w:rsidR="00DB1178" w:rsidRPr="00FB0D94">
        <w:rPr>
          <w:rFonts w:ascii="Times New Roman" w:hAnsi="Times New Roman" w:cs="Times New Roman"/>
          <w:sz w:val="24"/>
          <w:szCs w:val="24"/>
        </w:rPr>
        <w:t xml:space="preserve"> W., 2012) et </w:t>
      </w:r>
      <w:r w:rsidR="00E1142D" w:rsidRPr="00FB0D94">
        <w:rPr>
          <w:rFonts w:ascii="Times New Roman" w:hAnsi="Times New Roman" w:cs="Times New Roman"/>
          <w:sz w:val="24"/>
          <w:szCs w:val="24"/>
        </w:rPr>
        <w:t xml:space="preserve">ont </w:t>
      </w:r>
      <w:r w:rsidR="00DB1178" w:rsidRPr="00FB0D94">
        <w:rPr>
          <w:rFonts w:ascii="Times New Roman" w:hAnsi="Times New Roman" w:cs="Times New Roman"/>
          <w:sz w:val="24"/>
          <w:szCs w:val="24"/>
        </w:rPr>
        <w:t xml:space="preserve">schématiquement </w:t>
      </w:r>
      <w:r w:rsidR="00E1142D" w:rsidRPr="00FB0D94">
        <w:rPr>
          <w:rFonts w:ascii="Times New Roman" w:hAnsi="Times New Roman" w:cs="Times New Roman"/>
          <w:sz w:val="24"/>
          <w:szCs w:val="24"/>
        </w:rPr>
        <w:t xml:space="preserve">donné corps à la finance comportementale (voir, notamment, </w:t>
      </w:r>
      <w:proofErr w:type="spellStart"/>
      <w:r w:rsidR="00E1142D" w:rsidRPr="00FB0D94">
        <w:rPr>
          <w:rFonts w:ascii="Times New Roman" w:hAnsi="Times New Roman" w:cs="Times New Roman"/>
          <w:sz w:val="24"/>
          <w:szCs w:val="24"/>
        </w:rPr>
        <w:t>Aktas</w:t>
      </w:r>
      <w:proofErr w:type="spellEnd"/>
      <w:r w:rsidR="00E1142D" w:rsidRPr="00FB0D94">
        <w:rPr>
          <w:rFonts w:ascii="Times New Roman" w:hAnsi="Times New Roman" w:cs="Times New Roman"/>
          <w:sz w:val="24"/>
          <w:szCs w:val="24"/>
        </w:rPr>
        <w:t xml:space="preserve"> N., 2004).</w:t>
      </w:r>
      <w:r w:rsidR="00227CDB" w:rsidRPr="00FB0D94">
        <w:rPr>
          <w:rFonts w:ascii="Times New Roman" w:hAnsi="Times New Roman" w:cs="Times New Roman"/>
          <w:sz w:val="24"/>
          <w:szCs w:val="24"/>
        </w:rPr>
        <w:t xml:space="preserve"> Si l’importance de l’information a été relativisée ces dernières années, nous pensons que des explications peuvent être trouvées au départ de la nature même des</w:t>
      </w:r>
      <w:r w:rsidR="007F00D8">
        <w:rPr>
          <w:rFonts w:ascii="Times New Roman" w:hAnsi="Times New Roman" w:cs="Times New Roman"/>
          <w:sz w:val="24"/>
          <w:szCs w:val="24"/>
        </w:rPr>
        <w:t xml:space="preserve"> intervenant</w:t>
      </w:r>
      <w:r w:rsidR="00227CDB" w:rsidRPr="00FB0D94">
        <w:rPr>
          <w:rFonts w:ascii="Times New Roman" w:hAnsi="Times New Roman" w:cs="Times New Roman"/>
          <w:sz w:val="24"/>
          <w:szCs w:val="24"/>
        </w:rPr>
        <w:t>s sur les marchés.</w:t>
      </w:r>
    </w:p>
    <w:p w14:paraId="4838077B" w14:textId="7034038E" w:rsidR="0006376E" w:rsidRPr="00FB0D94" w:rsidRDefault="00D52F30" w:rsidP="00FB0D94">
      <w:pPr>
        <w:spacing w:line="360" w:lineRule="auto"/>
        <w:ind w:left="709"/>
        <w:jc w:val="both"/>
        <w:rPr>
          <w:rFonts w:ascii="Times New Roman" w:hAnsi="Times New Roman" w:cs="Times New Roman"/>
          <w:sz w:val="24"/>
          <w:szCs w:val="24"/>
        </w:rPr>
      </w:pPr>
      <w:r w:rsidRPr="00FB0D94">
        <w:rPr>
          <w:rFonts w:ascii="Times New Roman" w:hAnsi="Times New Roman" w:cs="Times New Roman"/>
          <w:sz w:val="24"/>
          <w:szCs w:val="24"/>
        </w:rPr>
        <w:lastRenderedPageBreak/>
        <w:t>En effet, l</w:t>
      </w:r>
      <w:r w:rsidR="0006376E" w:rsidRPr="00FB0D94">
        <w:rPr>
          <w:rFonts w:ascii="Times New Roman" w:hAnsi="Times New Roman" w:cs="Times New Roman"/>
          <w:sz w:val="24"/>
          <w:szCs w:val="24"/>
        </w:rPr>
        <w:t xml:space="preserve">es </w:t>
      </w:r>
      <w:r w:rsidR="00EC1FDD">
        <w:rPr>
          <w:rFonts w:ascii="Times New Roman" w:hAnsi="Times New Roman" w:cs="Times New Roman"/>
          <w:sz w:val="24"/>
          <w:szCs w:val="24"/>
        </w:rPr>
        <w:t>opérateur</w:t>
      </w:r>
      <w:r w:rsidR="0006376E" w:rsidRPr="00FB0D94">
        <w:rPr>
          <w:rFonts w:ascii="Times New Roman" w:hAnsi="Times New Roman" w:cs="Times New Roman"/>
          <w:sz w:val="24"/>
          <w:szCs w:val="24"/>
        </w:rPr>
        <w:t>s boursiers sont caractérisés par un grand niveau d</w:t>
      </w:r>
      <w:r w:rsidRPr="00FB0D94">
        <w:rPr>
          <w:rFonts w:ascii="Times New Roman" w:hAnsi="Times New Roman" w:cs="Times New Roman"/>
          <w:sz w:val="24"/>
          <w:szCs w:val="24"/>
        </w:rPr>
        <w:t>’hétérogénéité</w:t>
      </w:r>
      <w:r w:rsidR="00AE1368" w:rsidRPr="00FB0D94">
        <w:rPr>
          <w:rFonts w:ascii="Times New Roman" w:hAnsi="Times New Roman" w:cs="Times New Roman"/>
          <w:sz w:val="24"/>
          <w:szCs w:val="24"/>
        </w:rPr>
        <w:t>. Dans le cadre de cet état de l’art</w:t>
      </w:r>
      <w:r w:rsidR="00B9533D" w:rsidRPr="00FB0D94">
        <w:rPr>
          <w:rFonts w:ascii="Times New Roman" w:hAnsi="Times New Roman" w:cs="Times New Roman"/>
          <w:sz w:val="24"/>
          <w:szCs w:val="24"/>
        </w:rPr>
        <w:t>, nous retenons quatre niveaux de classification</w:t>
      </w:r>
      <w:r w:rsidR="00AE1368" w:rsidRPr="00FB0D94">
        <w:rPr>
          <w:rFonts w:ascii="Times New Roman" w:hAnsi="Times New Roman" w:cs="Times New Roman"/>
          <w:sz w:val="24"/>
          <w:szCs w:val="24"/>
        </w:rPr>
        <w:t xml:space="preserve"> pour approcher celle-ci</w:t>
      </w:r>
      <w:r w:rsidR="00B9533D" w:rsidRPr="00FB0D94">
        <w:rPr>
          <w:rFonts w:ascii="Times New Roman" w:hAnsi="Times New Roman" w:cs="Times New Roman"/>
          <w:sz w:val="24"/>
          <w:szCs w:val="24"/>
        </w:rPr>
        <w:t>. Premièrement</w:t>
      </w:r>
      <w:r w:rsidR="0006376E" w:rsidRPr="00FB0D94">
        <w:rPr>
          <w:rFonts w:ascii="Times New Roman" w:hAnsi="Times New Roman" w:cs="Times New Roman"/>
          <w:sz w:val="24"/>
          <w:szCs w:val="24"/>
        </w:rPr>
        <w:t xml:space="preserve">, </w:t>
      </w:r>
      <w:r w:rsidR="00B9533D" w:rsidRPr="00FB0D94">
        <w:rPr>
          <w:rFonts w:ascii="Times New Roman" w:hAnsi="Times New Roman" w:cs="Times New Roman"/>
          <w:sz w:val="24"/>
          <w:szCs w:val="24"/>
        </w:rPr>
        <w:t>des petits porteurs</w:t>
      </w:r>
      <w:r w:rsidR="0006376E" w:rsidRPr="00FB0D94">
        <w:rPr>
          <w:rFonts w:ascii="Times New Roman" w:hAnsi="Times New Roman" w:cs="Times New Roman"/>
          <w:sz w:val="24"/>
          <w:szCs w:val="24"/>
        </w:rPr>
        <w:t xml:space="preserve"> </w:t>
      </w:r>
      <w:r w:rsidR="001D58F8">
        <w:rPr>
          <w:rFonts w:ascii="Times New Roman" w:hAnsi="Times New Roman" w:cs="Times New Roman"/>
          <w:sz w:val="24"/>
          <w:szCs w:val="24"/>
        </w:rPr>
        <w:t xml:space="preserve">(dont les profils peuvent </w:t>
      </w:r>
      <w:r w:rsidR="007551E9">
        <w:rPr>
          <w:rFonts w:ascii="Times New Roman" w:hAnsi="Times New Roman" w:cs="Times New Roman"/>
          <w:sz w:val="24"/>
          <w:szCs w:val="24"/>
        </w:rPr>
        <w:t xml:space="preserve">également </w:t>
      </w:r>
      <w:r w:rsidR="001D58F8">
        <w:rPr>
          <w:rFonts w:ascii="Times New Roman" w:hAnsi="Times New Roman" w:cs="Times New Roman"/>
          <w:sz w:val="24"/>
          <w:szCs w:val="24"/>
        </w:rPr>
        <w:t xml:space="preserve">largement varier, </w:t>
      </w:r>
      <w:proofErr w:type="spellStart"/>
      <w:r w:rsidR="007E1BBC">
        <w:rPr>
          <w:rFonts w:ascii="Times New Roman" w:hAnsi="Times New Roman" w:cs="Times New Roman"/>
          <w:sz w:val="24"/>
          <w:szCs w:val="24"/>
        </w:rPr>
        <w:t>Pozniak</w:t>
      </w:r>
      <w:proofErr w:type="spellEnd"/>
      <w:r w:rsidR="007E1BBC">
        <w:rPr>
          <w:rFonts w:ascii="Times New Roman" w:hAnsi="Times New Roman" w:cs="Times New Roman"/>
          <w:sz w:val="24"/>
          <w:szCs w:val="24"/>
        </w:rPr>
        <w:t xml:space="preserve"> L., </w:t>
      </w:r>
      <w:proofErr w:type="spellStart"/>
      <w:r w:rsidR="007E1BBC">
        <w:rPr>
          <w:rFonts w:ascii="Times New Roman" w:hAnsi="Times New Roman" w:cs="Times New Roman"/>
          <w:sz w:val="24"/>
          <w:szCs w:val="24"/>
        </w:rPr>
        <w:t>Scoubeau</w:t>
      </w:r>
      <w:proofErr w:type="spellEnd"/>
      <w:r w:rsidR="007E1BBC">
        <w:rPr>
          <w:rFonts w:ascii="Times New Roman" w:hAnsi="Times New Roman" w:cs="Times New Roman"/>
          <w:sz w:val="24"/>
          <w:szCs w:val="24"/>
        </w:rPr>
        <w:t xml:space="preserve"> C., 2020) </w:t>
      </w:r>
      <w:r w:rsidR="0006376E" w:rsidRPr="00FB0D94">
        <w:rPr>
          <w:rFonts w:ascii="Times New Roman" w:hAnsi="Times New Roman" w:cs="Times New Roman"/>
          <w:sz w:val="24"/>
          <w:szCs w:val="24"/>
        </w:rPr>
        <w:t>qui n’ont pas nécessairement la possibilité financière d’effectuer des exercices de</w:t>
      </w:r>
      <w:r w:rsidR="00B9533D" w:rsidRPr="00FB0D94">
        <w:rPr>
          <w:rFonts w:ascii="Times New Roman" w:hAnsi="Times New Roman" w:cs="Times New Roman"/>
          <w:sz w:val="24"/>
          <w:szCs w:val="24"/>
        </w:rPr>
        <w:t xml:space="preserve"> diversification et, deuxièmement</w:t>
      </w:r>
      <w:r w:rsidR="0006376E" w:rsidRPr="00FB0D94">
        <w:rPr>
          <w:rFonts w:ascii="Times New Roman" w:hAnsi="Times New Roman" w:cs="Times New Roman"/>
          <w:sz w:val="24"/>
          <w:szCs w:val="24"/>
        </w:rPr>
        <w:t>, des investisseurs institutionnels qui gèrent des portefeuilles de taille importante de façon dynamique (</w:t>
      </w:r>
      <w:proofErr w:type="spellStart"/>
      <w:r w:rsidR="0006376E" w:rsidRPr="00FB0D94">
        <w:rPr>
          <w:rFonts w:ascii="Times New Roman" w:hAnsi="Times New Roman" w:cs="Times New Roman"/>
          <w:sz w:val="24"/>
          <w:szCs w:val="24"/>
        </w:rPr>
        <w:t>Hautcoeur</w:t>
      </w:r>
      <w:proofErr w:type="spellEnd"/>
      <w:r w:rsidR="0006376E" w:rsidRPr="00FB0D94">
        <w:rPr>
          <w:rFonts w:ascii="Times New Roman" w:hAnsi="Times New Roman" w:cs="Times New Roman"/>
          <w:sz w:val="24"/>
          <w:szCs w:val="24"/>
        </w:rPr>
        <w:t xml:space="preserve"> P., 2011) en procédant à des arbitrages</w:t>
      </w:r>
      <w:r w:rsidR="00045721" w:rsidRPr="00FB0D94">
        <w:rPr>
          <w:rFonts w:ascii="Times New Roman" w:hAnsi="Times New Roman" w:cs="Times New Roman"/>
          <w:sz w:val="24"/>
          <w:szCs w:val="24"/>
        </w:rPr>
        <w:t>,</w:t>
      </w:r>
      <w:r w:rsidR="0006376E" w:rsidRPr="00FB0D94">
        <w:rPr>
          <w:rFonts w:ascii="Times New Roman" w:hAnsi="Times New Roman" w:cs="Times New Roman"/>
          <w:sz w:val="24"/>
          <w:szCs w:val="24"/>
        </w:rPr>
        <w:t xml:space="preserve"> en fonction des comportements </w:t>
      </w:r>
      <w:r w:rsidR="00EC1FDD">
        <w:rPr>
          <w:rFonts w:ascii="Times New Roman" w:hAnsi="Times New Roman" w:cs="Times New Roman"/>
          <w:sz w:val="24"/>
          <w:szCs w:val="24"/>
        </w:rPr>
        <w:t>d</w:t>
      </w:r>
      <w:r w:rsidR="0006376E" w:rsidRPr="00FB0D94">
        <w:rPr>
          <w:rFonts w:ascii="Times New Roman" w:hAnsi="Times New Roman" w:cs="Times New Roman"/>
          <w:sz w:val="24"/>
          <w:szCs w:val="24"/>
        </w:rPr>
        <w:t>es marchés</w:t>
      </w:r>
      <w:r w:rsidR="00045721" w:rsidRPr="00FB0D94">
        <w:rPr>
          <w:rFonts w:ascii="Times New Roman" w:hAnsi="Times New Roman" w:cs="Times New Roman"/>
          <w:sz w:val="24"/>
          <w:szCs w:val="24"/>
        </w:rPr>
        <w:t>,</w:t>
      </w:r>
      <w:r w:rsidR="0006376E" w:rsidRPr="00FB0D94">
        <w:rPr>
          <w:rFonts w:ascii="Times New Roman" w:hAnsi="Times New Roman" w:cs="Times New Roman"/>
          <w:sz w:val="24"/>
          <w:szCs w:val="24"/>
        </w:rPr>
        <w:t xml:space="preserve"> </w:t>
      </w:r>
      <w:r w:rsidR="003F05E6">
        <w:rPr>
          <w:rFonts w:ascii="Times New Roman" w:hAnsi="Times New Roman" w:cs="Times New Roman"/>
          <w:sz w:val="24"/>
          <w:szCs w:val="24"/>
        </w:rPr>
        <w:t xml:space="preserve">au départ </w:t>
      </w:r>
      <w:r w:rsidR="0006376E" w:rsidRPr="00FB0D94">
        <w:rPr>
          <w:rFonts w:ascii="Times New Roman" w:hAnsi="Times New Roman" w:cs="Times New Roman"/>
          <w:sz w:val="24"/>
          <w:szCs w:val="24"/>
        </w:rPr>
        <w:t xml:space="preserve">d’une large gamme de produits financiers. </w:t>
      </w:r>
      <w:r w:rsidR="00C01FA2" w:rsidRPr="00FB0D94">
        <w:rPr>
          <w:rFonts w:ascii="Times New Roman" w:hAnsi="Times New Roman" w:cs="Times New Roman"/>
          <w:sz w:val="24"/>
          <w:szCs w:val="24"/>
        </w:rPr>
        <w:t xml:space="preserve"> </w:t>
      </w:r>
      <w:r w:rsidR="00B9533D" w:rsidRPr="00FB0D94">
        <w:rPr>
          <w:rFonts w:ascii="Times New Roman" w:hAnsi="Times New Roman" w:cs="Times New Roman"/>
          <w:sz w:val="24"/>
          <w:szCs w:val="24"/>
        </w:rPr>
        <w:t xml:space="preserve">Troisièmement, des profils prudentiels peuvent côtoyer des stratégies plus offensives que ceux-ci soient logés chez les petits ou les gros investisseurs. </w:t>
      </w:r>
      <w:r w:rsidR="00AE1368" w:rsidRPr="00FB0D94">
        <w:rPr>
          <w:rFonts w:ascii="Times New Roman" w:hAnsi="Times New Roman" w:cs="Times New Roman"/>
          <w:sz w:val="24"/>
          <w:szCs w:val="24"/>
        </w:rPr>
        <w:t>Quatrièmement, une dernière</w:t>
      </w:r>
      <w:r w:rsidR="00C01FA2" w:rsidRPr="00FB0D94">
        <w:rPr>
          <w:rFonts w:ascii="Times New Roman" w:hAnsi="Times New Roman" w:cs="Times New Roman"/>
          <w:sz w:val="24"/>
          <w:szCs w:val="24"/>
        </w:rPr>
        <w:t xml:space="preserve"> distinction peut être opérée en fonction des cadres émotionnels activés. Si les investisseurs institutionnels possèdent des niveaux élevés de maîtrise</w:t>
      </w:r>
      <w:r w:rsidR="0006376E" w:rsidRPr="00FB0D94">
        <w:rPr>
          <w:rFonts w:ascii="Times New Roman" w:hAnsi="Times New Roman" w:cs="Times New Roman"/>
          <w:sz w:val="24"/>
          <w:szCs w:val="24"/>
        </w:rPr>
        <w:t xml:space="preserve"> de leurs émotions et </w:t>
      </w:r>
      <w:r w:rsidR="00C01FA2" w:rsidRPr="00FB0D94">
        <w:rPr>
          <w:rFonts w:ascii="Times New Roman" w:hAnsi="Times New Roman" w:cs="Times New Roman"/>
          <w:sz w:val="24"/>
          <w:szCs w:val="24"/>
        </w:rPr>
        <w:t xml:space="preserve">sont </w:t>
      </w:r>
      <w:r w:rsidR="0006376E" w:rsidRPr="00FB0D94">
        <w:rPr>
          <w:rFonts w:ascii="Times New Roman" w:hAnsi="Times New Roman" w:cs="Times New Roman"/>
          <w:sz w:val="24"/>
          <w:szCs w:val="24"/>
        </w:rPr>
        <w:t>peu sujets aux effets des biais psych</w:t>
      </w:r>
      <w:r w:rsidR="00C01FA2" w:rsidRPr="00FB0D94">
        <w:rPr>
          <w:rFonts w:ascii="Times New Roman" w:hAnsi="Times New Roman" w:cs="Times New Roman"/>
          <w:sz w:val="24"/>
          <w:szCs w:val="24"/>
        </w:rPr>
        <w:t>ologiques (</w:t>
      </w:r>
      <w:r w:rsidR="004A4C61" w:rsidRPr="00FB0D94">
        <w:rPr>
          <w:rFonts w:ascii="Times New Roman" w:hAnsi="Times New Roman" w:cs="Times New Roman"/>
          <w:sz w:val="24"/>
          <w:szCs w:val="24"/>
        </w:rPr>
        <w:t xml:space="preserve">car </w:t>
      </w:r>
      <w:r w:rsidR="00C01FA2" w:rsidRPr="00FB0D94">
        <w:rPr>
          <w:rFonts w:ascii="Times New Roman" w:hAnsi="Times New Roman" w:cs="Times New Roman"/>
          <w:sz w:val="24"/>
          <w:szCs w:val="24"/>
        </w:rPr>
        <w:t>ceux-ci sont</w:t>
      </w:r>
      <w:r w:rsidR="0006376E" w:rsidRPr="00FB0D94">
        <w:rPr>
          <w:rFonts w:ascii="Times New Roman" w:hAnsi="Times New Roman" w:cs="Times New Roman"/>
          <w:sz w:val="24"/>
          <w:szCs w:val="24"/>
        </w:rPr>
        <w:t xml:space="preserve"> canalisés dans des routines et des procédures rôdées de longue date</w:t>
      </w:r>
      <w:r w:rsidR="00C01FA2" w:rsidRPr="00FB0D94">
        <w:rPr>
          <w:rFonts w:ascii="Times New Roman" w:hAnsi="Times New Roman" w:cs="Times New Roman"/>
          <w:sz w:val="24"/>
          <w:szCs w:val="24"/>
        </w:rPr>
        <w:t xml:space="preserve">), le poids des champs émotionnels accompagnés des biais cognitifs et comportementaux </w:t>
      </w:r>
      <w:r w:rsidR="000242CB" w:rsidRPr="00FB0D94">
        <w:rPr>
          <w:rFonts w:ascii="Times New Roman" w:hAnsi="Times New Roman" w:cs="Times New Roman"/>
          <w:sz w:val="24"/>
          <w:szCs w:val="24"/>
        </w:rPr>
        <w:t xml:space="preserve">classiques </w:t>
      </w:r>
      <w:r w:rsidR="00C01FA2" w:rsidRPr="00FB0D94">
        <w:rPr>
          <w:rFonts w:ascii="Times New Roman" w:hAnsi="Times New Roman" w:cs="Times New Roman"/>
          <w:sz w:val="24"/>
          <w:szCs w:val="24"/>
        </w:rPr>
        <w:t>sont certainement beaucoup plus prégnants pour les petits porteurs</w:t>
      </w:r>
      <w:r w:rsidR="0006376E" w:rsidRPr="00FB0D94">
        <w:rPr>
          <w:rFonts w:ascii="Times New Roman" w:hAnsi="Times New Roman" w:cs="Times New Roman"/>
          <w:sz w:val="24"/>
          <w:szCs w:val="24"/>
        </w:rPr>
        <w:t xml:space="preserve">. </w:t>
      </w:r>
    </w:p>
    <w:p w14:paraId="2883DE04" w14:textId="30BC39A1" w:rsidR="00E3774E" w:rsidRPr="00FB0D94" w:rsidRDefault="000242CB" w:rsidP="00FB0D94">
      <w:pPr>
        <w:spacing w:line="360" w:lineRule="auto"/>
        <w:ind w:left="709"/>
        <w:jc w:val="both"/>
        <w:rPr>
          <w:rFonts w:ascii="Times New Roman" w:hAnsi="Times New Roman" w:cs="Times New Roman"/>
          <w:sz w:val="24"/>
          <w:szCs w:val="24"/>
        </w:rPr>
      </w:pPr>
      <w:r w:rsidRPr="00FB0D94">
        <w:rPr>
          <w:rFonts w:ascii="Times New Roman" w:hAnsi="Times New Roman" w:cs="Times New Roman"/>
          <w:sz w:val="24"/>
          <w:szCs w:val="24"/>
        </w:rPr>
        <w:t xml:space="preserve">Dans le cadre de cette étude, nous faisons le choix de nous intéresser </w:t>
      </w:r>
      <w:r w:rsidR="005F696D">
        <w:rPr>
          <w:rFonts w:ascii="Times New Roman" w:hAnsi="Times New Roman" w:cs="Times New Roman"/>
          <w:sz w:val="24"/>
          <w:szCs w:val="24"/>
        </w:rPr>
        <w:t>à cette dernière catégorie d’opérateurs</w:t>
      </w:r>
      <w:r w:rsidRPr="00FB0D94">
        <w:rPr>
          <w:rFonts w:ascii="Times New Roman" w:hAnsi="Times New Roman" w:cs="Times New Roman"/>
          <w:sz w:val="24"/>
          <w:szCs w:val="24"/>
        </w:rPr>
        <w:t xml:space="preserve">. </w:t>
      </w:r>
      <w:r w:rsidR="00B9533D" w:rsidRPr="00FB0D94">
        <w:rPr>
          <w:rFonts w:ascii="Times New Roman" w:hAnsi="Times New Roman" w:cs="Times New Roman"/>
          <w:sz w:val="24"/>
          <w:szCs w:val="24"/>
        </w:rPr>
        <w:t>En faisant le focus sur les petits investisseurs</w:t>
      </w:r>
      <w:r w:rsidR="004A4C61" w:rsidRPr="00FB0D94">
        <w:rPr>
          <w:rFonts w:ascii="Times New Roman" w:hAnsi="Times New Roman" w:cs="Times New Roman"/>
          <w:sz w:val="24"/>
          <w:szCs w:val="24"/>
        </w:rPr>
        <w:t xml:space="preserve">, </w:t>
      </w:r>
      <w:r w:rsidR="00224904" w:rsidRPr="00FB0D94">
        <w:rPr>
          <w:rFonts w:ascii="Times New Roman" w:hAnsi="Times New Roman" w:cs="Times New Roman"/>
          <w:sz w:val="24"/>
          <w:szCs w:val="24"/>
        </w:rPr>
        <w:t>de nombreuses</w:t>
      </w:r>
      <w:r w:rsidR="004A4C61" w:rsidRPr="00FB0D94">
        <w:rPr>
          <w:rFonts w:ascii="Times New Roman" w:hAnsi="Times New Roman" w:cs="Times New Roman"/>
          <w:sz w:val="24"/>
          <w:szCs w:val="24"/>
        </w:rPr>
        <w:t xml:space="preserve"> études</w:t>
      </w:r>
      <w:r w:rsidR="00571B8E" w:rsidRPr="00FB0D94">
        <w:rPr>
          <w:rFonts w:ascii="Times New Roman" w:hAnsi="Times New Roman" w:cs="Times New Roman"/>
          <w:sz w:val="24"/>
          <w:szCs w:val="24"/>
        </w:rPr>
        <w:t xml:space="preserve"> (</w:t>
      </w:r>
      <w:r w:rsidR="00DB45B6" w:rsidRPr="00FB0D94">
        <w:rPr>
          <w:rFonts w:ascii="Times New Roman" w:hAnsi="Times New Roman" w:cs="Times New Roman"/>
          <w:sz w:val="24"/>
          <w:szCs w:val="24"/>
        </w:rPr>
        <w:t xml:space="preserve">citons, à titre d’exemple, </w:t>
      </w:r>
      <w:r w:rsidR="00571B8E" w:rsidRPr="00FB0D94">
        <w:rPr>
          <w:rFonts w:ascii="Times New Roman" w:hAnsi="Times New Roman" w:cs="Times New Roman"/>
          <w:sz w:val="24"/>
          <w:szCs w:val="24"/>
        </w:rPr>
        <w:t xml:space="preserve">De </w:t>
      </w:r>
      <w:proofErr w:type="spellStart"/>
      <w:r w:rsidR="00571B8E" w:rsidRPr="00FB0D94">
        <w:rPr>
          <w:rFonts w:ascii="Times New Roman" w:hAnsi="Times New Roman" w:cs="Times New Roman"/>
          <w:sz w:val="24"/>
          <w:szCs w:val="24"/>
        </w:rPr>
        <w:t>Montricher</w:t>
      </w:r>
      <w:proofErr w:type="spellEnd"/>
      <w:r w:rsidR="00571B8E" w:rsidRPr="00FB0D94">
        <w:rPr>
          <w:rFonts w:ascii="Times New Roman" w:hAnsi="Times New Roman" w:cs="Times New Roman"/>
          <w:sz w:val="24"/>
          <w:szCs w:val="24"/>
        </w:rPr>
        <w:t>, N., 2009, Prigent J</w:t>
      </w:r>
      <w:r w:rsidR="00DB45B6" w:rsidRPr="00FB0D94">
        <w:rPr>
          <w:rFonts w:ascii="Times New Roman" w:hAnsi="Times New Roman" w:cs="Times New Roman"/>
          <w:sz w:val="24"/>
          <w:szCs w:val="24"/>
        </w:rPr>
        <w:t>.</w:t>
      </w:r>
      <w:r w:rsidR="00571B8E" w:rsidRPr="00FB0D94">
        <w:rPr>
          <w:rFonts w:ascii="Times New Roman" w:hAnsi="Times New Roman" w:cs="Times New Roman"/>
          <w:sz w:val="24"/>
          <w:szCs w:val="24"/>
        </w:rPr>
        <w:t xml:space="preserve">, </w:t>
      </w:r>
      <w:r w:rsidR="00DB45B6" w:rsidRPr="00FB0D94">
        <w:rPr>
          <w:rFonts w:ascii="Times New Roman" w:hAnsi="Times New Roman" w:cs="Times New Roman"/>
          <w:sz w:val="24"/>
          <w:szCs w:val="24"/>
        </w:rPr>
        <w:t xml:space="preserve">Hu Y., 2019, Han B., Tang Y., Yang L., 2016) </w:t>
      </w:r>
      <w:r w:rsidR="004A4C61" w:rsidRPr="00FB0D94">
        <w:rPr>
          <w:rFonts w:ascii="Times New Roman" w:hAnsi="Times New Roman" w:cs="Times New Roman"/>
          <w:sz w:val="24"/>
          <w:szCs w:val="24"/>
        </w:rPr>
        <w:t xml:space="preserve">ont démontré que </w:t>
      </w:r>
      <w:r w:rsidR="00706E84">
        <w:rPr>
          <w:rFonts w:ascii="Times New Roman" w:hAnsi="Times New Roman" w:cs="Times New Roman"/>
          <w:sz w:val="24"/>
          <w:szCs w:val="24"/>
        </w:rPr>
        <w:t>ceux-ci</w:t>
      </w:r>
      <w:r w:rsidR="004A4C61" w:rsidRPr="00FB0D94">
        <w:rPr>
          <w:rFonts w:ascii="Times New Roman" w:hAnsi="Times New Roman" w:cs="Times New Roman"/>
          <w:sz w:val="24"/>
          <w:szCs w:val="24"/>
        </w:rPr>
        <w:t xml:space="preserve"> n’</w:t>
      </w:r>
      <w:r w:rsidR="00706E84">
        <w:rPr>
          <w:rFonts w:ascii="Times New Roman" w:hAnsi="Times New Roman" w:cs="Times New Roman"/>
          <w:sz w:val="24"/>
          <w:szCs w:val="24"/>
        </w:rPr>
        <w:t>avaie</w:t>
      </w:r>
      <w:r w:rsidR="004A4C61" w:rsidRPr="00FB0D94">
        <w:rPr>
          <w:rFonts w:ascii="Times New Roman" w:hAnsi="Times New Roman" w:cs="Times New Roman"/>
          <w:sz w:val="24"/>
          <w:szCs w:val="24"/>
        </w:rPr>
        <w:t xml:space="preserve">nt pas un accès égal à l’information et </w:t>
      </w:r>
      <w:r w:rsidR="005916B1" w:rsidRPr="00FB0D94">
        <w:rPr>
          <w:rFonts w:ascii="Times New Roman" w:hAnsi="Times New Roman" w:cs="Times New Roman"/>
          <w:sz w:val="24"/>
          <w:szCs w:val="24"/>
        </w:rPr>
        <w:t xml:space="preserve">que </w:t>
      </w:r>
      <w:r w:rsidR="004A4C61" w:rsidRPr="00FB0D94">
        <w:rPr>
          <w:rFonts w:ascii="Times New Roman" w:hAnsi="Times New Roman" w:cs="Times New Roman"/>
          <w:sz w:val="24"/>
          <w:szCs w:val="24"/>
        </w:rPr>
        <w:t xml:space="preserve">certains opérateurs privilégiés </w:t>
      </w:r>
      <w:r w:rsidR="00224904" w:rsidRPr="00FB0D94">
        <w:rPr>
          <w:rFonts w:ascii="Times New Roman" w:hAnsi="Times New Roman" w:cs="Times New Roman"/>
          <w:sz w:val="24"/>
          <w:szCs w:val="24"/>
        </w:rPr>
        <w:t xml:space="preserve">de grande taille </w:t>
      </w:r>
      <w:r w:rsidR="005916B1" w:rsidRPr="00FB0D94">
        <w:rPr>
          <w:rFonts w:ascii="Times New Roman" w:hAnsi="Times New Roman" w:cs="Times New Roman"/>
          <w:sz w:val="24"/>
          <w:szCs w:val="24"/>
        </w:rPr>
        <w:t>pou</w:t>
      </w:r>
      <w:r w:rsidR="004A4C61" w:rsidRPr="00FB0D94">
        <w:rPr>
          <w:rFonts w:ascii="Times New Roman" w:hAnsi="Times New Roman" w:cs="Times New Roman"/>
          <w:sz w:val="24"/>
          <w:szCs w:val="24"/>
        </w:rPr>
        <w:t>v</w:t>
      </w:r>
      <w:r w:rsidR="005916B1" w:rsidRPr="00FB0D94">
        <w:rPr>
          <w:rFonts w:ascii="Times New Roman" w:hAnsi="Times New Roman" w:cs="Times New Roman"/>
          <w:sz w:val="24"/>
          <w:szCs w:val="24"/>
        </w:rPr>
        <w:t>ai</w:t>
      </w:r>
      <w:r w:rsidR="00224904" w:rsidRPr="00FB0D94">
        <w:rPr>
          <w:rFonts w:ascii="Times New Roman" w:hAnsi="Times New Roman" w:cs="Times New Roman"/>
          <w:sz w:val="24"/>
          <w:szCs w:val="24"/>
        </w:rPr>
        <w:t>ent procéder à des mouvements boursiers en toute connaissance de cause</w:t>
      </w:r>
      <w:r w:rsidR="00A917AB" w:rsidRPr="00FB0D94">
        <w:rPr>
          <w:rFonts w:ascii="Times New Roman" w:hAnsi="Times New Roman" w:cs="Times New Roman"/>
          <w:sz w:val="24"/>
          <w:szCs w:val="24"/>
        </w:rPr>
        <w:t>,</w:t>
      </w:r>
      <w:r w:rsidR="00224904" w:rsidRPr="00FB0D94">
        <w:rPr>
          <w:rFonts w:ascii="Times New Roman" w:hAnsi="Times New Roman" w:cs="Times New Roman"/>
          <w:sz w:val="24"/>
          <w:szCs w:val="24"/>
        </w:rPr>
        <w:t xml:space="preserve"> et </w:t>
      </w:r>
      <w:r w:rsidR="00A917AB" w:rsidRPr="00FB0D94">
        <w:rPr>
          <w:rFonts w:ascii="Times New Roman" w:hAnsi="Times New Roman" w:cs="Times New Roman"/>
          <w:sz w:val="24"/>
          <w:szCs w:val="24"/>
        </w:rPr>
        <w:t xml:space="preserve">ce </w:t>
      </w:r>
      <w:r w:rsidR="00224904" w:rsidRPr="00FB0D94">
        <w:rPr>
          <w:rFonts w:ascii="Times New Roman" w:hAnsi="Times New Roman" w:cs="Times New Roman"/>
          <w:sz w:val="24"/>
          <w:szCs w:val="24"/>
        </w:rPr>
        <w:t xml:space="preserve">à </w:t>
      </w:r>
      <w:r w:rsidR="006E1953" w:rsidRPr="00FB0D94">
        <w:rPr>
          <w:rFonts w:ascii="Times New Roman" w:hAnsi="Times New Roman" w:cs="Times New Roman"/>
          <w:sz w:val="24"/>
          <w:szCs w:val="24"/>
        </w:rPr>
        <w:t>moindre</w:t>
      </w:r>
      <w:r w:rsidRPr="00FB0D94">
        <w:rPr>
          <w:rFonts w:ascii="Times New Roman" w:hAnsi="Times New Roman" w:cs="Times New Roman"/>
          <w:sz w:val="24"/>
          <w:szCs w:val="24"/>
        </w:rPr>
        <w:t xml:space="preserve"> risque</w:t>
      </w:r>
      <w:r w:rsidR="00224904" w:rsidRPr="00FB0D94">
        <w:rPr>
          <w:rFonts w:ascii="Times New Roman" w:hAnsi="Times New Roman" w:cs="Times New Roman"/>
          <w:sz w:val="24"/>
          <w:szCs w:val="24"/>
        </w:rPr>
        <w:t xml:space="preserve">. </w:t>
      </w:r>
      <w:r w:rsidR="00CD6817" w:rsidRPr="00FB0D94">
        <w:rPr>
          <w:rFonts w:ascii="Times New Roman" w:hAnsi="Times New Roman" w:cs="Times New Roman"/>
          <w:sz w:val="24"/>
          <w:szCs w:val="24"/>
        </w:rPr>
        <w:t xml:space="preserve">L’idée n’est pas que les petits investisseurs soient en manque d’information, c’est plutôt l’accès en temps utile à celle-ci et la manière avec laquelle </w:t>
      </w:r>
      <w:r w:rsidR="00F31672" w:rsidRPr="00FB0D94">
        <w:rPr>
          <w:rFonts w:ascii="Times New Roman" w:hAnsi="Times New Roman" w:cs="Times New Roman"/>
          <w:sz w:val="24"/>
          <w:szCs w:val="24"/>
        </w:rPr>
        <w:t xml:space="preserve">ils pourraient en extraire </w:t>
      </w:r>
      <w:r w:rsidR="00CB42CC" w:rsidRPr="00FB0D94">
        <w:rPr>
          <w:rFonts w:ascii="Times New Roman" w:hAnsi="Times New Roman" w:cs="Times New Roman"/>
          <w:sz w:val="24"/>
          <w:szCs w:val="24"/>
        </w:rPr>
        <w:t xml:space="preserve">de </w:t>
      </w:r>
      <w:r w:rsidR="00CD6817" w:rsidRPr="00FB0D94">
        <w:rPr>
          <w:rFonts w:ascii="Times New Roman" w:hAnsi="Times New Roman" w:cs="Times New Roman"/>
          <w:sz w:val="24"/>
          <w:szCs w:val="24"/>
        </w:rPr>
        <w:t>la valeur informative</w:t>
      </w:r>
      <w:r w:rsidR="00CB42CC" w:rsidRPr="00FB0D94">
        <w:rPr>
          <w:rFonts w:ascii="Times New Roman" w:hAnsi="Times New Roman" w:cs="Times New Roman"/>
          <w:sz w:val="24"/>
          <w:szCs w:val="24"/>
        </w:rPr>
        <w:t xml:space="preserve"> </w:t>
      </w:r>
      <w:r w:rsidR="00CD6817" w:rsidRPr="00FB0D94">
        <w:rPr>
          <w:rFonts w:ascii="Times New Roman" w:hAnsi="Times New Roman" w:cs="Times New Roman"/>
          <w:sz w:val="24"/>
          <w:szCs w:val="24"/>
        </w:rPr>
        <w:t xml:space="preserve">qui posent question (De </w:t>
      </w:r>
      <w:proofErr w:type="spellStart"/>
      <w:r w:rsidR="00CD6817" w:rsidRPr="00FB0D94">
        <w:rPr>
          <w:rFonts w:ascii="Times New Roman" w:hAnsi="Times New Roman" w:cs="Times New Roman"/>
          <w:sz w:val="24"/>
          <w:szCs w:val="24"/>
        </w:rPr>
        <w:t>Larminat</w:t>
      </w:r>
      <w:proofErr w:type="spellEnd"/>
      <w:r w:rsidR="00CD6817" w:rsidRPr="00FB0D94">
        <w:rPr>
          <w:rFonts w:ascii="Times New Roman" w:hAnsi="Times New Roman" w:cs="Times New Roman"/>
          <w:sz w:val="24"/>
          <w:szCs w:val="24"/>
        </w:rPr>
        <w:t xml:space="preserve"> P., 2013). </w:t>
      </w:r>
      <w:r w:rsidR="00224904" w:rsidRPr="00FB0D94">
        <w:rPr>
          <w:rFonts w:ascii="Times New Roman" w:hAnsi="Times New Roman" w:cs="Times New Roman"/>
          <w:sz w:val="24"/>
          <w:szCs w:val="24"/>
        </w:rPr>
        <w:t xml:space="preserve">Néanmoins, </w:t>
      </w:r>
      <w:r w:rsidR="00B9533D" w:rsidRPr="00FB0D94">
        <w:rPr>
          <w:rFonts w:ascii="Times New Roman" w:hAnsi="Times New Roman" w:cs="Times New Roman"/>
          <w:sz w:val="24"/>
          <w:szCs w:val="24"/>
        </w:rPr>
        <w:t>s</w:t>
      </w:r>
      <w:r w:rsidR="00224904" w:rsidRPr="00FB0D94">
        <w:rPr>
          <w:rFonts w:ascii="Times New Roman" w:hAnsi="Times New Roman" w:cs="Times New Roman"/>
          <w:sz w:val="24"/>
          <w:szCs w:val="24"/>
        </w:rPr>
        <w:t>i les petits porteurs</w:t>
      </w:r>
      <w:r w:rsidR="00E3774E" w:rsidRPr="00FB0D94">
        <w:rPr>
          <w:rFonts w:ascii="Times New Roman" w:hAnsi="Times New Roman" w:cs="Times New Roman"/>
          <w:sz w:val="24"/>
          <w:szCs w:val="24"/>
        </w:rPr>
        <w:t xml:space="preserve"> sont désireux de coller aux champs fondamentaux, alors une solution </w:t>
      </w:r>
      <w:r w:rsidR="00792B7A" w:rsidRPr="00FB0D94">
        <w:rPr>
          <w:rFonts w:ascii="Times New Roman" w:hAnsi="Times New Roman" w:cs="Times New Roman"/>
          <w:sz w:val="24"/>
          <w:szCs w:val="24"/>
        </w:rPr>
        <w:t xml:space="preserve">simple </w:t>
      </w:r>
      <w:r w:rsidR="005912B0" w:rsidRPr="00FB0D94">
        <w:rPr>
          <w:rFonts w:ascii="Times New Roman" w:hAnsi="Times New Roman" w:cs="Times New Roman"/>
          <w:sz w:val="24"/>
          <w:szCs w:val="24"/>
        </w:rPr>
        <w:t>pourrait consister à s’ajuster</w:t>
      </w:r>
      <w:r w:rsidR="00E3774E" w:rsidRPr="00FB0D94">
        <w:rPr>
          <w:rFonts w:ascii="Times New Roman" w:hAnsi="Times New Roman" w:cs="Times New Roman"/>
          <w:sz w:val="24"/>
          <w:szCs w:val="24"/>
        </w:rPr>
        <w:t xml:space="preserve"> aux comportements des invest</w:t>
      </w:r>
      <w:r w:rsidR="00792B7A" w:rsidRPr="00FB0D94">
        <w:rPr>
          <w:rFonts w:ascii="Times New Roman" w:hAnsi="Times New Roman" w:cs="Times New Roman"/>
          <w:sz w:val="24"/>
          <w:szCs w:val="24"/>
        </w:rPr>
        <w:t>isseurs institutionnels et/ou à</w:t>
      </w:r>
      <w:r w:rsidR="00E3774E" w:rsidRPr="00FB0D94">
        <w:rPr>
          <w:rFonts w:ascii="Times New Roman" w:hAnsi="Times New Roman" w:cs="Times New Roman"/>
          <w:sz w:val="24"/>
          <w:szCs w:val="24"/>
        </w:rPr>
        <w:t xml:space="preserve"> suivre les avis des analystes financiers.</w:t>
      </w:r>
      <w:r w:rsidR="002B2CB5" w:rsidRPr="00FB0D94">
        <w:rPr>
          <w:rFonts w:ascii="Times New Roman" w:hAnsi="Times New Roman" w:cs="Times New Roman"/>
          <w:sz w:val="24"/>
          <w:szCs w:val="24"/>
        </w:rPr>
        <w:t xml:space="preserve"> En se retranchant derrière les investisseurs institutionnels et les analystes financiers, c</w:t>
      </w:r>
      <w:r w:rsidR="00E3774E" w:rsidRPr="00FB0D94">
        <w:rPr>
          <w:rFonts w:ascii="Times New Roman" w:hAnsi="Times New Roman" w:cs="Times New Roman"/>
          <w:sz w:val="24"/>
          <w:szCs w:val="24"/>
        </w:rPr>
        <w:t>es deux types d’acteurs pourraient être ainsi être considérés comme des traducteurs de</w:t>
      </w:r>
      <w:r w:rsidR="00C55AD8" w:rsidRPr="00FB0D94">
        <w:rPr>
          <w:rFonts w:ascii="Times New Roman" w:hAnsi="Times New Roman" w:cs="Times New Roman"/>
          <w:sz w:val="24"/>
          <w:szCs w:val="24"/>
        </w:rPr>
        <w:t>s</w:t>
      </w:r>
      <w:r w:rsidR="00E3774E" w:rsidRPr="00FB0D94">
        <w:rPr>
          <w:rFonts w:ascii="Times New Roman" w:hAnsi="Times New Roman" w:cs="Times New Roman"/>
          <w:sz w:val="24"/>
          <w:szCs w:val="24"/>
        </w:rPr>
        <w:t xml:space="preserve"> champs informationnels à qui serait donné mandat par les petits investisseurs</w:t>
      </w:r>
      <w:r w:rsidR="00CD6817" w:rsidRPr="00FB0D94">
        <w:rPr>
          <w:rFonts w:ascii="Times New Roman" w:hAnsi="Times New Roman" w:cs="Times New Roman"/>
          <w:sz w:val="24"/>
          <w:szCs w:val="24"/>
        </w:rPr>
        <w:t xml:space="preserve"> de réaliser cet </w:t>
      </w:r>
      <w:r w:rsidR="008D2C81" w:rsidRPr="00FB0D94">
        <w:rPr>
          <w:rFonts w:ascii="Times New Roman" w:hAnsi="Times New Roman" w:cs="Times New Roman"/>
          <w:sz w:val="24"/>
          <w:szCs w:val="24"/>
        </w:rPr>
        <w:t>exercice</w:t>
      </w:r>
      <w:r w:rsidR="00E3774E" w:rsidRPr="00FB0D94">
        <w:rPr>
          <w:rFonts w:ascii="Times New Roman" w:hAnsi="Times New Roman" w:cs="Times New Roman"/>
          <w:sz w:val="24"/>
          <w:szCs w:val="24"/>
        </w:rPr>
        <w:t>.</w:t>
      </w:r>
    </w:p>
    <w:p w14:paraId="65E8FB3E" w14:textId="77777777" w:rsidR="00586F51" w:rsidRPr="00FB0D94" w:rsidRDefault="00586F51" w:rsidP="00FB0D94">
      <w:pPr>
        <w:spacing w:line="360" w:lineRule="auto"/>
        <w:ind w:left="708"/>
        <w:jc w:val="both"/>
        <w:rPr>
          <w:rFonts w:ascii="Times New Roman" w:hAnsi="Times New Roman" w:cs="Times New Roman"/>
          <w:sz w:val="24"/>
          <w:szCs w:val="24"/>
        </w:rPr>
      </w:pPr>
      <w:r w:rsidRPr="00FB0D94">
        <w:rPr>
          <w:rFonts w:ascii="Times New Roman" w:hAnsi="Times New Roman" w:cs="Times New Roman"/>
          <w:sz w:val="24"/>
          <w:szCs w:val="24"/>
        </w:rPr>
        <w:t>En ce qui concerne les stratégies d</w:t>
      </w:r>
      <w:r w:rsidR="00D4533A" w:rsidRPr="00FB0D94">
        <w:rPr>
          <w:rFonts w:ascii="Times New Roman" w:hAnsi="Times New Roman" w:cs="Times New Roman"/>
          <w:sz w:val="24"/>
          <w:szCs w:val="24"/>
        </w:rPr>
        <w:t>e mimétisme par rapport à ce qui est retenu</w:t>
      </w:r>
      <w:r w:rsidRPr="00FB0D94">
        <w:rPr>
          <w:rFonts w:ascii="Times New Roman" w:hAnsi="Times New Roman" w:cs="Times New Roman"/>
          <w:sz w:val="24"/>
          <w:szCs w:val="24"/>
        </w:rPr>
        <w:t xml:space="preserve"> par les investisseurs </w:t>
      </w:r>
      <w:r w:rsidR="00923847" w:rsidRPr="00FB0D94">
        <w:rPr>
          <w:rFonts w:ascii="Times New Roman" w:hAnsi="Times New Roman" w:cs="Times New Roman"/>
          <w:sz w:val="24"/>
          <w:szCs w:val="24"/>
        </w:rPr>
        <w:t xml:space="preserve">institutionnels, </w:t>
      </w:r>
      <w:r w:rsidRPr="00FB0D94">
        <w:rPr>
          <w:rFonts w:ascii="Times New Roman" w:hAnsi="Times New Roman" w:cs="Times New Roman"/>
          <w:sz w:val="24"/>
          <w:szCs w:val="24"/>
        </w:rPr>
        <w:t xml:space="preserve">la facilité d’accès et de traitement de l’information par les </w:t>
      </w:r>
      <w:r w:rsidRPr="00FB0D94">
        <w:rPr>
          <w:rFonts w:ascii="Times New Roman" w:hAnsi="Times New Roman" w:cs="Times New Roman"/>
          <w:sz w:val="24"/>
          <w:szCs w:val="24"/>
        </w:rPr>
        <w:lastRenderedPageBreak/>
        <w:t>institutionnels font que les petits porteurs ne vont se positionner que de manière tardive et ne vont donc pas profiter pleinement des contenus informationnels décryptés en amont par des investisseurs de plus grande taille (</w:t>
      </w:r>
      <w:proofErr w:type="spellStart"/>
      <w:r w:rsidRPr="00FB0D94">
        <w:rPr>
          <w:rFonts w:ascii="Times New Roman" w:hAnsi="Times New Roman" w:cs="Times New Roman"/>
          <w:sz w:val="24"/>
          <w:szCs w:val="24"/>
        </w:rPr>
        <w:t>Doojin</w:t>
      </w:r>
      <w:proofErr w:type="spellEnd"/>
      <w:r w:rsidRPr="00FB0D94">
        <w:rPr>
          <w:rFonts w:ascii="Times New Roman" w:hAnsi="Times New Roman" w:cs="Times New Roman"/>
          <w:sz w:val="24"/>
          <w:szCs w:val="24"/>
        </w:rPr>
        <w:t xml:space="preserve"> R., </w:t>
      </w:r>
      <w:proofErr w:type="spellStart"/>
      <w:r w:rsidRPr="00FB0D94">
        <w:rPr>
          <w:rFonts w:ascii="Times New Roman" w:hAnsi="Times New Roman" w:cs="Times New Roman"/>
          <w:sz w:val="24"/>
          <w:szCs w:val="24"/>
        </w:rPr>
        <w:t>Hyeyoen</w:t>
      </w:r>
      <w:proofErr w:type="spellEnd"/>
      <w:r w:rsidRPr="00FB0D94">
        <w:rPr>
          <w:rFonts w:ascii="Times New Roman" w:hAnsi="Times New Roman" w:cs="Times New Roman"/>
          <w:sz w:val="24"/>
          <w:szCs w:val="24"/>
        </w:rPr>
        <w:t xml:space="preserve"> K., </w:t>
      </w:r>
      <w:proofErr w:type="spellStart"/>
      <w:r w:rsidRPr="00FB0D94">
        <w:rPr>
          <w:rFonts w:ascii="Times New Roman" w:hAnsi="Times New Roman" w:cs="Times New Roman"/>
          <w:sz w:val="24"/>
          <w:szCs w:val="24"/>
        </w:rPr>
        <w:t>Heejin</w:t>
      </w:r>
      <w:proofErr w:type="spellEnd"/>
      <w:r w:rsidRPr="00FB0D94">
        <w:rPr>
          <w:rFonts w:ascii="Times New Roman" w:hAnsi="Times New Roman" w:cs="Times New Roman"/>
          <w:sz w:val="24"/>
          <w:szCs w:val="24"/>
        </w:rPr>
        <w:t xml:space="preserve"> Y., 2017, </w:t>
      </w:r>
      <w:proofErr w:type="spellStart"/>
      <w:r w:rsidRPr="00FB0D94">
        <w:rPr>
          <w:rFonts w:ascii="Times New Roman" w:hAnsi="Times New Roman" w:cs="Times New Roman"/>
          <w:sz w:val="24"/>
          <w:szCs w:val="24"/>
        </w:rPr>
        <w:t>Blankenspoor</w:t>
      </w:r>
      <w:proofErr w:type="spellEnd"/>
      <w:r w:rsidRPr="00FB0D94">
        <w:rPr>
          <w:rFonts w:ascii="Times New Roman" w:hAnsi="Times New Roman" w:cs="Times New Roman"/>
          <w:sz w:val="24"/>
          <w:szCs w:val="24"/>
        </w:rPr>
        <w:t xml:space="preserve"> E., </w:t>
      </w:r>
      <w:proofErr w:type="spellStart"/>
      <w:r w:rsidRPr="00FB0D94">
        <w:rPr>
          <w:rFonts w:ascii="Times New Roman" w:hAnsi="Times New Roman" w:cs="Times New Roman"/>
          <w:sz w:val="24"/>
          <w:szCs w:val="24"/>
        </w:rPr>
        <w:t>Dehaan</w:t>
      </w:r>
      <w:proofErr w:type="spellEnd"/>
      <w:r w:rsidRPr="00FB0D94">
        <w:rPr>
          <w:rFonts w:ascii="Times New Roman" w:hAnsi="Times New Roman" w:cs="Times New Roman"/>
          <w:sz w:val="24"/>
          <w:szCs w:val="24"/>
        </w:rPr>
        <w:t xml:space="preserve"> E., </w:t>
      </w:r>
      <w:proofErr w:type="spellStart"/>
      <w:r w:rsidRPr="00FB0D94">
        <w:rPr>
          <w:rFonts w:ascii="Times New Roman" w:hAnsi="Times New Roman" w:cs="Times New Roman"/>
          <w:sz w:val="24"/>
          <w:szCs w:val="24"/>
        </w:rPr>
        <w:t>Wertz</w:t>
      </w:r>
      <w:proofErr w:type="spellEnd"/>
      <w:r w:rsidRPr="00FB0D94">
        <w:rPr>
          <w:rFonts w:ascii="Times New Roman" w:hAnsi="Times New Roman" w:cs="Times New Roman"/>
          <w:sz w:val="24"/>
          <w:szCs w:val="24"/>
        </w:rPr>
        <w:t xml:space="preserve"> J., Zhu C., 2019).</w:t>
      </w:r>
      <w:r w:rsidR="00A917AB" w:rsidRPr="00FB0D94">
        <w:rPr>
          <w:rFonts w:ascii="Times New Roman" w:hAnsi="Times New Roman" w:cs="Times New Roman"/>
          <w:sz w:val="24"/>
          <w:szCs w:val="24"/>
        </w:rPr>
        <w:t xml:space="preserve"> Ces études démontrent soit un manque d’homogénéité dans l’accès à l’information, soit une plus grande réactivité des acteurs institutionnels.</w:t>
      </w:r>
    </w:p>
    <w:p w14:paraId="35FB77C7" w14:textId="29187B9C" w:rsidR="00D4533A" w:rsidRPr="00FB0D94" w:rsidRDefault="0006376E" w:rsidP="00FB0D94">
      <w:pPr>
        <w:spacing w:line="360" w:lineRule="auto"/>
        <w:ind w:left="708"/>
        <w:jc w:val="both"/>
        <w:rPr>
          <w:rFonts w:ascii="Times New Roman" w:hAnsi="Times New Roman" w:cs="Times New Roman"/>
          <w:sz w:val="24"/>
          <w:szCs w:val="24"/>
        </w:rPr>
      </w:pPr>
      <w:r w:rsidRPr="00FB0D94">
        <w:rPr>
          <w:rFonts w:ascii="Times New Roman" w:hAnsi="Times New Roman" w:cs="Times New Roman"/>
          <w:sz w:val="24"/>
          <w:szCs w:val="24"/>
        </w:rPr>
        <w:t xml:space="preserve">Pour ce qui est du recours aux avis </w:t>
      </w:r>
      <w:r w:rsidR="00670836">
        <w:rPr>
          <w:rFonts w:ascii="Times New Roman" w:hAnsi="Times New Roman" w:cs="Times New Roman"/>
          <w:sz w:val="24"/>
          <w:szCs w:val="24"/>
        </w:rPr>
        <w:t>d</w:t>
      </w:r>
      <w:r w:rsidRPr="00FB0D94">
        <w:rPr>
          <w:rFonts w:ascii="Times New Roman" w:hAnsi="Times New Roman" w:cs="Times New Roman"/>
          <w:sz w:val="24"/>
          <w:szCs w:val="24"/>
        </w:rPr>
        <w:t xml:space="preserve">es analystes financiers, </w:t>
      </w:r>
      <w:r w:rsidR="00AA6FCF" w:rsidRPr="00FB0D94">
        <w:rPr>
          <w:rFonts w:ascii="Times New Roman" w:hAnsi="Times New Roman" w:cs="Times New Roman"/>
          <w:sz w:val="24"/>
          <w:szCs w:val="24"/>
        </w:rPr>
        <w:t>celui-ci est souvent remis en question (</w:t>
      </w:r>
      <w:proofErr w:type="spellStart"/>
      <w:r w:rsidR="00AA6FCF" w:rsidRPr="00FB0D94">
        <w:rPr>
          <w:rFonts w:ascii="Times New Roman" w:hAnsi="Times New Roman" w:cs="Times New Roman"/>
          <w:sz w:val="24"/>
          <w:szCs w:val="24"/>
        </w:rPr>
        <w:t>Verees</w:t>
      </w:r>
      <w:proofErr w:type="spellEnd"/>
      <w:r w:rsidR="00AA6FCF" w:rsidRPr="00FB0D94">
        <w:rPr>
          <w:rFonts w:ascii="Times New Roman" w:hAnsi="Times New Roman" w:cs="Times New Roman"/>
          <w:sz w:val="24"/>
          <w:szCs w:val="24"/>
        </w:rPr>
        <w:t xml:space="preserve"> A., Kaiser L., 2017). Schématiquement, émergent des</w:t>
      </w:r>
      <w:r w:rsidRPr="00FB0D94">
        <w:rPr>
          <w:rFonts w:ascii="Times New Roman" w:hAnsi="Times New Roman" w:cs="Times New Roman"/>
          <w:sz w:val="24"/>
          <w:szCs w:val="24"/>
        </w:rPr>
        <w:t xml:space="preserve"> question</w:t>
      </w:r>
      <w:r w:rsidR="00AA6FCF" w:rsidRPr="00FB0D94">
        <w:rPr>
          <w:rFonts w:ascii="Times New Roman" w:hAnsi="Times New Roman" w:cs="Times New Roman"/>
          <w:sz w:val="24"/>
          <w:szCs w:val="24"/>
        </w:rPr>
        <w:t>s</w:t>
      </w:r>
      <w:r w:rsidRPr="00FB0D94">
        <w:rPr>
          <w:rFonts w:ascii="Times New Roman" w:hAnsi="Times New Roman" w:cs="Times New Roman"/>
          <w:sz w:val="24"/>
          <w:szCs w:val="24"/>
        </w:rPr>
        <w:t xml:space="preserve"> </w:t>
      </w:r>
      <w:r w:rsidR="00AA6FCF" w:rsidRPr="00FB0D94">
        <w:rPr>
          <w:rFonts w:ascii="Times New Roman" w:hAnsi="Times New Roman" w:cs="Times New Roman"/>
          <w:sz w:val="24"/>
          <w:szCs w:val="24"/>
        </w:rPr>
        <w:t>sur l</w:t>
      </w:r>
      <w:r w:rsidR="00923847" w:rsidRPr="00FB0D94">
        <w:rPr>
          <w:rFonts w:ascii="Times New Roman" w:hAnsi="Times New Roman" w:cs="Times New Roman"/>
          <w:sz w:val="24"/>
          <w:szCs w:val="24"/>
        </w:rPr>
        <w:t xml:space="preserve">es indicateurs </w:t>
      </w:r>
      <w:r w:rsidRPr="00FB0D94">
        <w:rPr>
          <w:rFonts w:ascii="Times New Roman" w:hAnsi="Times New Roman" w:cs="Times New Roman"/>
          <w:sz w:val="24"/>
          <w:szCs w:val="24"/>
        </w:rPr>
        <w:t>p</w:t>
      </w:r>
      <w:r w:rsidR="00923847" w:rsidRPr="00FB0D94">
        <w:rPr>
          <w:rFonts w:ascii="Times New Roman" w:hAnsi="Times New Roman" w:cs="Times New Roman"/>
          <w:sz w:val="24"/>
          <w:szCs w:val="24"/>
        </w:rPr>
        <w:t>ris en considération par ce</w:t>
      </w:r>
      <w:r w:rsidR="0086569F">
        <w:rPr>
          <w:rFonts w:ascii="Times New Roman" w:hAnsi="Times New Roman" w:cs="Times New Roman"/>
          <w:sz w:val="24"/>
          <w:szCs w:val="24"/>
        </w:rPr>
        <w:t>ux-ci</w:t>
      </w:r>
      <w:r w:rsidRPr="00FB0D94">
        <w:rPr>
          <w:rFonts w:ascii="Times New Roman" w:hAnsi="Times New Roman" w:cs="Times New Roman"/>
          <w:sz w:val="24"/>
          <w:szCs w:val="24"/>
        </w:rPr>
        <w:t xml:space="preserve"> (orientation uniquement financière ou plus ou moins élargie aux aspects environnementaux, </w:t>
      </w:r>
      <w:proofErr w:type="spellStart"/>
      <w:r w:rsidRPr="00FB0D94">
        <w:rPr>
          <w:rFonts w:ascii="Times New Roman" w:hAnsi="Times New Roman" w:cs="Times New Roman"/>
          <w:sz w:val="24"/>
          <w:szCs w:val="24"/>
        </w:rPr>
        <w:t>S</w:t>
      </w:r>
      <w:r w:rsidR="00AA6FCF" w:rsidRPr="00FB0D94">
        <w:rPr>
          <w:rFonts w:ascii="Times New Roman" w:hAnsi="Times New Roman" w:cs="Times New Roman"/>
          <w:sz w:val="24"/>
          <w:szCs w:val="24"/>
        </w:rPr>
        <w:t>aghroun</w:t>
      </w:r>
      <w:proofErr w:type="spellEnd"/>
      <w:r w:rsidR="00AA6FCF" w:rsidRPr="00FB0D94">
        <w:rPr>
          <w:rFonts w:ascii="Times New Roman" w:hAnsi="Times New Roman" w:cs="Times New Roman"/>
          <w:sz w:val="24"/>
          <w:szCs w:val="24"/>
        </w:rPr>
        <w:t xml:space="preserve"> J., </w:t>
      </w:r>
      <w:proofErr w:type="spellStart"/>
      <w:r w:rsidR="00AA6FCF" w:rsidRPr="00FB0D94">
        <w:rPr>
          <w:rFonts w:ascii="Times New Roman" w:hAnsi="Times New Roman" w:cs="Times New Roman"/>
          <w:sz w:val="24"/>
          <w:szCs w:val="24"/>
        </w:rPr>
        <w:t>Eglem</w:t>
      </w:r>
      <w:proofErr w:type="spellEnd"/>
      <w:r w:rsidR="00AA6FCF" w:rsidRPr="00FB0D94">
        <w:rPr>
          <w:rFonts w:ascii="Times New Roman" w:hAnsi="Times New Roman" w:cs="Times New Roman"/>
          <w:sz w:val="24"/>
          <w:szCs w:val="24"/>
        </w:rPr>
        <w:t xml:space="preserve"> J., 2008), </w:t>
      </w:r>
      <w:r w:rsidR="00923847" w:rsidRPr="00FB0D94">
        <w:rPr>
          <w:rFonts w:ascii="Times New Roman" w:hAnsi="Times New Roman" w:cs="Times New Roman"/>
          <w:sz w:val="24"/>
          <w:szCs w:val="24"/>
        </w:rPr>
        <w:t xml:space="preserve">la portée et </w:t>
      </w:r>
      <w:r w:rsidRPr="00FB0D94">
        <w:rPr>
          <w:rFonts w:ascii="Times New Roman" w:hAnsi="Times New Roman" w:cs="Times New Roman"/>
          <w:sz w:val="24"/>
          <w:szCs w:val="24"/>
        </w:rPr>
        <w:t>l’objet de ces analyses (Lenor</w:t>
      </w:r>
      <w:r w:rsidR="00AA6FCF" w:rsidRPr="00FB0D94">
        <w:rPr>
          <w:rFonts w:ascii="Times New Roman" w:hAnsi="Times New Roman" w:cs="Times New Roman"/>
          <w:sz w:val="24"/>
          <w:szCs w:val="24"/>
        </w:rPr>
        <w:t xml:space="preserve">mand G., Touchais L., 2017), </w:t>
      </w:r>
      <w:r w:rsidRPr="00FB0D94">
        <w:rPr>
          <w:rFonts w:ascii="Times New Roman" w:hAnsi="Times New Roman" w:cs="Times New Roman"/>
          <w:sz w:val="24"/>
          <w:szCs w:val="24"/>
        </w:rPr>
        <w:t>la dépendance mutuelle entre les acteurs financiers internes et externes à l’entreprise (</w:t>
      </w:r>
      <w:proofErr w:type="spellStart"/>
      <w:r w:rsidRPr="00FB0D94">
        <w:rPr>
          <w:rFonts w:ascii="Times New Roman" w:hAnsi="Times New Roman" w:cs="Times New Roman"/>
          <w:sz w:val="24"/>
          <w:szCs w:val="24"/>
        </w:rPr>
        <w:t>Mottis</w:t>
      </w:r>
      <w:proofErr w:type="spellEnd"/>
      <w:r w:rsidRPr="00FB0D94">
        <w:rPr>
          <w:rFonts w:ascii="Times New Roman" w:hAnsi="Times New Roman" w:cs="Times New Roman"/>
          <w:sz w:val="24"/>
          <w:szCs w:val="24"/>
        </w:rPr>
        <w:t xml:space="preserve"> N.</w:t>
      </w:r>
      <w:r w:rsidR="00AA6FCF" w:rsidRPr="00FB0D94">
        <w:rPr>
          <w:rFonts w:ascii="Times New Roman" w:hAnsi="Times New Roman" w:cs="Times New Roman"/>
          <w:sz w:val="24"/>
          <w:szCs w:val="24"/>
        </w:rPr>
        <w:t xml:space="preserve">, </w:t>
      </w:r>
      <w:proofErr w:type="spellStart"/>
      <w:r w:rsidR="00AA6FCF" w:rsidRPr="00FB0D94">
        <w:rPr>
          <w:rFonts w:ascii="Times New Roman" w:hAnsi="Times New Roman" w:cs="Times New Roman"/>
          <w:sz w:val="24"/>
          <w:szCs w:val="24"/>
        </w:rPr>
        <w:t>Zarlowski</w:t>
      </w:r>
      <w:proofErr w:type="spellEnd"/>
      <w:r w:rsidR="00AA6FCF" w:rsidRPr="00FB0D94">
        <w:rPr>
          <w:rFonts w:ascii="Times New Roman" w:hAnsi="Times New Roman" w:cs="Times New Roman"/>
          <w:sz w:val="24"/>
          <w:szCs w:val="24"/>
        </w:rPr>
        <w:t xml:space="preserve"> P., 2003), voire sur </w:t>
      </w:r>
      <w:r w:rsidRPr="00FB0D94">
        <w:rPr>
          <w:rFonts w:ascii="Times New Roman" w:hAnsi="Times New Roman" w:cs="Times New Roman"/>
          <w:sz w:val="24"/>
          <w:szCs w:val="24"/>
        </w:rPr>
        <w:t xml:space="preserve">l’éventuelle impartialité des jugements émis par ces analystes même si </w:t>
      </w:r>
      <w:r w:rsidR="00EA0EE5">
        <w:rPr>
          <w:rFonts w:ascii="Times New Roman" w:hAnsi="Times New Roman" w:cs="Times New Roman"/>
          <w:sz w:val="24"/>
          <w:szCs w:val="24"/>
        </w:rPr>
        <w:t>en</w:t>
      </w:r>
      <w:r w:rsidRPr="00FB0D94">
        <w:rPr>
          <w:rFonts w:ascii="Times New Roman" w:hAnsi="Times New Roman" w:cs="Times New Roman"/>
          <w:sz w:val="24"/>
          <w:szCs w:val="24"/>
        </w:rPr>
        <w:t xml:space="preserve">cadrés par la présence de codes de déontologie (Van </w:t>
      </w:r>
      <w:proofErr w:type="spellStart"/>
      <w:r w:rsidRPr="00FB0D94">
        <w:rPr>
          <w:rFonts w:ascii="Times New Roman" w:hAnsi="Times New Roman" w:cs="Times New Roman"/>
          <w:sz w:val="24"/>
          <w:szCs w:val="24"/>
        </w:rPr>
        <w:t>Loye</w:t>
      </w:r>
      <w:proofErr w:type="spellEnd"/>
      <w:r w:rsidRPr="00FB0D94">
        <w:rPr>
          <w:rFonts w:ascii="Times New Roman" w:hAnsi="Times New Roman" w:cs="Times New Roman"/>
          <w:sz w:val="24"/>
          <w:szCs w:val="24"/>
        </w:rPr>
        <w:t xml:space="preserve"> G., </w:t>
      </w:r>
      <w:proofErr w:type="spellStart"/>
      <w:r w:rsidRPr="00FB0D94">
        <w:rPr>
          <w:rFonts w:ascii="Times New Roman" w:hAnsi="Times New Roman" w:cs="Times New Roman"/>
          <w:sz w:val="24"/>
          <w:szCs w:val="24"/>
        </w:rPr>
        <w:t>Fontowicz</w:t>
      </w:r>
      <w:proofErr w:type="spellEnd"/>
      <w:r w:rsidRPr="00FB0D94">
        <w:rPr>
          <w:rFonts w:ascii="Times New Roman" w:hAnsi="Times New Roman" w:cs="Times New Roman"/>
          <w:sz w:val="24"/>
          <w:szCs w:val="24"/>
        </w:rPr>
        <w:t xml:space="preserve"> L., 2004, </w:t>
      </w:r>
      <w:proofErr w:type="spellStart"/>
      <w:r w:rsidRPr="00FB0D94">
        <w:rPr>
          <w:rFonts w:ascii="Times New Roman" w:hAnsi="Times New Roman" w:cs="Times New Roman"/>
          <w:sz w:val="24"/>
          <w:szCs w:val="24"/>
        </w:rPr>
        <w:t>Labégorre</w:t>
      </w:r>
      <w:proofErr w:type="spellEnd"/>
      <w:r w:rsidR="00923847" w:rsidRPr="00FB0D94">
        <w:rPr>
          <w:rFonts w:ascii="Times New Roman" w:hAnsi="Times New Roman" w:cs="Times New Roman"/>
          <w:sz w:val="24"/>
          <w:szCs w:val="24"/>
        </w:rPr>
        <w:t xml:space="preserve"> F., 2005, Sauviat C., 2003). Elles peuvent également porter </w:t>
      </w:r>
      <w:r w:rsidR="00AA6FCF" w:rsidRPr="00FB0D94">
        <w:rPr>
          <w:rFonts w:ascii="Times New Roman" w:hAnsi="Times New Roman" w:cs="Times New Roman"/>
          <w:sz w:val="24"/>
          <w:szCs w:val="24"/>
        </w:rPr>
        <w:t>sur</w:t>
      </w:r>
      <w:r w:rsidRPr="00FB0D94">
        <w:rPr>
          <w:rFonts w:ascii="Times New Roman" w:hAnsi="Times New Roman" w:cs="Times New Roman"/>
          <w:sz w:val="24"/>
          <w:szCs w:val="24"/>
        </w:rPr>
        <w:t xml:space="preserve"> l’état général des marchés (Cousin J., L</w:t>
      </w:r>
      <w:r w:rsidR="00AA6FCF" w:rsidRPr="00FB0D94">
        <w:rPr>
          <w:rFonts w:ascii="Times New Roman" w:hAnsi="Times New Roman" w:cs="Times New Roman"/>
          <w:sz w:val="24"/>
          <w:szCs w:val="24"/>
        </w:rPr>
        <w:t xml:space="preserve">evasseur M., </w:t>
      </w:r>
      <w:proofErr w:type="spellStart"/>
      <w:r w:rsidR="00AA6FCF" w:rsidRPr="00FB0D94">
        <w:rPr>
          <w:rFonts w:ascii="Times New Roman" w:hAnsi="Times New Roman" w:cs="Times New Roman"/>
          <w:sz w:val="24"/>
          <w:szCs w:val="24"/>
        </w:rPr>
        <w:t>Romon</w:t>
      </w:r>
      <w:proofErr w:type="spellEnd"/>
      <w:r w:rsidR="00AA6FCF" w:rsidRPr="00FB0D94">
        <w:rPr>
          <w:rFonts w:ascii="Times New Roman" w:hAnsi="Times New Roman" w:cs="Times New Roman"/>
          <w:sz w:val="24"/>
          <w:szCs w:val="24"/>
        </w:rPr>
        <w:t xml:space="preserve"> F., 2013),</w:t>
      </w:r>
      <w:r w:rsidRPr="00FB0D94">
        <w:rPr>
          <w:rFonts w:ascii="Times New Roman" w:hAnsi="Times New Roman" w:cs="Times New Roman"/>
          <w:sz w:val="24"/>
          <w:szCs w:val="24"/>
        </w:rPr>
        <w:t xml:space="preserve"> </w:t>
      </w:r>
      <w:r w:rsidR="00321EC2" w:rsidRPr="00FB0D94">
        <w:rPr>
          <w:rFonts w:ascii="Times New Roman" w:hAnsi="Times New Roman" w:cs="Times New Roman"/>
          <w:sz w:val="24"/>
          <w:szCs w:val="24"/>
        </w:rPr>
        <w:t xml:space="preserve">sur </w:t>
      </w:r>
      <w:r w:rsidRPr="00FB0D94">
        <w:rPr>
          <w:rFonts w:ascii="Times New Roman" w:hAnsi="Times New Roman" w:cs="Times New Roman"/>
          <w:sz w:val="24"/>
          <w:szCs w:val="24"/>
        </w:rPr>
        <w:t xml:space="preserve">la dispersion des prévisions (Dinh T., </w:t>
      </w:r>
      <w:proofErr w:type="spellStart"/>
      <w:r w:rsidRPr="00FB0D94">
        <w:rPr>
          <w:rFonts w:ascii="Times New Roman" w:hAnsi="Times New Roman" w:cs="Times New Roman"/>
          <w:sz w:val="24"/>
          <w:szCs w:val="24"/>
        </w:rPr>
        <w:t>Gajewski</w:t>
      </w:r>
      <w:proofErr w:type="spellEnd"/>
      <w:r w:rsidRPr="00FB0D94">
        <w:rPr>
          <w:rFonts w:ascii="Times New Roman" w:hAnsi="Times New Roman" w:cs="Times New Roman"/>
          <w:sz w:val="24"/>
          <w:szCs w:val="24"/>
        </w:rPr>
        <w:t>, 2005)</w:t>
      </w:r>
      <w:r w:rsidR="00586F51" w:rsidRPr="00FB0D94">
        <w:rPr>
          <w:rFonts w:ascii="Times New Roman" w:hAnsi="Times New Roman" w:cs="Times New Roman"/>
          <w:sz w:val="24"/>
          <w:szCs w:val="24"/>
        </w:rPr>
        <w:t xml:space="preserve"> ainsi que</w:t>
      </w:r>
      <w:r w:rsidR="00AA6FCF" w:rsidRPr="00FB0D94">
        <w:rPr>
          <w:rFonts w:ascii="Times New Roman" w:hAnsi="Times New Roman" w:cs="Times New Roman"/>
          <w:sz w:val="24"/>
          <w:szCs w:val="24"/>
        </w:rPr>
        <w:t xml:space="preserve"> sur</w:t>
      </w:r>
      <w:r w:rsidRPr="00FB0D94">
        <w:rPr>
          <w:rFonts w:ascii="Times New Roman" w:hAnsi="Times New Roman" w:cs="Times New Roman"/>
          <w:sz w:val="24"/>
          <w:szCs w:val="24"/>
        </w:rPr>
        <w:t xml:space="preserve"> la structure de propriété de l’entreprise (</w:t>
      </w:r>
      <w:proofErr w:type="spellStart"/>
      <w:r w:rsidRPr="00FB0D94">
        <w:rPr>
          <w:rFonts w:ascii="Times New Roman" w:hAnsi="Times New Roman" w:cs="Times New Roman"/>
          <w:sz w:val="24"/>
          <w:szCs w:val="24"/>
        </w:rPr>
        <w:t>Eugster</w:t>
      </w:r>
      <w:proofErr w:type="spellEnd"/>
      <w:r w:rsidRPr="00FB0D94">
        <w:rPr>
          <w:rFonts w:ascii="Times New Roman" w:hAnsi="Times New Roman" w:cs="Times New Roman"/>
          <w:sz w:val="24"/>
          <w:szCs w:val="24"/>
        </w:rPr>
        <w:t xml:space="preserve"> N., 2018).</w:t>
      </w:r>
    </w:p>
    <w:p w14:paraId="0B2EE99C" w14:textId="152433BA" w:rsidR="00B1472C" w:rsidRPr="00FB0D94" w:rsidRDefault="00D4533A" w:rsidP="00FB0D94">
      <w:pPr>
        <w:spacing w:line="360" w:lineRule="auto"/>
        <w:ind w:left="709"/>
        <w:jc w:val="both"/>
        <w:rPr>
          <w:rFonts w:ascii="Times New Roman" w:hAnsi="Times New Roman" w:cs="Times New Roman"/>
          <w:sz w:val="24"/>
          <w:szCs w:val="24"/>
        </w:rPr>
      </w:pPr>
      <w:r w:rsidRPr="00FB0D94">
        <w:rPr>
          <w:rFonts w:ascii="Times New Roman" w:hAnsi="Times New Roman" w:cs="Times New Roman"/>
          <w:sz w:val="24"/>
          <w:szCs w:val="24"/>
        </w:rPr>
        <w:t xml:space="preserve">Face au constat du manque d’opérationnalité de l’information, d’autres approches peuvent </w:t>
      </w:r>
      <w:r w:rsidR="00950281" w:rsidRPr="00FB0D94">
        <w:rPr>
          <w:rFonts w:ascii="Times New Roman" w:hAnsi="Times New Roman" w:cs="Times New Roman"/>
          <w:sz w:val="24"/>
          <w:szCs w:val="24"/>
        </w:rPr>
        <w:t xml:space="preserve">dès lors </w:t>
      </w:r>
      <w:r w:rsidRPr="00FB0D94">
        <w:rPr>
          <w:rFonts w:ascii="Times New Roman" w:hAnsi="Times New Roman" w:cs="Times New Roman"/>
          <w:sz w:val="24"/>
          <w:szCs w:val="24"/>
        </w:rPr>
        <w:t>être envisagées</w:t>
      </w:r>
      <w:r w:rsidR="00950281" w:rsidRPr="00FB0D94">
        <w:rPr>
          <w:rFonts w:ascii="Times New Roman" w:hAnsi="Times New Roman" w:cs="Times New Roman"/>
          <w:sz w:val="24"/>
          <w:szCs w:val="24"/>
        </w:rPr>
        <w:t xml:space="preserve"> par les petits porteurs</w:t>
      </w:r>
      <w:r w:rsidR="00563972" w:rsidRPr="00FB0D94">
        <w:rPr>
          <w:rFonts w:ascii="Times New Roman" w:hAnsi="Times New Roman" w:cs="Times New Roman"/>
          <w:sz w:val="24"/>
          <w:szCs w:val="24"/>
        </w:rPr>
        <w:t>. Ainsi</w:t>
      </w:r>
      <w:r w:rsidRPr="00FB0D94">
        <w:rPr>
          <w:rFonts w:ascii="Times New Roman" w:hAnsi="Times New Roman" w:cs="Times New Roman"/>
          <w:sz w:val="24"/>
          <w:szCs w:val="24"/>
        </w:rPr>
        <w:t>, l’analyse technique consiste fondamentalement repérer dans le cours passé des signes annonc</w:t>
      </w:r>
      <w:r w:rsidR="00CD7704" w:rsidRPr="00FB0D94">
        <w:rPr>
          <w:rFonts w:ascii="Times New Roman" w:hAnsi="Times New Roman" w:cs="Times New Roman"/>
          <w:sz w:val="24"/>
          <w:szCs w:val="24"/>
        </w:rPr>
        <w:t>iateurs des</w:t>
      </w:r>
      <w:r w:rsidRPr="00FB0D94">
        <w:rPr>
          <w:rFonts w:ascii="Times New Roman" w:hAnsi="Times New Roman" w:cs="Times New Roman"/>
          <w:sz w:val="24"/>
          <w:szCs w:val="24"/>
        </w:rPr>
        <w:t xml:space="preserve"> cours futur</w:t>
      </w:r>
      <w:r w:rsidR="00CD7704" w:rsidRPr="00FB0D94">
        <w:rPr>
          <w:rFonts w:ascii="Times New Roman" w:hAnsi="Times New Roman" w:cs="Times New Roman"/>
          <w:sz w:val="24"/>
          <w:szCs w:val="24"/>
        </w:rPr>
        <w:t>s (</w:t>
      </w:r>
      <w:proofErr w:type="spellStart"/>
      <w:r w:rsidR="00CD7704" w:rsidRPr="00FB0D94">
        <w:rPr>
          <w:rFonts w:ascii="Times New Roman" w:hAnsi="Times New Roman" w:cs="Times New Roman"/>
          <w:sz w:val="24"/>
          <w:szCs w:val="24"/>
        </w:rPr>
        <w:t>Godechot</w:t>
      </w:r>
      <w:proofErr w:type="spellEnd"/>
      <w:r w:rsidR="00CD7704" w:rsidRPr="00FB0D94">
        <w:rPr>
          <w:rFonts w:ascii="Times New Roman" w:hAnsi="Times New Roman" w:cs="Times New Roman"/>
          <w:sz w:val="24"/>
          <w:szCs w:val="24"/>
        </w:rPr>
        <w:t xml:space="preserve"> O., 2008)</w:t>
      </w:r>
      <w:r w:rsidR="007F5B6F" w:rsidRPr="00FB0D94">
        <w:rPr>
          <w:rFonts w:ascii="Times New Roman" w:hAnsi="Times New Roman" w:cs="Times New Roman"/>
          <w:sz w:val="24"/>
          <w:szCs w:val="24"/>
        </w:rPr>
        <w:t xml:space="preserve">. </w:t>
      </w:r>
      <w:r w:rsidR="00CB3CB5" w:rsidRPr="00FB0D94">
        <w:rPr>
          <w:rFonts w:ascii="Times New Roman" w:hAnsi="Times New Roman" w:cs="Times New Roman"/>
          <w:sz w:val="24"/>
          <w:szCs w:val="24"/>
        </w:rPr>
        <w:t>Les techniciens partent de l’idée que l’information est inutile pour comprendre l’évolution des cours de Bourse et que des techniques basées sur l’analyse de l’évolution historique des cours doivent être mobilisées. Ce</w:t>
      </w:r>
      <w:r w:rsidR="003461AB">
        <w:rPr>
          <w:rFonts w:ascii="Times New Roman" w:hAnsi="Times New Roman" w:cs="Times New Roman"/>
          <w:sz w:val="24"/>
          <w:szCs w:val="24"/>
        </w:rPr>
        <w:t>lle</w:t>
      </w:r>
      <w:r w:rsidR="00CB3CB5" w:rsidRPr="00FB0D94">
        <w:rPr>
          <w:rFonts w:ascii="Times New Roman" w:hAnsi="Times New Roman" w:cs="Times New Roman"/>
          <w:sz w:val="24"/>
          <w:szCs w:val="24"/>
        </w:rPr>
        <w:t>s</w:t>
      </w:r>
      <w:r w:rsidR="003461AB">
        <w:rPr>
          <w:rFonts w:ascii="Times New Roman" w:hAnsi="Times New Roman" w:cs="Times New Roman"/>
          <w:sz w:val="24"/>
          <w:szCs w:val="24"/>
        </w:rPr>
        <w:t>-ci</w:t>
      </w:r>
      <w:r w:rsidR="00CB3CB5" w:rsidRPr="00FB0D94">
        <w:rPr>
          <w:rFonts w:ascii="Times New Roman" w:hAnsi="Times New Roman" w:cs="Times New Roman"/>
          <w:sz w:val="24"/>
          <w:szCs w:val="24"/>
        </w:rPr>
        <w:t xml:space="preserve">, bien souvent considérées comme relevant du </w:t>
      </w:r>
      <w:r w:rsidR="00CB3CB5" w:rsidRPr="00FB0D94">
        <w:rPr>
          <w:rFonts w:ascii="Times New Roman" w:hAnsi="Times New Roman" w:cs="Times New Roman"/>
          <w:i/>
          <w:sz w:val="24"/>
          <w:szCs w:val="24"/>
        </w:rPr>
        <w:t>charlatanisme</w:t>
      </w:r>
      <w:r w:rsidR="00CB3CB5" w:rsidRPr="00FB0D94">
        <w:rPr>
          <w:rFonts w:ascii="Times New Roman" w:hAnsi="Times New Roman" w:cs="Times New Roman"/>
          <w:sz w:val="24"/>
          <w:szCs w:val="24"/>
        </w:rPr>
        <w:t xml:space="preserve"> par les fondamentalistes, ont toutefois connu un essor très important ces dernières années</w:t>
      </w:r>
      <w:r w:rsidR="00A81F49" w:rsidRPr="00FB0D94">
        <w:rPr>
          <w:rFonts w:ascii="Times New Roman" w:hAnsi="Times New Roman" w:cs="Times New Roman"/>
          <w:sz w:val="24"/>
          <w:szCs w:val="24"/>
        </w:rPr>
        <w:t>.</w:t>
      </w:r>
      <w:r w:rsidR="006F61FF" w:rsidRPr="00FB0D94">
        <w:rPr>
          <w:rFonts w:ascii="Times New Roman" w:hAnsi="Times New Roman" w:cs="Times New Roman"/>
          <w:sz w:val="24"/>
          <w:szCs w:val="24"/>
        </w:rPr>
        <w:t xml:space="preserve"> L’analyse de l’efficacité réelle de ces techniques est complexifiée par le nombre d’outils envisageables</w:t>
      </w:r>
      <w:r w:rsidR="00C07355" w:rsidRPr="00FB0D94">
        <w:rPr>
          <w:rFonts w:ascii="Times New Roman" w:hAnsi="Times New Roman" w:cs="Times New Roman"/>
          <w:sz w:val="24"/>
          <w:szCs w:val="24"/>
        </w:rPr>
        <w:t xml:space="preserve"> (vo</w:t>
      </w:r>
      <w:r w:rsidR="00EA3091" w:rsidRPr="00FB0D94">
        <w:rPr>
          <w:rFonts w:ascii="Times New Roman" w:hAnsi="Times New Roman" w:cs="Times New Roman"/>
          <w:sz w:val="24"/>
          <w:szCs w:val="24"/>
        </w:rPr>
        <w:t>ir</w:t>
      </w:r>
      <w:r w:rsidR="00C07355" w:rsidRPr="00FB0D94">
        <w:rPr>
          <w:rFonts w:ascii="Times New Roman" w:hAnsi="Times New Roman" w:cs="Times New Roman"/>
          <w:sz w:val="24"/>
          <w:szCs w:val="24"/>
        </w:rPr>
        <w:t xml:space="preserve"> </w:t>
      </w:r>
      <w:proofErr w:type="spellStart"/>
      <w:r w:rsidR="00C07355" w:rsidRPr="00FB0D94">
        <w:rPr>
          <w:rFonts w:ascii="Times New Roman" w:hAnsi="Times New Roman" w:cs="Times New Roman"/>
          <w:sz w:val="24"/>
          <w:szCs w:val="24"/>
        </w:rPr>
        <w:t>Toríbio</w:t>
      </w:r>
      <w:proofErr w:type="spellEnd"/>
      <w:r w:rsidR="00C07355" w:rsidRPr="00FB0D94">
        <w:rPr>
          <w:rFonts w:ascii="Times New Roman" w:hAnsi="Times New Roman" w:cs="Times New Roman"/>
          <w:sz w:val="24"/>
          <w:szCs w:val="24"/>
        </w:rPr>
        <w:t xml:space="preserve"> R., </w:t>
      </w:r>
      <w:proofErr w:type="spellStart"/>
      <w:r w:rsidR="00C07355" w:rsidRPr="00FB0D94">
        <w:rPr>
          <w:rFonts w:ascii="Times New Roman" w:hAnsi="Times New Roman" w:cs="Times New Roman"/>
          <w:sz w:val="24"/>
          <w:szCs w:val="24"/>
        </w:rPr>
        <w:t>Nazárioa</w:t>
      </w:r>
      <w:proofErr w:type="spellEnd"/>
      <w:r w:rsidR="00C07355" w:rsidRPr="00FB0D94">
        <w:rPr>
          <w:rFonts w:ascii="Times New Roman" w:hAnsi="Times New Roman" w:cs="Times New Roman"/>
          <w:sz w:val="24"/>
          <w:szCs w:val="24"/>
        </w:rPr>
        <w:t xml:space="preserve"> J., </w:t>
      </w:r>
      <w:proofErr w:type="spellStart"/>
      <w:r w:rsidR="00C07355" w:rsidRPr="00FB0D94">
        <w:rPr>
          <w:rFonts w:ascii="Times New Roman" w:hAnsi="Times New Roman" w:cs="Times New Roman"/>
          <w:sz w:val="24"/>
          <w:szCs w:val="24"/>
        </w:rPr>
        <w:t>Limae</w:t>
      </w:r>
      <w:proofErr w:type="spellEnd"/>
      <w:r w:rsidR="00C07355" w:rsidRPr="00FB0D94">
        <w:rPr>
          <w:rFonts w:ascii="Times New Roman" w:hAnsi="Times New Roman" w:cs="Times New Roman"/>
          <w:sz w:val="24"/>
          <w:szCs w:val="24"/>
        </w:rPr>
        <w:t xml:space="preserve"> S.</w:t>
      </w:r>
      <w:r w:rsidR="00EA3091" w:rsidRPr="00FB0D94">
        <w:rPr>
          <w:rFonts w:ascii="Times New Roman" w:hAnsi="Times New Roman" w:cs="Times New Roman"/>
          <w:sz w:val="24"/>
          <w:szCs w:val="24"/>
        </w:rPr>
        <w:t xml:space="preserve"> </w:t>
      </w:r>
      <w:proofErr w:type="spellStart"/>
      <w:r w:rsidR="00EA3091" w:rsidRPr="00FB0D94">
        <w:rPr>
          <w:rFonts w:ascii="Times New Roman" w:hAnsi="Times New Roman" w:cs="Times New Roman"/>
          <w:sz w:val="24"/>
          <w:szCs w:val="24"/>
        </w:rPr>
        <w:t>Amorim</w:t>
      </w:r>
      <w:proofErr w:type="spellEnd"/>
      <w:r w:rsidR="00EA3091" w:rsidRPr="00FB0D94">
        <w:rPr>
          <w:rFonts w:ascii="Times New Roman" w:hAnsi="Times New Roman" w:cs="Times New Roman"/>
          <w:sz w:val="24"/>
          <w:szCs w:val="24"/>
        </w:rPr>
        <w:t xml:space="preserve"> S., </w:t>
      </w:r>
      <w:proofErr w:type="spellStart"/>
      <w:r w:rsidR="00C07355" w:rsidRPr="00FB0D94">
        <w:rPr>
          <w:rFonts w:ascii="Times New Roman" w:hAnsi="Times New Roman" w:cs="Times New Roman"/>
          <w:sz w:val="24"/>
          <w:szCs w:val="24"/>
        </w:rPr>
        <w:t>Kimurair</w:t>
      </w:r>
      <w:proofErr w:type="spellEnd"/>
      <w:r w:rsidR="00EA3091" w:rsidRPr="00FB0D94">
        <w:rPr>
          <w:rFonts w:ascii="Times New Roman" w:hAnsi="Times New Roman" w:cs="Times New Roman"/>
          <w:sz w:val="24"/>
          <w:szCs w:val="24"/>
        </w:rPr>
        <w:t xml:space="preserve"> H., 2017 pour un essai de classification)</w:t>
      </w:r>
      <w:r w:rsidR="006F61FF" w:rsidRPr="00FB0D94">
        <w:rPr>
          <w:rFonts w:ascii="Times New Roman" w:hAnsi="Times New Roman" w:cs="Times New Roman"/>
          <w:sz w:val="24"/>
          <w:szCs w:val="24"/>
        </w:rPr>
        <w:t xml:space="preserve">. </w:t>
      </w:r>
      <w:r w:rsidR="003B0D71" w:rsidRPr="00FB0D94">
        <w:rPr>
          <w:rFonts w:ascii="Times New Roman" w:hAnsi="Times New Roman" w:cs="Times New Roman"/>
          <w:sz w:val="24"/>
          <w:szCs w:val="24"/>
        </w:rPr>
        <w:t>Même s</w:t>
      </w:r>
      <w:r w:rsidR="006F61FF" w:rsidRPr="00FB0D94">
        <w:rPr>
          <w:rFonts w:ascii="Times New Roman" w:hAnsi="Times New Roman" w:cs="Times New Roman"/>
          <w:sz w:val="24"/>
          <w:szCs w:val="24"/>
        </w:rPr>
        <w:t>i certains de ceux-ci ont été largement critiqués (</w:t>
      </w:r>
      <w:proofErr w:type="spellStart"/>
      <w:r w:rsidR="006F61FF" w:rsidRPr="00FB0D94">
        <w:rPr>
          <w:rFonts w:ascii="Times New Roman" w:hAnsi="Times New Roman" w:cs="Times New Roman"/>
          <w:sz w:val="24"/>
          <w:szCs w:val="24"/>
        </w:rPr>
        <w:t>Halilbegovic</w:t>
      </w:r>
      <w:proofErr w:type="spellEnd"/>
      <w:r w:rsidR="006F61FF" w:rsidRPr="00FB0D94">
        <w:rPr>
          <w:rFonts w:ascii="Times New Roman" w:hAnsi="Times New Roman" w:cs="Times New Roman"/>
          <w:sz w:val="24"/>
          <w:szCs w:val="24"/>
        </w:rPr>
        <w:t xml:space="preserve"> S., 2016)</w:t>
      </w:r>
      <w:r w:rsidR="007123BD" w:rsidRPr="00FB0D94">
        <w:rPr>
          <w:rFonts w:ascii="Times New Roman" w:hAnsi="Times New Roman" w:cs="Times New Roman"/>
          <w:sz w:val="24"/>
          <w:szCs w:val="24"/>
        </w:rPr>
        <w:t>, il n’en demeure pas moins que des stratégies gagnantes ont été repérées dans certains cont</w:t>
      </w:r>
      <w:r w:rsidR="00A0200F" w:rsidRPr="00FB0D94">
        <w:rPr>
          <w:rFonts w:ascii="Times New Roman" w:hAnsi="Times New Roman" w:cs="Times New Roman"/>
          <w:sz w:val="24"/>
          <w:szCs w:val="24"/>
        </w:rPr>
        <w:t>extes et en mobilisant des</w:t>
      </w:r>
      <w:r w:rsidR="007123BD" w:rsidRPr="00FB0D94">
        <w:rPr>
          <w:rFonts w:ascii="Times New Roman" w:hAnsi="Times New Roman" w:cs="Times New Roman"/>
          <w:sz w:val="24"/>
          <w:szCs w:val="24"/>
        </w:rPr>
        <w:t xml:space="preserve"> techniques </w:t>
      </w:r>
      <w:r w:rsidR="001F30DD" w:rsidRPr="00FB0D94">
        <w:rPr>
          <w:rFonts w:ascii="Times New Roman" w:hAnsi="Times New Roman" w:cs="Times New Roman"/>
          <w:sz w:val="24"/>
          <w:szCs w:val="24"/>
        </w:rPr>
        <w:t>bien p</w:t>
      </w:r>
      <w:r w:rsidR="003008A4" w:rsidRPr="00FB0D94">
        <w:rPr>
          <w:rFonts w:ascii="Times New Roman" w:hAnsi="Times New Roman" w:cs="Times New Roman"/>
          <w:sz w:val="24"/>
          <w:szCs w:val="24"/>
        </w:rPr>
        <w:t>a</w:t>
      </w:r>
      <w:r w:rsidR="001F30DD" w:rsidRPr="00FB0D94">
        <w:rPr>
          <w:rFonts w:ascii="Times New Roman" w:hAnsi="Times New Roman" w:cs="Times New Roman"/>
          <w:sz w:val="24"/>
          <w:szCs w:val="24"/>
        </w:rPr>
        <w:t>rticulières</w:t>
      </w:r>
      <w:r w:rsidR="00A0200F" w:rsidRPr="00FB0D94">
        <w:rPr>
          <w:rFonts w:ascii="Times New Roman" w:hAnsi="Times New Roman" w:cs="Times New Roman"/>
          <w:sz w:val="24"/>
          <w:szCs w:val="24"/>
        </w:rPr>
        <w:t xml:space="preserve"> (</w:t>
      </w:r>
      <w:r w:rsidR="004565F4" w:rsidRPr="00FB0D94">
        <w:rPr>
          <w:rFonts w:ascii="Times New Roman" w:hAnsi="Times New Roman" w:cs="Times New Roman"/>
          <w:sz w:val="24"/>
          <w:szCs w:val="24"/>
        </w:rPr>
        <w:t xml:space="preserve">par exemple, </w:t>
      </w:r>
      <w:proofErr w:type="spellStart"/>
      <w:r w:rsidR="00A0200F" w:rsidRPr="00FB0D94">
        <w:rPr>
          <w:rFonts w:ascii="Times New Roman" w:hAnsi="Times New Roman" w:cs="Times New Roman"/>
          <w:sz w:val="24"/>
          <w:szCs w:val="24"/>
        </w:rPr>
        <w:t>Kubińska</w:t>
      </w:r>
      <w:proofErr w:type="spellEnd"/>
      <w:r w:rsidR="00A0200F" w:rsidRPr="00FB0D94">
        <w:rPr>
          <w:rFonts w:ascii="Times New Roman" w:hAnsi="Times New Roman" w:cs="Times New Roman"/>
          <w:sz w:val="24"/>
          <w:szCs w:val="24"/>
        </w:rPr>
        <w:t xml:space="preserve"> E., </w:t>
      </w:r>
      <w:proofErr w:type="spellStart"/>
      <w:r w:rsidR="00A0200F" w:rsidRPr="00FB0D94">
        <w:rPr>
          <w:rFonts w:ascii="Times New Roman" w:hAnsi="Times New Roman" w:cs="Times New Roman"/>
          <w:sz w:val="24"/>
          <w:szCs w:val="24"/>
        </w:rPr>
        <w:t>Czupryna</w:t>
      </w:r>
      <w:proofErr w:type="spellEnd"/>
      <w:r w:rsidR="00A0200F" w:rsidRPr="00FB0D94">
        <w:rPr>
          <w:rFonts w:ascii="Times New Roman" w:hAnsi="Times New Roman" w:cs="Times New Roman"/>
          <w:sz w:val="24"/>
          <w:szCs w:val="24"/>
        </w:rPr>
        <w:t xml:space="preserve"> M., </w:t>
      </w:r>
      <w:proofErr w:type="spellStart"/>
      <w:r w:rsidR="00A0200F" w:rsidRPr="00FB0D94">
        <w:rPr>
          <w:rFonts w:ascii="Times New Roman" w:hAnsi="Times New Roman" w:cs="Times New Roman"/>
          <w:sz w:val="24"/>
          <w:szCs w:val="24"/>
        </w:rPr>
        <w:t>Markiewicz</w:t>
      </w:r>
      <w:proofErr w:type="spellEnd"/>
      <w:r w:rsidR="00A0200F" w:rsidRPr="00FB0D94">
        <w:rPr>
          <w:rFonts w:ascii="Times New Roman" w:hAnsi="Times New Roman" w:cs="Times New Roman"/>
          <w:sz w:val="24"/>
          <w:szCs w:val="24"/>
        </w:rPr>
        <w:t xml:space="preserve"> L., </w:t>
      </w:r>
      <w:proofErr w:type="spellStart"/>
      <w:r w:rsidR="00A0200F" w:rsidRPr="00FB0D94">
        <w:rPr>
          <w:rFonts w:ascii="Times New Roman" w:hAnsi="Times New Roman" w:cs="Times New Roman"/>
          <w:sz w:val="24"/>
          <w:szCs w:val="24"/>
        </w:rPr>
        <w:t>Czekaj</w:t>
      </w:r>
      <w:proofErr w:type="spellEnd"/>
      <w:r w:rsidR="00A0200F" w:rsidRPr="00FB0D94">
        <w:rPr>
          <w:rFonts w:ascii="Times New Roman" w:hAnsi="Times New Roman" w:cs="Times New Roman"/>
          <w:sz w:val="24"/>
          <w:szCs w:val="24"/>
        </w:rPr>
        <w:t xml:space="preserve"> J., 2016)</w:t>
      </w:r>
      <w:r w:rsidR="007123BD" w:rsidRPr="00FB0D94">
        <w:rPr>
          <w:rFonts w:ascii="Times New Roman" w:hAnsi="Times New Roman" w:cs="Times New Roman"/>
          <w:sz w:val="24"/>
          <w:szCs w:val="24"/>
        </w:rPr>
        <w:t xml:space="preserve">. </w:t>
      </w:r>
      <w:r w:rsidR="003813AF">
        <w:rPr>
          <w:rFonts w:ascii="Times New Roman" w:hAnsi="Times New Roman" w:cs="Times New Roman"/>
          <w:sz w:val="24"/>
          <w:szCs w:val="24"/>
        </w:rPr>
        <w:t xml:space="preserve">En fonction de la prolifération des </w:t>
      </w:r>
      <w:r w:rsidR="00CB5156">
        <w:rPr>
          <w:rFonts w:ascii="Times New Roman" w:hAnsi="Times New Roman" w:cs="Times New Roman"/>
          <w:sz w:val="24"/>
          <w:szCs w:val="24"/>
        </w:rPr>
        <w:t xml:space="preserve">lieux d’échange en lien avec l’analyse technique, on peut se poser la </w:t>
      </w:r>
      <w:r w:rsidR="00CB5156">
        <w:rPr>
          <w:rFonts w:ascii="Times New Roman" w:hAnsi="Times New Roman" w:cs="Times New Roman"/>
          <w:sz w:val="24"/>
          <w:szCs w:val="24"/>
        </w:rPr>
        <w:lastRenderedPageBreak/>
        <w:t>question de savoir si ce type</w:t>
      </w:r>
      <w:r w:rsidR="001C67D5">
        <w:rPr>
          <w:rFonts w:ascii="Times New Roman" w:hAnsi="Times New Roman" w:cs="Times New Roman"/>
          <w:sz w:val="24"/>
          <w:szCs w:val="24"/>
        </w:rPr>
        <w:t xml:space="preserve"> d’approche ne relèverait pas </w:t>
      </w:r>
      <w:r w:rsidR="0071004C">
        <w:rPr>
          <w:rFonts w:ascii="Times New Roman" w:hAnsi="Times New Roman" w:cs="Times New Roman"/>
          <w:sz w:val="24"/>
          <w:szCs w:val="24"/>
        </w:rPr>
        <w:t xml:space="preserve">finalement </w:t>
      </w:r>
      <w:r w:rsidR="001C67D5">
        <w:rPr>
          <w:rFonts w:ascii="Times New Roman" w:hAnsi="Times New Roman" w:cs="Times New Roman"/>
          <w:sz w:val="24"/>
          <w:szCs w:val="24"/>
        </w:rPr>
        <w:t>du champ informationnel.</w:t>
      </w:r>
    </w:p>
    <w:p w14:paraId="21C4B0C2" w14:textId="1805D083" w:rsidR="001B1B7C" w:rsidRPr="00FB0D94" w:rsidRDefault="00CD2A01" w:rsidP="00FB0D94">
      <w:pPr>
        <w:spacing w:line="360" w:lineRule="auto"/>
        <w:ind w:left="709"/>
        <w:jc w:val="both"/>
        <w:rPr>
          <w:rFonts w:ascii="Times New Roman" w:hAnsi="Times New Roman" w:cs="Times New Roman"/>
          <w:sz w:val="24"/>
          <w:szCs w:val="24"/>
        </w:rPr>
      </w:pPr>
      <w:r w:rsidRPr="00FB0D94">
        <w:rPr>
          <w:rFonts w:ascii="Times New Roman" w:hAnsi="Times New Roman" w:cs="Times New Roman"/>
          <w:sz w:val="24"/>
          <w:szCs w:val="24"/>
        </w:rPr>
        <w:t xml:space="preserve">En poussant plus loin les enseignements tirés de l’analyse technique, </w:t>
      </w:r>
      <w:r w:rsidR="008E1FDD" w:rsidRPr="00FB0D94">
        <w:rPr>
          <w:rFonts w:ascii="Times New Roman" w:hAnsi="Times New Roman" w:cs="Times New Roman"/>
          <w:sz w:val="24"/>
          <w:szCs w:val="24"/>
        </w:rPr>
        <w:t>la théorie des conventions</w:t>
      </w:r>
      <w:r w:rsidR="0089396B">
        <w:rPr>
          <w:rFonts w:ascii="Times New Roman" w:hAnsi="Times New Roman" w:cs="Times New Roman"/>
          <w:sz w:val="24"/>
          <w:szCs w:val="24"/>
        </w:rPr>
        <w:t xml:space="preserve"> présuppose que</w:t>
      </w:r>
      <w:r w:rsidR="008E1FDD" w:rsidRPr="00FB0D94">
        <w:rPr>
          <w:rFonts w:ascii="Times New Roman" w:hAnsi="Times New Roman" w:cs="Times New Roman"/>
          <w:sz w:val="24"/>
          <w:szCs w:val="24"/>
        </w:rPr>
        <w:t xml:space="preserve"> le prix d’un actif ne serait qu’une représentation </w:t>
      </w:r>
      <w:r w:rsidR="000F45CC" w:rsidRPr="00FB0D94">
        <w:rPr>
          <w:rFonts w:ascii="Times New Roman" w:hAnsi="Times New Roman" w:cs="Times New Roman"/>
          <w:sz w:val="24"/>
          <w:szCs w:val="24"/>
        </w:rPr>
        <w:t>d’</w:t>
      </w:r>
      <w:r w:rsidR="001A7A5D" w:rsidRPr="00FB0D94">
        <w:rPr>
          <w:rFonts w:ascii="Times New Roman" w:hAnsi="Times New Roman" w:cs="Times New Roman"/>
          <w:sz w:val="24"/>
          <w:szCs w:val="24"/>
        </w:rPr>
        <w:t xml:space="preserve">un accord explicite </w:t>
      </w:r>
      <w:r w:rsidR="000F45CC" w:rsidRPr="00FB0D94">
        <w:rPr>
          <w:rFonts w:ascii="Times New Roman" w:hAnsi="Times New Roman" w:cs="Times New Roman"/>
          <w:sz w:val="24"/>
          <w:szCs w:val="24"/>
        </w:rPr>
        <w:t>des intervenants sur le marché quant à une</w:t>
      </w:r>
      <w:r w:rsidR="008E1FDD" w:rsidRPr="00FB0D94">
        <w:rPr>
          <w:rFonts w:ascii="Times New Roman" w:hAnsi="Times New Roman" w:cs="Times New Roman"/>
          <w:sz w:val="24"/>
          <w:szCs w:val="24"/>
        </w:rPr>
        <w:t xml:space="preserve"> l’opinion généralement admise et de </w:t>
      </w:r>
      <w:r w:rsidRPr="00FB0D94">
        <w:rPr>
          <w:rFonts w:ascii="Times New Roman" w:hAnsi="Times New Roman" w:cs="Times New Roman"/>
          <w:sz w:val="24"/>
          <w:szCs w:val="24"/>
        </w:rPr>
        <w:t xml:space="preserve">ses évolutions </w:t>
      </w:r>
      <w:r w:rsidR="000F45CC" w:rsidRPr="00FB0D94">
        <w:rPr>
          <w:rFonts w:ascii="Times New Roman" w:hAnsi="Times New Roman" w:cs="Times New Roman"/>
          <w:sz w:val="24"/>
          <w:szCs w:val="24"/>
        </w:rPr>
        <w:t xml:space="preserve">probables </w:t>
      </w:r>
      <w:r w:rsidRPr="00FB0D94">
        <w:rPr>
          <w:rFonts w:ascii="Times New Roman" w:hAnsi="Times New Roman" w:cs="Times New Roman"/>
          <w:sz w:val="24"/>
          <w:szCs w:val="24"/>
        </w:rPr>
        <w:t xml:space="preserve">dans le futur </w:t>
      </w:r>
      <w:r w:rsidR="008E1FDD" w:rsidRPr="00FB0D94">
        <w:rPr>
          <w:rFonts w:ascii="Times New Roman" w:hAnsi="Times New Roman" w:cs="Times New Roman"/>
          <w:sz w:val="24"/>
          <w:szCs w:val="24"/>
        </w:rPr>
        <w:t>(</w:t>
      </w:r>
      <w:proofErr w:type="spellStart"/>
      <w:r w:rsidR="008E1FDD" w:rsidRPr="00FB0D94">
        <w:rPr>
          <w:rFonts w:ascii="Times New Roman" w:hAnsi="Times New Roman" w:cs="Times New Roman"/>
          <w:sz w:val="24"/>
          <w:szCs w:val="24"/>
        </w:rPr>
        <w:t>Orléan</w:t>
      </w:r>
      <w:proofErr w:type="spellEnd"/>
      <w:r w:rsidR="008E1FDD" w:rsidRPr="00FB0D94">
        <w:rPr>
          <w:rFonts w:ascii="Times New Roman" w:hAnsi="Times New Roman" w:cs="Times New Roman"/>
          <w:sz w:val="24"/>
          <w:szCs w:val="24"/>
        </w:rPr>
        <w:t xml:space="preserve"> A., 2004). </w:t>
      </w:r>
      <w:r w:rsidR="0023311C" w:rsidRPr="00FB0D94">
        <w:rPr>
          <w:rFonts w:ascii="Times New Roman" w:hAnsi="Times New Roman" w:cs="Times New Roman"/>
          <w:sz w:val="24"/>
          <w:szCs w:val="24"/>
        </w:rPr>
        <w:t>Les pr</w:t>
      </w:r>
      <w:r w:rsidR="00532361" w:rsidRPr="00FB0D94">
        <w:rPr>
          <w:rFonts w:ascii="Times New Roman" w:hAnsi="Times New Roman" w:cs="Times New Roman"/>
          <w:sz w:val="24"/>
          <w:szCs w:val="24"/>
        </w:rPr>
        <w:t xml:space="preserve">ix ne constitueraient </w:t>
      </w:r>
      <w:r w:rsidR="000F45CC" w:rsidRPr="00FB0D94">
        <w:rPr>
          <w:rFonts w:ascii="Times New Roman" w:hAnsi="Times New Roman" w:cs="Times New Roman"/>
          <w:sz w:val="24"/>
          <w:szCs w:val="24"/>
        </w:rPr>
        <w:t xml:space="preserve">donc </w:t>
      </w:r>
      <w:r w:rsidR="00532361" w:rsidRPr="00FB0D94">
        <w:rPr>
          <w:rFonts w:ascii="Times New Roman" w:hAnsi="Times New Roman" w:cs="Times New Roman"/>
          <w:sz w:val="24"/>
          <w:szCs w:val="24"/>
        </w:rPr>
        <w:t xml:space="preserve">que le reflet </w:t>
      </w:r>
      <w:r w:rsidR="0023311C" w:rsidRPr="00FB0D94">
        <w:rPr>
          <w:rFonts w:ascii="Times New Roman" w:hAnsi="Times New Roman" w:cs="Times New Roman"/>
          <w:sz w:val="24"/>
          <w:szCs w:val="24"/>
        </w:rPr>
        <w:t>d’une « pure » convention sur des états futurs (</w:t>
      </w:r>
      <w:proofErr w:type="spellStart"/>
      <w:r w:rsidR="0023311C" w:rsidRPr="00FB0D94">
        <w:rPr>
          <w:rFonts w:ascii="Times New Roman" w:hAnsi="Times New Roman" w:cs="Times New Roman"/>
          <w:sz w:val="24"/>
          <w:szCs w:val="24"/>
        </w:rPr>
        <w:t>Piluso</w:t>
      </w:r>
      <w:proofErr w:type="spellEnd"/>
      <w:r w:rsidR="0023311C" w:rsidRPr="00FB0D94">
        <w:rPr>
          <w:rFonts w:ascii="Times New Roman" w:hAnsi="Times New Roman" w:cs="Times New Roman"/>
          <w:sz w:val="24"/>
          <w:szCs w:val="24"/>
        </w:rPr>
        <w:t xml:space="preserve"> N., 2007) et </w:t>
      </w:r>
      <w:r w:rsidR="00B05705" w:rsidRPr="00FB0D94">
        <w:rPr>
          <w:rFonts w:ascii="Times New Roman" w:hAnsi="Times New Roman" w:cs="Times New Roman"/>
          <w:sz w:val="24"/>
          <w:szCs w:val="24"/>
        </w:rPr>
        <w:t>pour</w:t>
      </w:r>
      <w:r w:rsidR="0023311C" w:rsidRPr="00FB0D94">
        <w:rPr>
          <w:rFonts w:ascii="Times New Roman" w:hAnsi="Times New Roman" w:cs="Times New Roman"/>
          <w:sz w:val="24"/>
          <w:szCs w:val="24"/>
        </w:rPr>
        <w:t xml:space="preserve">raient </w:t>
      </w:r>
      <w:r w:rsidR="00B05705" w:rsidRPr="00FB0D94">
        <w:rPr>
          <w:rFonts w:ascii="Times New Roman" w:hAnsi="Times New Roman" w:cs="Times New Roman"/>
          <w:sz w:val="24"/>
          <w:szCs w:val="24"/>
        </w:rPr>
        <w:t xml:space="preserve">être </w:t>
      </w:r>
      <w:r w:rsidR="0023311C" w:rsidRPr="00FB0D94">
        <w:rPr>
          <w:rFonts w:ascii="Times New Roman" w:hAnsi="Times New Roman" w:cs="Times New Roman"/>
          <w:sz w:val="24"/>
          <w:szCs w:val="24"/>
        </w:rPr>
        <w:t>en déconnexion totale avec toute forme d’analyse. L</w:t>
      </w:r>
      <w:r w:rsidR="000F45CC" w:rsidRPr="00FB0D94">
        <w:rPr>
          <w:rFonts w:ascii="Times New Roman" w:hAnsi="Times New Roman" w:cs="Times New Roman"/>
          <w:sz w:val="24"/>
          <w:szCs w:val="24"/>
        </w:rPr>
        <w:t>’idée est alors de parier sur d</w:t>
      </w:r>
      <w:r w:rsidR="0023311C" w:rsidRPr="00FB0D94">
        <w:rPr>
          <w:rFonts w:ascii="Times New Roman" w:hAnsi="Times New Roman" w:cs="Times New Roman"/>
          <w:sz w:val="24"/>
          <w:szCs w:val="24"/>
        </w:rPr>
        <w:t>e</w:t>
      </w:r>
      <w:r w:rsidR="000F45CC" w:rsidRPr="00FB0D94">
        <w:rPr>
          <w:rFonts w:ascii="Times New Roman" w:hAnsi="Times New Roman" w:cs="Times New Roman"/>
          <w:sz w:val="24"/>
          <w:szCs w:val="24"/>
        </w:rPr>
        <w:t>s</w:t>
      </w:r>
      <w:r w:rsidR="0023311C" w:rsidRPr="00FB0D94">
        <w:rPr>
          <w:rFonts w:ascii="Times New Roman" w:hAnsi="Times New Roman" w:cs="Times New Roman"/>
          <w:sz w:val="24"/>
          <w:szCs w:val="24"/>
        </w:rPr>
        <w:t xml:space="preserve"> convention</w:t>
      </w:r>
      <w:r w:rsidR="000F45CC" w:rsidRPr="00FB0D94">
        <w:rPr>
          <w:rFonts w:ascii="Times New Roman" w:hAnsi="Times New Roman" w:cs="Times New Roman"/>
          <w:sz w:val="24"/>
          <w:szCs w:val="24"/>
        </w:rPr>
        <w:t>s</w:t>
      </w:r>
      <w:r w:rsidR="0023311C" w:rsidRPr="00FB0D94">
        <w:rPr>
          <w:rFonts w:ascii="Times New Roman" w:hAnsi="Times New Roman" w:cs="Times New Roman"/>
          <w:sz w:val="24"/>
          <w:szCs w:val="24"/>
        </w:rPr>
        <w:t xml:space="preserve"> future</w:t>
      </w:r>
      <w:r w:rsidR="000F45CC" w:rsidRPr="00FB0D94">
        <w:rPr>
          <w:rFonts w:ascii="Times New Roman" w:hAnsi="Times New Roman" w:cs="Times New Roman"/>
          <w:sz w:val="24"/>
          <w:szCs w:val="24"/>
        </w:rPr>
        <w:t>s</w:t>
      </w:r>
      <w:r w:rsidR="0023311C" w:rsidRPr="00FB0D94">
        <w:rPr>
          <w:rFonts w:ascii="Times New Roman" w:hAnsi="Times New Roman" w:cs="Times New Roman"/>
          <w:sz w:val="24"/>
          <w:szCs w:val="24"/>
        </w:rPr>
        <w:t xml:space="preserve"> communément acceptée</w:t>
      </w:r>
      <w:r w:rsidR="000F45CC" w:rsidRPr="00FB0D94">
        <w:rPr>
          <w:rFonts w:ascii="Times New Roman" w:hAnsi="Times New Roman" w:cs="Times New Roman"/>
          <w:sz w:val="24"/>
          <w:szCs w:val="24"/>
        </w:rPr>
        <w:t>s. Celle</w:t>
      </w:r>
      <w:r w:rsidR="0023311C" w:rsidRPr="00FB0D94">
        <w:rPr>
          <w:rFonts w:ascii="Times New Roman" w:hAnsi="Times New Roman" w:cs="Times New Roman"/>
          <w:sz w:val="24"/>
          <w:szCs w:val="24"/>
        </w:rPr>
        <w:t>s</w:t>
      </w:r>
      <w:r w:rsidR="000F45CC" w:rsidRPr="00FB0D94">
        <w:rPr>
          <w:rFonts w:ascii="Times New Roman" w:hAnsi="Times New Roman" w:cs="Times New Roman"/>
          <w:sz w:val="24"/>
          <w:szCs w:val="24"/>
        </w:rPr>
        <w:t>-ci</w:t>
      </w:r>
      <w:r w:rsidR="008E1FDD" w:rsidRPr="00FB0D94">
        <w:rPr>
          <w:rFonts w:ascii="Times New Roman" w:hAnsi="Times New Roman" w:cs="Times New Roman"/>
          <w:sz w:val="24"/>
          <w:szCs w:val="24"/>
        </w:rPr>
        <w:t xml:space="preserve"> peuvent se </w:t>
      </w:r>
      <w:r w:rsidR="00B51A59">
        <w:rPr>
          <w:rFonts w:ascii="Times New Roman" w:hAnsi="Times New Roman" w:cs="Times New Roman"/>
          <w:sz w:val="24"/>
          <w:szCs w:val="24"/>
        </w:rPr>
        <w:t>mu</w:t>
      </w:r>
      <w:r w:rsidR="008E1FDD" w:rsidRPr="00FB0D94">
        <w:rPr>
          <w:rFonts w:ascii="Times New Roman" w:hAnsi="Times New Roman" w:cs="Times New Roman"/>
          <w:sz w:val="24"/>
          <w:szCs w:val="24"/>
        </w:rPr>
        <w:t xml:space="preserve">er </w:t>
      </w:r>
      <w:r w:rsidR="007917A5" w:rsidRPr="00FB0D94">
        <w:rPr>
          <w:rFonts w:ascii="Times New Roman" w:hAnsi="Times New Roman" w:cs="Times New Roman"/>
          <w:sz w:val="24"/>
          <w:szCs w:val="24"/>
        </w:rPr>
        <w:t>en hypothèses de travail, se transmettre d’un type d’actionnaires à un autre, sans que les participants ne soient réellement capables de proposer les contours d’une opinion personnelle.  Les individus vont</w:t>
      </w:r>
      <w:r w:rsidR="000F45CC" w:rsidRPr="00FB0D94">
        <w:rPr>
          <w:rFonts w:ascii="Times New Roman" w:hAnsi="Times New Roman" w:cs="Times New Roman"/>
          <w:sz w:val="24"/>
          <w:szCs w:val="24"/>
        </w:rPr>
        <w:t xml:space="preserve"> alors</w:t>
      </w:r>
      <w:r w:rsidR="007917A5" w:rsidRPr="00FB0D94">
        <w:rPr>
          <w:rFonts w:ascii="Times New Roman" w:hAnsi="Times New Roman" w:cs="Times New Roman"/>
          <w:sz w:val="24"/>
          <w:szCs w:val="24"/>
        </w:rPr>
        <w:t xml:space="preserve"> adopter une postu</w:t>
      </w:r>
      <w:r w:rsidR="007714D2" w:rsidRPr="00FB0D94">
        <w:rPr>
          <w:rFonts w:ascii="Times New Roman" w:hAnsi="Times New Roman" w:cs="Times New Roman"/>
          <w:sz w:val="24"/>
          <w:szCs w:val="24"/>
        </w:rPr>
        <w:t xml:space="preserve">re financière </w:t>
      </w:r>
      <w:r w:rsidR="007917A5" w:rsidRPr="00FB0D94">
        <w:rPr>
          <w:rFonts w:ascii="Times New Roman" w:hAnsi="Times New Roman" w:cs="Times New Roman"/>
          <w:sz w:val="24"/>
          <w:szCs w:val="24"/>
        </w:rPr>
        <w:t xml:space="preserve">pour coller aux attentes d’une norme marchande largement acceptée. </w:t>
      </w:r>
      <w:r w:rsidR="00212C02">
        <w:rPr>
          <w:rFonts w:ascii="Times New Roman" w:hAnsi="Times New Roman" w:cs="Times New Roman"/>
          <w:sz w:val="24"/>
          <w:szCs w:val="24"/>
        </w:rPr>
        <w:t>S</w:t>
      </w:r>
      <w:r w:rsidR="007917A5" w:rsidRPr="00FB0D94">
        <w:rPr>
          <w:rFonts w:ascii="Times New Roman" w:hAnsi="Times New Roman" w:cs="Times New Roman"/>
          <w:sz w:val="24"/>
          <w:szCs w:val="24"/>
        </w:rPr>
        <w:t xml:space="preserve">ous </w:t>
      </w:r>
      <w:r w:rsidR="006F0649" w:rsidRPr="00FB0D94">
        <w:rPr>
          <w:rFonts w:ascii="Times New Roman" w:hAnsi="Times New Roman" w:cs="Times New Roman"/>
          <w:sz w:val="24"/>
          <w:szCs w:val="24"/>
        </w:rPr>
        <w:t>l’</w:t>
      </w:r>
      <w:r w:rsidR="007917A5" w:rsidRPr="00FB0D94">
        <w:rPr>
          <w:rFonts w:ascii="Times New Roman" w:hAnsi="Times New Roman" w:cs="Times New Roman"/>
          <w:sz w:val="24"/>
          <w:szCs w:val="24"/>
        </w:rPr>
        <w:t>impulsion de dynamiques conventionnelles, les individus peuvent (ré)agir de manière impulsive et r</w:t>
      </w:r>
      <w:r w:rsidR="0023311C" w:rsidRPr="00FB0D94">
        <w:rPr>
          <w:rFonts w:ascii="Times New Roman" w:hAnsi="Times New Roman" w:cs="Times New Roman"/>
          <w:sz w:val="24"/>
          <w:szCs w:val="24"/>
        </w:rPr>
        <w:t xml:space="preserve">éflexive </w:t>
      </w:r>
      <w:r w:rsidR="007917A5" w:rsidRPr="00FB0D94">
        <w:rPr>
          <w:rFonts w:ascii="Times New Roman" w:hAnsi="Times New Roman" w:cs="Times New Roman"/>
          <w:sz w:val="24"/>
          <w:szCs w:val="24"/>
        </w:rPr>
        <w:t xml:space="preserve">afin de coller au </w:t>
      </w:r>
      <w:r w:rsidR="007917A5" w:rsidRPr="00FB0D94">
        <w:rPr>
          <w:rFonts w:ascii="Times New Roman" w:hAnsi="Times New Roman" w:cs="Times New Roman"/>
          <w:i/>
          <w:sz w:val="24"/>
          <w:szCs w:val="24"/>
        </w:rPr>
        <w:t>mainstream</w:t>
      </w:r>
      <w:r w:rsidR="007917A5" w:rsidRPr="00FB0D94">
        <w:rPr>
          <w:rFonts w:ascii="Times New Roman" w:hAnsi="Times New Roman" w:cs="Times New Roman"/>
          <w:sz w:val="24"/>
          <w:szCs w:val="24"/>
        </w:rPr>
        <w:t xml:space="preserve"> intellectuel moyen qui prévaut au sein de celles-ci.</w:t>
      </w:r>
      <w:r w:rsidR="001B1B7C" w:rsidRPr="00FB0D94">
        <w:rPr>
          <w:rFonts w:ascii="Times New Roman" w:hAnsi="Times New Roman" w:cs="Times New Roman"/>
          <w:sz w:val="24"/>
          <w:szCs w:val="24"/>
        </w:rPr>
        <w:t xml:space="preserve"> D</w:t>
      </w:r>
      <w:r w:rsidR="002F60FD" w:rsidRPr="00FB0D94">
        <w:rPr>
          <w:rFonts w:ascii="Times New Roman" w:hAnsi="Times New Roman" w:cs="Times New Roman"/>
          <w:sz w:val="24"/>
          <w:szCs w:val="24"/>
        </w:rPr>
        <w:t>es décisions s’écartant plus ou moin</w:t>
      </w:r>
      <w:r w:rsidR="00D9207D" w:rsidRPr="00FB0D94">
        <w:rPr>
          <w:rFonts w:ascii="Times New Roman" w:hAnsi="Times New Roman" w:cs="Times New Roman"/>
          <w:sz w:val="24"/>
          <w:szCs w:val="24"/>
        </w:rPr>
        <w:t xml:space="preserve">s fortement de </w:t>
      </w:r>
      <w:r w:rsidR="002F60FD" w:rsidRPr="00FB0D94">
        <w:rPr>
          <w:rFonts w:ascii="Times New Roman" w:hAnsi="Times New Roman" w:cs="Times New Roman"/>
          <w:sz w:val="24"/>
          <w:szCs w:val="24"/>
        </w:rPr>
        <w:t>schémas rationnels</w:t>
      </w:r>
      <w:r w:rsidR="007917A5" w:rsidRPr="00FB0D94">
        <w:rPr>
          <w:rFonts w:ascii="Times New Roman" w:hAnsi="Times New Roman" w:cs="Times New Roman"/>
          <w:sz w:val="24"/>
          <w:szCs w:val="24"/>
        </w:rPr>
        <w:t xml:space="preserve"> peuvent </w:t>
      </w:r>
      <w:r w:rsidR="001B1B7C" w:rsidRPr="00FB0D94">
        <w:rPr>
          <w:rFonts w:ascii="Times New Roman" w:hAnsi="Times New Roman" w:cs="Times New Roman"/>
          <w:sz w:val="24"/>
          <w:szCs w:val="24"/>
        </w:rPr>
        <w:t xml:space="preserve">ainsi </w:t>
      </w:r>
      <w:r w:rsidR="007917A5" w:rsidRPr="00FB0D94">
        <w:rPr>
          <w:rFonts w:ascii="Times New Roman" w:hAnsi="Times New Roman" w:cs="Times New Roman"/>
          <w:sz w:val="24"/>
          <w:szCs w:val="24"/>
        </w:rPr>
        <w:t xml:space="preserve">émerger parce que les </w:t>
      </w:r>
      <w:r w:rsidR="002863A9">
        <w:rPr>
          <w:rFonts w:ascii="Times New Roman" w:hAnsi="Times New Roman" w:cs="Times New Roman"/>
          <w:sz w:val="24"/>
          <w:szCs w:val="24"/>
        </w:rPr>
        <w:t xml:space="preserve">acteurs sont imbriqués dans </w:t>
      </w:r>
      <w:r w:rsidR="005C157A">
        <w:rPr>
          <w:rFonts w:ascii="Times New Roman" w:hAnsi="Times New Roman" w:cs="Times New Roman"/>
          <w:sz w:val="24"/>
          <w:szCs w:val="24"/>
        </w:rPr>
        <w:t>un</w:t>
      </w:r>
      <w:r w:rsidR="002863A9">
        <w:rPr>
          <w:rFonts w:ascii="Times New Roman" w:hAnsi="Times New Roman" w:cs="Times New Roman"/>
          <w:sz w:val="24"/>
          <w:szCs w:val="24"/>
        </w:rPr>
        <w:t xml:space="preserve"> </w:t>
      </w:r>
      <w:r w:rsidR="00227B5D">
        <w:rPr>
          <w:rFonts w:ascii="Times New Roman" w:hAnsi="Times New Roman" w:cs="Times New Roman"/>
          <w:sz w:val="24"/>
          <w:szCs w:val="24"/>
        </w:rPr>
        <w:t xml:space="preserve">sentiment </w:t>
      </w:r>
      <w:r w:rsidR="005C157A">
        <w:rPr>
          <w:rFonts w:ascii="Times New Roman" w:hAnsi="Times New Roman" w:cs="Times New Roman"/>
          <w:sz w:val="24"/>
          <w:szCs w:val="24"/>
        </w:rPr>
        <w:t>vis-à-vis du</w:t>
      </w:r>
      <w:r w:rsidR="00227B5D">
        <w:rPr>
          <w:rFonts w:ascii="Times New Roman" w:hAnsi="Times New Roman" w:cs="Times New Roman"/>
          <w:sz w:val="24"/>
          <w:szCs w:val="24"/>
        </w:rPr>
        <w:t xml:space="preserve"> marché </w:t>
      </w:r>
      <w:r w:rsidR="005A6ADB">
        <w:rPr>
          <w:rFonts w:ascii="Times New Roman" w:hAnsi="Times New Roman" w:cs="Times New Roman"/>
          <w:sz w:val="24"/>
          <w:szCs w:val="24"/>
        </w:rPr>
        <w:t xml:space="preserve">(Frugier A., 2014) </w:t>
      </w:r>
      <w:r w:rsidR="00227B5D">
        <w:rPr>
          <w:rFonts w:ascii="Times New Roman" w:hAnsi="Times New Roman" w:cs="Times New Roman"/>
          <w:sz w:val="24"/>
          <w:szCs w:val="24"/>
        </w:rPr>
        <w:t xml:space="preserve">et </w:t>
      </w:r>
      <w:r w:rsidR="00147F43">
        <w:rPr>
          <w:rFonts w:ascii="Times New Roman" w:hAnsi="Times New Roman" w:cs="Times New Roman"/>
          <w:sz w:val="24"/>
          <w:szCs w:val="24"/>
        </w:rPr>
        <w:t xml:space="preserve">naviguent </w:t>
      </w:r>
      <w:r w:rsidR="00720F79">
        <w:rPr>
          <w:rFonts w:ascii="Times New Roman" w:hAnsi="Times New Roman" w:cs="Times New Roman"/>
          <w:sz w:val="24"/>
          <w:szCs w:val="24"/>
        </w:rPr>
        <w:t xml:space="preserve">dans </w:t>
      </w:r>
      <w:r w:rsidR="005A6ADB">
        <w:rPr>
          <w:rFonts w:ascii="Times New Roman" w:hAnsi="Times New Roman" w:cs="Times New Roman"/>
          <w:sz w:val="24"/>
          <w:szCs w:val="24"/>
        </w:rPr>
        <w:t xml:space="preserve">des </w:t>
      </w:r>
      <w:r w:rsidR="007917A5" w:rsidRPr="00FB0D94">
        <w:rPr>
          <w:rFonts w:ascii="Times New Roman" w:hAnsi="Times New Roman" w:cs="Times New Roman"/>
          <w:sz w:val="24"/>
          <w:szCs w:val="24"/>
        </w:rPr>
        <w:t xml:space="preserve">poches d’irrationalité. </w:t>
      </w:r>
    </w:p>
    <w:p w14:paraId="7E81A3BC" w14:textId="7E906173" w:rsidR="006F4FC6" w:rsidRPr="00FB0D94" w:rsidRDefault="007917A5" w:rsidP="006D6FB4">
      <w:pPr>
        <w:spacing w:line="360" w:lineRule="auto"/>
        <w:ind w:left="709"/>
        <w:jc w:val="both"/>
        <w:rPr>
          <w:rFonts w:ascii="Times New Roman" w:hAnsi="Times New Roman" w:cs="Times New Roman"/>
          <w:sz w:val="24"/>
          <w:szCs w:val="24"/>
        </w:rPr>
      </w:pPr>
      <w:r w:rsidRPr="00FB0D94">
        <w:rPr>
          <w:rFonts w:ascii="Times New Roman" w:hAnsi="Times New Roman" w:cs="Times New Roman"/>
          <w:sz w:val="24"/>
          <w:szCs w:val="24"/>
        </w:rPr>
        <w:t xml:space="preserve">L’idée </w:t>
      </w:r>
      <w:r w:rsidR="004E750B">
        <w:rPr>
          <w:rFonts w:ascii="Times New Roman" w:hAnsi="Times New Roman" w:cs="Times New Roman"/>
          <w:sz w:val="24"/>
          <w:szCs w:val="24"/>
        </w:rPr>
        <w:t>serait</w:t>
      </w:r>
      <w:r w:rsidR="00B05705" w:rsidRPr="00FB0D94">
        <w:rPr>
          <w:rFonts w:ascii="Times New Roman" w:hAnsi="Times New Roman" w:cs="Times New Roman"/>
          <w:sz w:val="24"/>
          <w:szCs w:val="24"/>
        </w:rPr>
        <w:t xml:space="preserve"> donc, pour un marché boursier</w:t>
      </w:r>
      <w:r w:rsidRPr="00FB0D94">
        <w:rPr>
          <w:rFonts w:ascii="Times New Roman" w:hAnsi="Times New Roman" w:cs="Times New Roman"/>
          <w:sz w:val="24"/>
          <w:szCs w:val="24"/>
        </w:rPr>
        <w:t xml:space="preserve"> au sens d’une psychologie en communauté, d’approcher le comportement social des individus, c’est-à-dire</w:t>
      </w:r>
      <w:r w:rsidR="00D9207D" w:rsidRPr="00FB0D94">
        <w:rPr>
          <w:rFonts w:ascii="Times New Roman" w:hAnsi="Times New Roman" w:cs="Times New Roman"/>
          <w:sz w:val="24"/>
          <w:szCs w:val="24"/>
        </w:rPr>
        <w:t xml:space="preserve"> leurs pensées et leurs comportements (suivisme, attitudes moutonnières, </w:t>
      </w:r>
      <w:r w:rsidRPr="00FB0D94">
        <w:rPr>
          <w:rFonts w:ascii="Times New Roman" w:hAnsi="Times New Roman" w:cs="Times New Roman"/>
          <w:sz w:val="24"/>
          <w:szCs w:val="24"/>
        </w:rPr>
        <w:t xml:space="preserve">réflexes pavloviens…) alors qu’ils sont influencés par la présence d’autres intervenants. </w:t>
      </w:r>
      <w:r w:rsidR="00D9207D" w:rsidRPr="00FB0D94">
        <w:rPr>
          <w:rFonts w:ascii="Times New Roman" w:hAnsi="Times New Roman" w:cs="Times New Roman"/>
          <w:sz w:val="24"/>
          <w:szCs w:val="24"/>
        </w:rPr>
        <w:t>A noter que l</w:t>
      </w:r>
      <w:r w:rsidR="000345AE" w:rsidRPr="00FB0D94">
        <w:rPr>
          <w:rFonts w:ascii="Times New Roman" w:hAnsi="Times New Roman" w:cs="Times New Roman"/>
          <w:sz w:val="24"/>
          <w:szCs w:val="24"/>
        </w:rPr>
        <w:t xml:space="preserve">a théorie des conventions peut fonctionner sur des intervalles de temps relativement courts, à la condition du maintien et de la stabilité temporelle de cette </w:t>
      </w:r>
      <w:r w:rsidR="00286606" w:rsidRPr="00FB0D94">
        <w:rPr>
          <w:rFonts w:ascii="Times New Roman" w:hAnsi="Times New Roman" w:cs="Times New Roman"/>
          <w:sz w:val="24"/>
          <w:szCs w:val="24"/>
        </w:rPr>
        <w:t xml:space="preserve">dite </w:t>
      </w:r>
      <w:r w:rsidR="000345AE" w:rsidRPr="00FB0D94">
        <w:rPr>
          <w:rFonts w:ascii="Times New Roman" w:hAnsi="Times New Roman" w:cs="Times New Roman"/>
          <w:sz w:val="24"/>
          <w:szCs w:val="24"/>
        </w:rPr>
        <w:t>convention. De plus, se pose la question de</w:t>
      </w:r>
      <w:r w:rsidR="00D9207D" w:rsidRPr="00FB0D94">
        <w:rPr>
          <w:rFonts w:ascii="Times New Roman" w:hAnsi="Times New Roman" w:cs="Times New Roman"/>
          <w:sz w:val="24"/>
          <w:szCs w:val="24"/>
        </w:rPr>
        <w:t>s raisons</w:t>
      </w:r>
      <w:r w:rsidR="000345AE" w:rsidRPr="00FB0D94">
        <w:rPr>
          <w:rFonts w:ascii="Times New Roman" w:hAnsi="Times New Roman" w:cs="Times New Roman"/>
          <w:sz w:val="24"/>
          <w:szCs w:val="24"/>
        </w:rPr>
        <w:t xml:space="preserve"> qui favorise</w:t>
      </w:r>
      <w:r w:rsidR="00933819" w:rsidRPr="00FB0D94">
        <w:rPr>
          <w:rFonts w:ascii="Times New Roman" w:hAnsi="Times New Roman" w:cs="Times New Roman"/>
          <w:sz w:val="24"/>
          <w:szCs w:val="24"/>
        </w:rPr>
        <w:t>raie</w:t>
      </w:r>
      <w:r w:rsidR="000345AE" w:rsidRPr="00FB0D94">
        <w:rPr>
          <w:rFonts w:ascii="Times New Roman" w:hAnsi="Times New Roman" w:cs="Times New Roman"/>
          <w:sz w:val="24"/>
          <w:szCs w:val="24"/>
        </w:rPr>
        <w:t>nt l’émergence (voire le renouveau) de cette convention.</w:t>
      </w:r>
      <w:r w:rsidR="00962045">
        <w:rPr>
          <w:rFonts w:ascii="Times New Roman" w:hAnsi="Times New Roman" w:cs="Times New Roman"/>
          <w:sz w:val="24"/>
          <w:szCs w:val="24"/>
        </w:rPr>
        <w:t xml:space="preserve"> Cette théorie déplace l</w:t>
      </w:r>
      <w:r w:rsidR="00373710">
        <w:rPr>
          <w:rFonts w:ascii="Times New Roman" w:hAnsi="Times New Roman" w:cs="Times New Roman"/>
          <w:sz w:val="24"/>
          <w:szCs w:val="24"/>
        </w:rPr>
        <w:t>’analyse d</w:t>
      </w:r>
      <w:r w:rsidR="00962045">
        <w:rPr>
          <w:rFonts w:ascii="Times New Roman" w:hAnsi="Times New Roman" w:cs="Times New Roman"/>
          <w:sz w:val="24"/>
          <w:szCs w:val="24"/>
        </w:rPr>
        <w:t xml:space="preserve">es champs </w:t>
      </w:r>
      <w:r w:rsidR="00384C44">
        <w:rPr>
          <w:rFonts w:ascii="Times New Roman" w:hAnsi="Times New Roman" w:cs="Times New Roman"/>
          <w:sz w:val="24"/>
          <w:szCs w:val="24"/>
        </w:rPr>
        <w:t xml:space="preserve">des prises de décisions d’aspects fortement </w:t>
      </w:r>
      <w:r w:rsidR="00373710">
        <w:rPr>
          <w:rFonts w:ascii="Times New Roman" w:hAnsi="Times New Roman" w:cs="Times New Roman"/>
          <w:sz w:val="24"/>
          <w:szCs w:val="24"/>
        </w:rPr>
        <w:t xml:space="preserve">formalisés vers des aspects </w:t>
      </w:r>
      <w:r w:rsidR="003D2AA6">
        <w:rPr>
          <w:rFonts w:ascii="Times New Roman" w:hAnsi="Times New Roman" w:cs="Times New Roman"/>
          <w:sz w:val="24"/>
          <w:szCs w:val="24"/>
        </w:rPr>
        <w:t xml:space="preserve">logés dans </w:t>
      </w:r>
      <w:r w:rsidR="00386989">
        <w:rPr>
          <w:rFonts w:ascii="Times New Roman" w:hAnsi="Times New Roman" w:cs="Times New Roman"/>
          <w:sz w:val="24"/>
          <w:szCs w:val="24"/>
        </w:rPr>
        <w:t>la réalité personnelle des individus</w:t>
      </w:r>
      <w:r w:rsidR="00130D48">
        <w:rPr>
          <w:rFonts w:ascii="Times New Roman" w:hAnsi="Times New Roman" w:cs="Times New Roman"/>
          <w:sz w:val="24"/>
          <w:szCs w:val="24"/>
        </w:rPr>
        <w:t xml:space="preserve"> (</w:t>
      </w:r>
      <w:r w:rsidR="002C3D94">
        <w:rPr>
          <w:rFonts w:ascii="Times New Roman" w:hAnsi="Times New Roman" w:cs="Times New Roman"/>
          <w:sz w:val="24"/>
          <w:szCs w:val="24"/>
        </w:rPr>
        <w:t>cognitive et affective)</w:t>
      </w:r>
      <w:r w:rsidR="00631EB6">
        <w:rPr>
          <w:rFonts w:ascii="Times New Roman" w:hAnsi="Times New Roman" w:cs="Times New Roman"/>
          <w:sz w:val="24"/>
          <w:szCs w:val="24"/>
        </w:rPr>
        <w:t>.</w:t>
      </w:r>
      <w:r w:rsidR="0057207F">
        <w:rPr>
          <w:rFonts w:ascii="Times New Roman" w:hAnsi="Times New Roman" w:cs="Times New Roman"/>
          <w:sz w:val="24"/>
          <w:szCs w:val="24"/>
        </w:rPr>
        <w:t xml:space="preserve"> Elle induit également de prendre en considération</w:t>
      </w:r>
      <w:r w:rsidR="00373710">
        <w:rPr>
          <w:rFonts w:ascii="Times New Roman" w:hAnsi="Times New Roman" w:cs="Times New Roman"/>
          <w:sz w:val="24"/>
          <w:szCs w:val="24"/>
        </w:rPr>
        <w:t xml:space="preserve"> </w:t>
      </w:r>
      <w:r w:rsidR="00B61746">
        <w:rPr>
          <w:rFonts w:ascii="Times New Roman" w:hAnsi="Times New Roman" w:cs="Times New Roman"/>
          <w:sz w:val="24"/>
          <w:szCs w:val="24"/>
        </w:rPr>
        <w:t>un ensemble de biais</w:t>
      </w:r>
      <w:r w:rsidR="004D5EE4">
        <w:rPr>
          <w:rFonts w:ascii="Times New Roman" w:hAnsi="Times New Roman" w:cs="Times New Roman"/>
          <w:sz w:val="24"/>
          <w:szCs w:val="24"/>
        </w:rPr>
        <w:t>, d’heuristiques</w:t>
      </w:r>
      <w:r w:rsidR="009D56A8">
        <w:rPr>
          <w:rFonts w:ascii="Times New Roman" w:hAnsi="Times New Roman" w:cs="Times New Roman"/>
          <w:sz w:val="24"/>
          <w:szCs w:val="24"/>
        </w:rPr>
        <w:t>, d’émotions</w:t>
      </w:r>
      <w:r w:rsidR="00A37DD6">
        <w:rPr>
          <w:rFonts w:ascii="Times New Roman" w:hAnsi="Times New Roman" w:cs="Times New Roman"/>
          <w:sz w:val="24"/>
          <w:szCs w:val="24"/>
        </w:rPr>
        <w:t xml:space="preserve"> et </w:t>
      </w:r>
      <w:r w:rsidR="00D6759E">
        <w:rPr>
          <w:rFonts w:ascii="Times New Roman" w:hAnsi="Times New Roman" w:cs="Times New Roman"/>
          <w:sz w:val="24"/>
          <w:szCs w:val="24"/>
        </w:rPr>
        <w:t>d’</w:t>
      </w:r>
      <w:r w:rsidR="00A37DD6">
        <w:rPr>
          <w:rFonts w:ascii="Times New Roman" w:hAnsi="Times New Roman" w:cs="Times New Roman"/>
          <w:sz w:val="24"/>
          <w:szCs w:val="24"/>
        </w:rPr>
        <w:t>interactions sociales,</w:t>
      </w:r>
      <w:r w:rsidR="00B61746">
        <w:rPr>
          <w:rFonts w:ascii="Times New Roman" w:hAnsi="Times New Roman" w:cs="Times New Roman"/>
          <w:sz w:val="24"/>
          <w:szCs w:val="24"/>
        </w:rPr>
        <w:t xml:space="preserve"> - base</w:t>
      </w:r>
      <w:r w:rsidR="004D5EE4">
        <w:rPr>
          <w:rFonts w:ascii="Times New Roman" w:hAnsi="Times New Roman" w:cs="Times New Roman"/>
          <w:sz w:val="24"/>
          <w:szCs w:val="24"/>
        </w:rPr>
        <w:t>s</w:t>
      </w:r>
      <w:r w:rsidR="00B61746">
        <w:rPr>
          <w:rFonts w:ascii="Times New Roman" w:hAnsi="Times New Roman" w:cs="Times New Roman"/>
          <w:sz w:val="24"/>
          <w:szCs w:val="24"/>
        </w:rPr>
        <w:t xml:space="preserve"> de la finance comportementale</w:t>
      </w:r>
      <w:r w:rsidR="00BB5B64">
        <w:rPr>
          <w:rFonts w:ascii="Times New Roman" w:hAnsi="Times New Roman" w:cs="Times New Roman"/>
          <w:sz w:val="24"/>
          <w:szCs w:val="24"/>
        </w:rPr>
        <w:t xml:space="preserve"> (De </w:t>
      </w:r>
      <w:proofErr w:type="spellStart"/>
      <w:r w:rsidR="00BB5B64">
        <w:rPr>
          <w:rFonts w:ascii="Times New Roman" w:hAnsi="Times New Roman" w:cs="Times New Roman"/>
          <w:sz w:val="24"/>
          <w:szCs w:val="24"/>
        </w:rPr>
        <w:t>Winne</w:t>
      </w:r>
      <w:proofErr w:type="spellEnd"/>
      <w:r w:rsidR="00BB5B64">
        <w:rPr>
          <w:rFonts w:ascii="Times New Roman" w:hAnsi="Times New Roman" w:cs="Times New Roman"/>
          <w:sz w:val="24"/>
          <w:szCs w:val="24"/>
        </w:rPr>
        <w:t xml:space="preserve"> R, D’</w:t>
      </w:r>
      <w:proofErr w:type="spellStart"/>
      <w:r w:rsidR="00BB5B64">
        <w:rPr>
          <w:rFonts w:ascii="Times New Roman" w:hAnsi="Times New Roman" w:cs="Times New Roman"/>
          <w:sz w:val="24"/>
          <w:szCs w:val="24"/>
        </w:rPr>
        <w:t>Hondt</w:t>
      </w:r>
      <w:proofErr w:type="spellEnd"/>
      <w:r w:rsidR="00BB5B64">
        <w:rPr>
          <w:rFonts w:ascii="Times New Roman" w:hAnsi="Times New Roman" w:cs="Times New Roman"/>
          <w:sz w:val="24"/>
          <w:szCs w:val="24"/>
        </w:rPr>
        <w:t xml:space="preserve"> C., 2017)</w:t>
      </w:r>
      <w:r w:rsidR="00B61746">
        <w:rPr>
          <w:rFonts w:ascii="Times New Roman" w:hAnsi="Times New Roman" w:cs="Times New Roman"/>
          <w:sz w:val="24"/>
          <w:szCs w:val="24"/>
        </w:rPr>
        <w:t xml:space="preserve"> </w:t>
      </w:r>
    </w:p>
    <w:p w14:paraId="3886A5F5" w14:textId="3221FC9D" w:rsidR="000345AE" w:rsidRDefault="00C33302" w:rsidP="00FB0D94">
      <w:pPr>
        <w:spacing w:line="360" w:lineRule="auto"/>
        <w:ind w:left="709"/>
        <w:jc w:val="both"/>
        <w:rPr>
          <w:rFonts w:ascii="Times New Roman" w:hAnsi="Times New Roman" w:cs="Times New Roman"/>
          <w:sz w:val="24"/>
          <w:szCs w:val="24"/>
        </w:rPr>
      </w:pPr>
      <w:r w:rsidRPr="00FB0D94">
        <w:rPr>
          <w:rFonts w:ascii="Times New Roman" w:hAnsi="Times New Roman" w:cs="Times New Roman"/>
          <w:sz w:val="24"/>
          <w:szCs w:val="24"/>
        </w:rPr>
        <w:t>A noter que c</w:t>
      </w:r>
      <w:r w:rsidR="00E02039" w:rsidRPr="00FB0D94">
        <w:rPr>
          <w:rFonts w:ascii="Times New Roman" w:hAnsi="Times New Roman" w:cs="Times New Roman"/>
          <w:sz w:val="24"/>
          <w:szCs w:val="24"/>
        </w:rPr>
        <w:t xml:space="preserve">es </w:t>
      </w:r>
      <w:r w:rsidR="00E90BCE">
        <w:rPr>
          <w:rFonts w:ascii="Times New Roman" w:hAnsi="Times New Roman" w:cs="Times New Roman"/>
          <w:sz w:val="24"/>
          <w:szCs w:val="24"/>
        </w:rPr>
        <w:t>différents</w:t>
      </w:r>
      <w:r w:rsidR="00E02039" w:rsidRPr="00FB0D94">
        <w:rPr>
          <w:rFonts w:ascii="Times New Roman" w:hAnsi="Times New Roman" w:cs="Times New Roman"/>
          <w:sz w:val="24"/>
          <w:szCs w:val="24"/>
        </w:rPr>
        <w:t xml:space="preserve"> niveaux d’analyse</w:t>
      </w:r>
      <w:r w:rsidR="006254FE" w:rsidRPr="00FB0D94">
        <w:rPr>
          <w:rFonts w:ascii="Times New Roman" w:hAnsi="Times New Roman" w:cs="Times New Roman"/>
          <w:sz w:val="24"/>
          <w:szCs w:val="24"/>
        </w:rPr>
        <w:t xml:space="preserve"> </w:t>
      </w:r>
      <w:r w:rsidR="00C41444">
        <w:rPr>
          <w:rFonts w:ascii="Times New Roman" w:hAnsi="Times New Roman" w:cs="Times New Roman"/>
          <w:sz w:val="24"/>
          <w:szCs w:val="24"/>
        </w:rPr>
        <w:t xml:space="preserve">(fondamental, technique, conventionnel) </w:t>
      </w:r>
      <w:r w:rsidR="006254FE" w:rsidRPr="00FB0D94">
        <w:rPr>
          <w:rFonts w:ascii="Times New Roman" w:hAnsi="Times New Roman" w:cs="Times New Roman"/>
          <w:sz w:val="24"/>
          <w:szCs w:val="24"/>
        </w:rPr>
        <w:t xml:space="preserve">peuvent </w:t>
      </w:r>
      <w:r w:rsidRPr="00FB0D94">
        <w:rPr>
          <w:rFonts w:ascii="Times New Roman" w:hAnsi="Times New Roman" w:cs="Times New Roman"/>
          <w:sz w:val="24"/>
          <w:szCs w:val="24"/>
        </w:rPr>
        <w:t xml:space="preserve">bien évidemment </w:t>
      </w:r>
      <w:r w:rsidR="006254FE" w:rsidRPr="00FB0D94">
        <w:rPr>
          <w:rFonts w:ascii="Times New Roman" w:hAnsi="Times New Roman" w:cs="Times New Roman"/>
          <w:sz w:val="24"/>
          <w:szCs w:val="24"/>
        </w:rPr>
        <w:t>se superposer</w:t>
      </w:r>
      <w:r w:rsidR="00E02039" w:rsidRPr="00FB0D94">
        <w:rPr>
          <w:rFonts w:ascii="Times New Roman" w:hAnsi="Times New Roman" w:cs="Times New Roman"/>
          <w:sz w:val="24"/>
          <w:szCs w:val="24"/>
        </w:rPr>
        <w:t xml:space="preserve"> </w:t>
      </w:r>
      <w:r w:rsidR="006254FE" w:rsidRPr="00FB0D94">
        <w:rPr>
          <w:rFonts w:ascii="Times New Roman" w:hAnsi="Times New Roman" w:cs="Times New Roman"/>
          <w:sz w:val="24"/>
          <w:szCs w:val="24"/>
        </w:rPr>
        <w:t xml:space="preserve">(Agrawal J., </w:t>
      </w:r>
      <w:proofErr w:type="spellStart"/>
      <w:r w:rsidR="006254FE" w:rsidRPr="00FB0D94">
        <w:rPr>
          <w:rFonts w:ascii="Times New Roman" w:hAnsi="Times New Roman" w:cs="Times New Roman"/>
          <w:sz w:val="24"/>
          <w:szCs w:val="24"/>
        </w:rPr>
        <w:t>Chourasia</w:t>
      </w:r>
      <w:proofErr w:type="spellEnd"/>
      <w:r w:rsidR="006254FE" w:rsidRPr="00FB0D94">
        <w:rPr>
          <w:rFonts w:ascii="Times New Roman" w:hAnsi="Times New Roman" w:cs="Times New Roman"/>
          <w:sz w:val="24"/>
          <w:szCs w:val="24"/>
        </w:rPr>
        <w:t xml:space="preserve"> S., </w:t>
      </w:r>
      <w:proofErr w:type="spellStart"/>
      <w:r w:rsidR="006254FE" w:rsidRPr="00FB0D94">
        <w:rPr>
          <w:rFonts w:ascii="Times New Roman" w:hAnsi="Times New Roman" w:cs="Times New Roman"/>
          <w:sz w:val="24"/>
          <w:szCs w:val="24"/>
        </w:rPr>
        <w:t>Mittra</w:t>
      </w:r>
      <w:proofErr w:type="spellEnd"/>
      <w:r w:rsidR="006254FE" w:rsidRPr="00FB0D94">
        <w:rPr>
          <w:rFonts w:ascii="Times New Roman" w:hAnsi="Times New Roman" w:cs="Times New Roman"/>
          <w:sz w:val="24"/>
          <w:szCs w:val="24"/>
        </w:rPr>
        <w:t xml:space="preserve"> A., 2013)</w:t>
      </w:r>
      <w:r w:rsidR="00C73C2C" w:rsidRPr="00FB0D94">
        <w:rPr>
          <w:rFonts w:ascii="Times New Roman" w:hAnsi="Times New Roman" w:cs="Times New Roman"/>
          <w:sz w:val="24"/>
          <w:szCs w:val="24"/>
        </w:rPr>
        <w:t xml:space="preserve"> ; les études démontrent </w:t>
      </w:r>
      <w:r w:rsidR="00F2093B" w:rsidRPr="00FB0D94">
        <w:rPr>
          <w:rFonts w:ascii="Times New Roman" w:hAnsi="Times New Roman" w:cs="Times New Roman"/>
          <w:sz w:val="24"/>
          <w:szCs w:val="24"/>
        </w:rPr>
        <w:t xml:space="preserve">ainsi </w:t>
      </w:r>
      <w:r w:rsidR="00C73C2C" w:rsidRPr="00FB0D94">
        <w:rPr>
          <w:rFonts w:ascii="Times New Roman" w:hAnsi="Times New Roman" w:cs="Times New Roman"/>
          <w:sz w:val="24"/>
          <w:szCs w:val="24"/>
        </w:rPr>
        <w:t xml:space="preserve">que la multiplication des techniques </w:t>
      </w:r>
      <w:r w:rsidR="001B1B7C" w:rsidRPr="00FB0D94">
        <w:rPr>
          <w:rFonts w:ascii="Times New Roman" w:hAnsi="Times New Roman" w:cs="Times New Roman"/>
          <w:sz w:val="24"/>
          <w:szCs w:val="24"/>
        </w:rPr>
        <w:t xml:space="preserve">potentiellement </w:t>
      </w:r>
      <w:r w:rsidR="00C73C2C" w:rsidRPr="00FB0D94">
        <w:rPr>
          <w:rFonts w:ascii="Times New Roman" w:hAnsi="Times New Roman" w:cs="Times New Roman"/>
          <w:sz w:val="24"/>
          <w:szCs w:val="24"/>
        </w:rPr>
        <w:lastRenderedPageBreak/>
        <w:t>mobilisables améliorerait la prévision de l’évolution des prix (</w:t>
      </w:r>
      <w:proofErr w:type="spellStart"/>
      <w:r w:rsidR="00C73C2C" w:rsidRPr="00FB0D94">
        <w:rPr>
          <w:rFonts w:ascii="Times New Roman" w:hAnsi="Times New Roman" w:cs="Times New Roman"/>
          <w:sz w:val="24"/>
          <w:szCs w:val="24"/>
        </w:rPr>
        <w:t>Ballings</w:t>
      </w:r>
      <w:proofErr w:type="spellEnd"/>
      <w:r w:rsidR="00C73C2C" w:rsidRPr="00FB0D94">
        <w:rPr>
          <w:rFonts w:ascii="Times New Roman" w:hAnsi="Times New Roman" w:cs="Times New Roman"/>
          <w:sz w:val="24"/>
          <w:szCs w:val="24"/>
        </w:rPr>
        <w:t xml:space="preserve"> M., Van den </w:t>
      </w:r>
      <w:proofErr w:type="spellStart"/>
      <w:r w:rsidR="00C73C2C" w:rsidRPr="00FB0D94">
        <w:rPr>
          <w:rFonts w:ascii="Times New Roman" w:hAnsi="Times New Roman" w:cs="Times New Roman"/>
          <w:sz w:val="24"/>
          <w:szCs w:val="24"/>
        </w:rPr>
        <w:t>Poel</w:t>
      </w:r>
      <w:proofErr w:type="spellEnd"/>
      <w:r w:rsidR="00C73C2C" w:rsidRPr="00FB0D94">
        <w:rPr>
          <w:rFonts w:ascii="Times New Roman" w:hAnsi="Times New Roman" w:cs="Times New Roman"/>
          <w:sz w:val="24"/>
          <w:szCs w:val="24"/>
        </w:rPr>
        <w:t xml:space="preserve"> D., </w:t>
      </w:r>
      <w:proofErr w:type="spellStart"/>
      <w:r w:rsidR="00C73C2C" w:rsidRPr="00FB0D94">
        <w:rPr>
          <w:rFonts w:ascii="Times New Roman" w:hAnsi="Times New Roman" w:cs="Times New Roman"/>
          <w:sz w:val="24"/>
          <w:szCs w:val="24"/>
        </w:rPr>
        <w:t>Hespeels</w:t>
      </w:r>
      <w:proofErr w:type="spellEnd"/>
      <w:r w:rsidR="00C73C2C" w:rsidRPr="00FB0D94">
        <w:rPr>
          <w:rFonts w:ascii="Times New Roman" w:hAnsi="Times New Roman" w:cs="Times New Roman"/>
          <w:sz w:val="24"/>
          <w:szCs w:val="24"/>
        </w:rPr>
        <w:t xml:space="preserve"> N., </w:t>
      </w:r>
      <w:proofErr w:type="spellStart"/>
      <w:r w:rsidR="00C73C2C" w:rsidRPr="00FB0D94">
        <w:rPr>
          <w:rFonts w:ascii="Times New Roman" w:hAnsi="Times New Roman" w:cs="Times New Roman"/>
          <w:sz w:val="24"/>
          <w:szCs w:val="24"/>
        </w:rPr>
        <w:t>Gry</w:t>
      </w:r>
      <w:proofErr w:type="spellEnd"/>
      <w:r w:rsidR="00C73C2C" w:rsidRPr="00FB0D94">
        <w:rPr>
          <w:rFonts w:ascii="Times New Roman" w:hAnsi="Times New Roman" w:cs="Times New Roman"/>
          <w:sz w:val="24"/>
          <w:szCs w:val="24"/>
        </w:rPr>
        <w:t xml:space="preserve"> R., 2015).</w:t>
      </w:r>
    </w:p>
    <w:p w14:paraId="5C46A02E" w14:textId="174D82E9" w:rsidR="00490ABF" w:rsidRPr="00FB0D94" w:rsidRDefault="00490ABF" w:rsidP="00FB0D94">
      <w:pPr>
        <w:spacing w:line="360" w:lineRule="auto"/>
        <w:ind w:left="709"/>
        <w:jc w:val="both"/>
        <w:rPr>
          <w:rFonts w:ascii="Times New Roman" w:hAnsi="Times New Roman" w:cs="Times New Roman"/>
          <w:sz w:val="24"/>
          <w:szCs w:val="24"/>
        </w:rPr>
      </w:pPr>
      <w:r w:rsidRPr="00FB0D94">
        <w:rPr>
          <w:rFonts w:ascii="Times New Roman" w:hAnsi="Times New Roman" w:cs="Times New Roman"/>
          <w:sz w:val="24"/>
          <w:szCs w:val="24"/>
        </w:rPr>
        <w:t>En fonction de cet état de l’art</w:t>
      </w:r>
      <w:r w:rsidR="00605407" w:rsidRPr="00FB0D94">
        <w:rPr>
          <w:rFonts w:ascii="Times New Roman" w:hAnsi="Times New Roman" w:cs="Times New Roman"/>
          <w:sz w:val="24"/>
          <w:szCs w:val="24"/>
        </w:rPr>
        <w:t xml:space="preserve"> </w:t>
      </w:r>
      <w:r w:rsidR="007B2FE8" w:rsidRPr="00FB0D94">
        <w:rPr>
          <w:rFonts w:ascii="Times New Roman" w:hAnsi="Times New Roman" w:cs="Times New Roman"/>
          <w:sz w:val="24"/>
          <w:szCs w:val="24"/>
        </w:rPr>
        <w:t>relatif aux</w:t>
      </w:r>
      <w:r w:rsidR="00605407" w:rsidRPr="00FB0D94">
        <w:rPr>
          <w:rFonts w:ascii="Times New Roman" w:hAnsi="Times New Roman" w:cs="Times New Roman"/>
          <w:sz w:val="24"/>
          <w:szCs w:val="24"/>
        </w:rPr>
        <w:t xml:space="preserve"> instru</w:t>
      </w:r>
      <w:r w:rsidR="00077DE3" w:rsidRPr="00FB0D94">
        <w:rPr>
          <w:rFonts w:ascii="Times New Roman" w:hAnsi="Times New Roman" w:cs="Times New Roman"/>
          <w:sz w:val="24"/>
          <w:szCs w:val="24"/>
        </w:rPr>
        <w:t>ments potentiellement utilisables</w:t>
      </w:r>
      <w:r w:rsidR="00FD5017" w:rsidRPr="00FB0D94">
        <w:rPr>
          <w:rFonts w:ascii="Times New Roman" w:hAnsi="Times New Roman" w:cs="Times New Roman"/>
          <w:sz w:val="24"/>
          <w:szCs w:val="24"/>
        </w:rPr>
        <w:t xml:space="preserve">, notre interrogation de recherche </w:t>
      </w:r>
      <w:r w:rsidR="00F21F2F" w:rsidRPr="00FB0D94">
        <w:rPr>
          <w:rFonts w:ascii="Times New Roman" w:hAnsi="Times New Roman" w:cs="Times New Roman"/>
          <w:sz w:val="24"/>
          <w:szCs w:val="24"/>
        </w:rPr>
        <w:t xml:space="preserve">sera formulée de la manière suivante : </w:t>
      </w:r>
      <w:r w:rsidR="006A330D" w:rsidRPr="00FB0D94">
        <w:rPr>
          <w:rFonts w:ascii="Times New Roman" w:hAnsi="Times New Roman" w:cs="Times New Roman"/>
          <w:sz w:val="24"/>
          <w:szCs w:val="24"/>
        </w:rPr>
        <w:t>en situation de tradin</w:t>
      </w:r>
      <w:r w:rsidR="00BB66EF" w:rsidRPr="00FB0D94">
        <w:rPr>
          <w:rFonts w:ascii="Times New Roman" w:hAnsi="Times New Roman" w:cs="Times New Roman"/>
          <w:sz w:val="24"/>
          <w:szCs w:val="24"/>
        </w:rPr>
        <w:t>g</w:t>
      </w:r>
      <w:r w:rsidR="006A330D" w:rsidRPr="00FB0D94">
        <w:rPr>
          <w:rFonts w:ascii="Times New Roman" w:hAnsi="Times New Roman" w:cs="Times New Roman"/>
          <w:sz w:val="24"/>
          <w:szCs w:val="24"/>
        </w:rPr>
        <w:t>, quels sont les instruments d’analyse les plus communément utilisés ?</w:t>
      </w:r>
      <w:r w:rsidR="00A449C9">
        <w:rPr>
          <w:rFonts w:ascii="Times New Roman" w:hAnsi="Times New Roman" w:cs="Times New Roman"/>
          <w:sz w:val="24"/>
          <w:szCs w:val="24"/>
        </w:rPr>
        <w:t xml:space="preserve"> Dans cette logique, </w:t>
      </w:r>
      <w:r w:rsidR="004D574C">
        <w:rPr>
          <w:rFonts w:ascii="Times New Roman" w:hAnsi="Times New Roman" w:cs="Times New Roman"/>
          <w:sz w:val="24"/>
          <w:szCs w:val="24"/>
        </w:rPr>
        <w:t xml:space="preserve">dans le processus décisionnel, </w:t>
      </w:r>
      <w:r w:rsidR="00612BC9">
        <w:rPr>
          <w:rFonts w:ascii="Times New Roman" w:hAnsi="Times New Roman" w:cs="Times New Roman"/>
          <w:sz w:val="24"/>
          <w:szCs w:val="24"/>
        </w:rPr>
        <w:t>quelle est l’importance accordée à l’information et plus largement aux outils d’analyse classiquement enseignés</w:t>
      </w:r>
      <w:r w:rsidR="004D574C">
        <w:rPr>
          <w:rFonts w:ascii="Times New Roman" w:hAnsi="Times New Roman" w:cs="Times New Roman"/>
          <w:sz w:val="24"/>
          <w:szCs w:val="24"/>
        </w:rPr>
        <w:t> ?</w:t>
      </w:r>
    </w:p>
    <w:p w14:paraId="209972A2" w14:textId="308EB46B" w:rsidR="00003801" w:rsidRPr="00EA4DA4" w:rsidRDefault="0093723D" w:rsidP="00003801">
      <w:pPr>
        <w:pStyle w:val="Paragraphedeliste"/>
        <w:numPr>
          <w:ilvl w:val="0"/>
          <w:numId w:val="1"/>
        </w:numPr>
        <w:spacing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M</w:t>
      </w:r>
      <w:r w:rsidR="00003801" w:rsidRPr="00EA4DA4">
        <w:rPr>
          <w:rFonts w:ascii="Times New Roman" w:hAnsi="Times New Roman" w:cs="Times New Roman"/>
          <w:b/>
          <w:sz w:val="28"/>
          <w:szCs w:val="28"/>
          <w:u w:val="single"/>
        </w:rPr>
        <w:t>éthodologie</w:t>
      </w:r>
      <w:r>
        <w:rPr>
          <w:rFonts w:ascii="Times New Roman" w:hAnsi="Times New Roman" w:cs="Times New Roman"/>
          <w:b/>
          <w:sz w:val="28"/>
          <w:szCs w:val="28"/>
          <w:u w:val="single"/>
        </w:rPr>
        <w:t>, design expérimental et outils d’analyse</w:t>
      </w:r>
    </w:p>
    <w:p w14:paraId="39CF8765" w14:textId="77777777" w:rsidR="006B2796" w:rsidRDefault="006B2796" w:rsidP="006B2796">
      <w:pPr>
        <w:pStyle w:val="Paragraphedeliste"/>
        <w:spacing w:line="240" w:lineRule="auto"/>
        <w:jc w:val="both"/>
        <w:rPr>
          <w:sz w:val="26"/>
          <w:szCs w:val="26"/>
        </w:rPr>
      </w:pPr>
    </w:p>
    <w:p w14:paraId="47542DDA" w14:textId="7D759CE3" w:rsidR="003C610C" w:rsidRDefault="0066343D" w:rsidP="007473CE">
      <w:pPr>
        <w:pStyle w:val="Paragraphedeliste"/>
        <w:spacing w:line="360" w:lineRule="auto"/>
        <w:jc w:val="both"/>
        <w:rPr>
          <w:rFonts w:ascii="Times New Roman" w:hAnsi="Times New Roman" w:cs="Times New Roman"/>
          <w:sz w:val="24"/>
          <w:szCs w:val="24"/>
        </w:rPr>
      </w:pPr>
      <w:r w:rsidRPr="00A04BBF">
        <w:rPr>
          <w:rFonts w:ascii="Times New Roman" w:hAnsi="Times New Roman" w:cs="Times New Roman"/>
          <w:sz w:val="24"/>
          <w:szCs w:val="24"/>
        </w:rPr>
        <w:t xml:space="preserve">Sur le plan méthodologique, </w:t>
      </w:r>
      <w:r w:rsidR="002804EA" w:rsidRPr="00A04BBF">
        <w:rPr>
          <w:rFonts w:ascii="Times New Roman" w:hAnsi="Times New Roman" w:cs="Times New Roman"/>
          <w:sz w:val="24"/>
          <w:szCs w:val="24"/>
        </w:rPr>
        <w:t>nous nous référons à</w:t>
      </w:r>
      <w:r w:rsidR="00CF71ED" w:rsidRPr="00A04BBF">
        <w:rPr>
          <w:rFonts w:ascii="Times New Roman" w:hAnsi="Times New Roman" w:cs="Times New Roman"/>
          <w:sz w:val="24"/>
          <w:szCs w:val="24"/>
        </w:rPr>
        <w:t xml:space="preserve"> l’analyse</w:t>
      </w:r>
      <w:r w:rsidR="00195CDD" w:rsidRPr="00A04BBF">
        <w:rPr>
          <w:rFonts w:ascii="Times New Roman" w:hAnsi="Times New Roman" w:cs="Times New Roman"/>
          <w:sz w:val="24"/>
          <w:szCs w:val="24"/>
        </w:rPr>
        <w:t xml:space="preserve"> expérimentale</w:t>
      </w:r>
      <w:r w:rsidRPr="00A04BBF">
        <w:rPr>
          <w:rFonts w:ascii="Times New Roman" w:hAnsi="Times New Roman" w:cs="Times New Roman"/>
          <w:sz w:val="24"/>
          <w:szCs w:val="24"/>
        </w:rPr>
        <w:t xml:space="preserve"> </w:t>
      </w:r>
      <w:r w:rsidR="002804EA" w:rsidRPr="00A04BBF">
        <w:rPr>
          <w:rFonts w:ascii="Times New Roman" w:hAnsi="Times New Roman" w:cs="Times New Roman"/>
          <w:sz w:val="24"/>
          <w:szCs w:val="24"/>
        </w:rPr>
        <w:t>qui consiste</w:t>
      </w:r>
      <w:r w:rsidRPr="00A04BBF">
        <w:rPr>
          <w:rFonts w:ascii="Times New Roman" w:hAnsi="Times New Roman" w:cs="Times New Roman"/>
          <w:sz w:val="24"/>
          <w:szCs w:val="24"/>
        </w:rPr>
        <w:t xml:space="preserve"> </w:t>
      </w:r>
      <w:r w:rsidR="0037542A" w:rsidRPr="00A04BBF">
        <w:rPr>
          <w:rFonts w:ascii="Times New Roman" w:hAnsi="Times New Roman" w:cs="Times New Roman"/>
          <w:sz w:val="24"/>
          <w:szCs w:val="24"/>
        </w:rPr>
        <w:t xml:space="preserve">à </w:t>
      </w:r>
      <w:r w:rsidRPr="00A04BBF">
        <w:rPr>
          <w:rFonts w:ascii="Times New Roman" w:hAnsi="Times New Roman" w:cs="Times New Roman"/>
          <w:sz w:val="24"/>
          <w:szCs w:val="24"/>
        </w:rPr>
        <w:t>fournir des</w:t>
      </w:r>
      <w:r w:rsidR="003C610C" w:rsidRPr="00A04BBF">
        <w:rPr>
          <w:rFonts w:ascii="Times New Roman" w:hAnsi="Times New Roman" w:cs="Times New Roman"/>
          <w:sz w:val="24"/>
          <w:szCs w:val="24"/>
        </w:rPr>
        <w:t xml:space="preserve"> </w:t>
      </w:r>
      <w:r w:rsidRPr="00A04BBF">
        <w:rPr>
          <w:rFonts w:ascii="Times New Roman" w:hAnsi="Times New Roman" w:cs="Times New Roman"/>
          <w:sz w:val="24"/>
          <w:szCs w:val="24"/>
        </w:rPr>
        <w:t>analyses</w:t>
      </w:r>
      <w:r w:rsidR="003C610C" w:rsidRPr="00A04BBF">
        <w:rPr>
          <w:rFonts w:ascii="Times New Roman" w:hAnsi="Times New Roman" w:cs="Times New Roman"/>
          <w:sz w:val="24"/>
          <w:szCs w:val="24"/>
        </w:rPr>
        <w:t xml:space="preserve"> </w:t>
      </w:r>
      <w:r w:rsidRPr="00A04BBF">
        <w:rPr>
          <w:rFonts w:ascii="Times New Roman" w:hAnsi="Times New Roman" w:cs="Times New Roman"/>
          <w:sz w:val="24"/>
          <w:szCs w:val="24"/>
        </w:rPr>
        <w:t>des déterminants du comportement des agents économiques</w:t>
      </w:r>
      <w:r w:rsidR="00EA49B1" w:rsidRPr="00A04BBF">
        <w:rPr>
          <w:rFonts w:ascii="Times New Roman" w:hAnsi="Times New Roman" w:cs="Times New Roman"/>
          <w:sz w:val="24"/>
          <w:szCs w:val="24"/>
        </w:rPr>
        <w:t xml:space="preserve"> en situation</w:t>
      </w:r>
      <w:r w:rsidR="00A61919" w:rsidRPr="00A04BBF">
        <w:rPr>
          <w:rFonts w:ascii="Times New Roman" w:hAnsi="Times New Roman" w:cs="Times New Roman"/>
          <w:sz w:val="24"/>
          <w:szCs w:val="24"/>
        </w:rPr>
        <w:t xml:space="preserve"> (Jacquemet N., </w:t>
      </w:r>
      <w:r w:rsidR="0070657D" w:rsidRPr="00A04BBF">
        <w:rPr>
          <w:rFonts w:ascii="Times New Roman" w:hAnsi="Times New Roman" w:cs="Times New Roman"/>
          <w:sz w:val="24"/>
          <w:szCs w:val="24"/>
        </w:rPr>
        <w:t>L’</w:t>
      </w:r>
      <w:proofErr w:type="spellStart"/>
      <w:r w:rsidR="0070657D" w:rsidRPr="00A04BBF">
        <w:rPr>
          <w:rFonts w:ascii="Times New Roman" w:hAnsi="Times New Roman" w:cs="Times New Roman"/>
          <w:sz w:val="24"/>
          <w:szCs w:val="24"/>
        </w:rPr>
        <w:t>Haridon</w:t>
      </w:r>
      <w:proofErr w:type="spellEnd"/>
      <w:r w:rsidR="0070657D" w:rsidRPr="00A04BBF">
        <w:rPr>
          <w:rFonts w:ascii="Times New Roman" w:hAnsi="Times New Roman" w:cs="Times New Roman"/>
          <w:sz w:val="24"/>
          <w:szCs w:val="24"/>
        </w:rPr>
        <w:t xml:space="preserve">, O., Morin P., </w:t>
      </w:r>
      <w:r w:rsidR="001C4EE4" w:rsidRPr="00A04BBF">
        <w:rPr>
          <w:rFonts w:ascii="Times New Roman" w:hAnsi="Times New Roman" w:cs="Times New Roman"/>
          <w:sz w:val="24"/>
          <w:szCs w:val="24"/>
        </w:rPr>
        <w:t>2013)</w:t>
      </w:r>
      <w:r w:rsidR="00B168BF" w:rsidRPr="00A04BBF">
        <w:rPr>
          <w:rFonts w:ascii="Times New Roman" w:hAnsi="Times New Roman" w:cs="Times New Roman"/>
          <w:sz w:val="24"/>
          <w:szCs w:val="24"/>
        </w:rPr>
        <w:t xml:space="preserve"> ainsi qu’</w:t>
      </w:r>
      <w:r w:rsidR="007A098C" w:rsidRPr="00A04BBF">
        <w:rPr>
          <w:rFonts w:ascii="Times New Roman" w:hAnsi="Times New Roman" w:cs="Times New Roman"/>
          <w:sz w:val="24"/>
          <w:szCs w:val="24"/>
        </w:rPr>
        <w:t>aux lignes directrices de</w:t>
      </w:r>
      <w:r w:rsidR="00B168BF" w:rsidRPr="00A04BBF">
        <w:rPr>
          <w:rFonts w:ascii="Times New Roman" w:hAnsi="Times New Roman" w:cs="Times New Roman"/>
          <w:sz w:val="24"/>
          <w:szCs w:val="24"/>
        </w:rPr>
        <w:t xml:space="preserve"> la psychologie sociale</w:t>
      </w:r>
      <w:r w:rsidR="00A86103" w:rsidRPr="00A04BBF">
        <w:rPr>
          <w:rFonts w:ascii="Times New Roman" w:hAnsi="Times New Roman" w:cs="Times New Roman"/>
          <w:sz w:val="24"/>
          <w:szCs w:val="24"/>
        </w:rPr>
        <w:t xml:space="preserve">, en tant que </w:t>
      </w:r>
      <w:r w:rsidR="002E1B68" w:rsidRPr="00A04BBF">
        <w:rPr>
          <w:rFonts w:ascii="Times New Roman" w:hAnsi="Times New Roman" w:cs="Times New Roman"/>
          <w:sz w:val="24"/>
          <w:szCs w:val="24"/>
        </w:rPr>
        <w:t xml:space="preserve">manière de cerner les environnements dans lesquels la rationalité </w:t>
      </w:r>
      <w:r w:rsidR="00E24359" w:rsidRPr="00A04BBF">
        <w:rPr>
          <w:rFonts w:ascii="Times New Roman" w:hAnsi="Times New Roman" w:cs="Times New Roman"/>
          <w:sz w:val="24"/>
          <w:szCs w:val="24"/>
        </w:rPr>
        <w:t xml:space="preserve">des </w:t>
      </w:r>
      <w:r w:rsidR="00A67089" w:rsidRPr="00A04BBF">
        <w:rPr>
          <w:rFonts w:ascii="Times New Roman" w:hAnsi="Times New Roman" w:cs="Times New Roman"/>
          <w:sz w:val="24"/>
          <w:szCs w:val="24"/>
        </w:rPr>
        <w:t xml:space="preserve">agents économiques </w:t>
      </w:r>
      <w:r w:rsidR="000E445B" w:rsidRPr="00A04BBF">
        <w:rPr>
          <w:rFonts w:ascii="Times New Roman" w:hAnsi="Times New Roman" w:cs="Times New Roman"/>
          <w:sz w:val="24"/>
          <w:szCs w:val="24"/>
        </w:rPr>
        <w:t xml:space="preserve">peut </w:t>
      </w:r>
      <w:r w:rsidR="00E24359" w:rsidRPr="00A04BBF">
        <w:rPr>
          <w:rFonts w:ascii="Times New Roman" w:hAnsi="Times New Roman" w:cs="Times New Roman"/>
          <w:sz w:val="24"/>
          <w:szCs w:val="24"/>
        </w:rPr>
        <w:t>pose</w:t>
      </w:r>
      <w:r w:rsidR="000E445B" w:rsidRPr="00A04BBF">
        <w:rPr>
          <w:rFonts w:ascii="Times New Roman" w:hAnsi="Times New Roman" w:cs="Times New Roman"/>
          <w:sz w:val="24"/>
          <w:szCs w:val="24"/>
        </w:rPr>
        <w:t>r</w:t>
      </w:r>
      <w:r w:rsidR="00E24359" w:rsidRPr="00A04BBF">
        <w:rPr>
          <w:rFonts w:ascii="Times New Roman" w:hAnsi="Times New Roman" w:cs="Times New Roman"/>
          <w:sz w:val="24"/>
          <w:szCs w:val="24"/>
        </w:rPr>
        <w:t xml:space="preserve"> question (</w:t>
      </w:r>
      <w:r w:rsidR="005C19A1" w:rsidRPr="00A04BBF">
        <w:rPr>
          <w:rFonts w:ascii="Times New Roman" w:hAnsi="Times New Roman" w:cs="Times New Roman"/>
          <w:sz w:val="24"/>
          <w:szCs w:val="24"/>
        </w:rPr>
        <w:t>Petit E., 2011)</w:t>
      </w:r>
      <w:r w:rsidR="00E24359" w:rsidRPr="00A04BBF">
        <w:rPr>
          <w:rFonts w:ascii="Times New Roman" w:hAnsi="Times New Roman" w:cs="Times New Roman"/>
          <w:sz w:val="24"/>
          <w:szCs w:val="24"/>
        </w:rPr>
        <w:t>.</w:t>
      </w:r>
      <w:r w:rsidR="001B1242" w:rsidRPr="00A04BBF">
        <w:rPr>
          <w:rFonts w:ascii="Times New Roman" w:hAnsi="Times New Roman" w:cs="Times New Roman"/>
          <w:sz w:val="24"/>
          <w:szCs w:val="24"/>
        </w:rPr>
        <w:t xml:space="preserve"> La couverture scientifique des </w:t>
      </w:r>
      <w:r w:rsidR="00A640F4" w:rsidRPr="00A04BBF">
        <w:rPr>
          <w:rFonts w:ascii="Times New Roman" w:hAnsi="Times New Roman" w:cs="Times New Roman"/>
          <w:sz w:val="24"/>
          <w:szCs w:val="24"/>
        </w:rPr>
        <w:t xml:space="preserve">méthodologies expérimentales </w:t>
      </w:r>
      <w:r w:rsidR="0004549C" w:rsidRPr="00A04BBF">
        <w:rPr>
          <w:rFonts w:ascii="Times New Roman" w:hAnsi="Times New Roman" w:cs="Times New Roman"/>
          <w:sz w:val="24"/>
          <w:szCs w:val="24"/>
        </w:rPr>
        <w:t xml:space="preserve">appliquées à </w:t>
      </w:r>
      <w:r w:rsidR="00A640F4" w:rsidRPr="00A04BBF">
        <w:rPr>
          <w:rFonts w:ascii="Times New Roman" w:hAnsi="Times New Roman" w:cs="Times New Roman"/>
          <w:sz w:val="24"/>
          <w:szCs w:val="24"/>
        </w:rPr>
        <w:t xml:space="preserve">la recherche </w:t>
      </w:r>
      <w:r w:rsidR="00346C77" w:rsidRPr="00A04BBF">
        <w:rPr>
          <w:rFonts w:ascii="Times New Roman" w:hAnsi="Times New Roman" w:cs="Times New Roman"/>
          <w:sz w:val="24"/>
          <w:szCs w:val="24"/>
        </w:rPr>
        <w:t xml:space="preserve">financière francophone </w:t>
      </w:r>
      <w:r w:rsidR="0004549C" w:rsidRPr="00A04BBF">
        <w:rPr>
          <w:rFonts w:ascii="Times New Roman" w:hAnsi="Times New Roman" w:cs="Times New Roman"/>
          <w:sz w:val="24"/>
          <w:szCs w:val="24"/>
        </w:rPr>
        <w:t xml:space="preserve">est relativement faible </w:t>
      </w:r>
      <w:r w:rsidR="00346C77" w:rsidRPr="00A04BBF">
        <w:rPr>
          <w:rFonts w:ascii="Times New Roman" w:hAnsi="Times New Roman" w:cs="Times New Roman"/>
          <w:sz w:val="24"/>
          <w:szCs w:val="24"/>
        </w:rPr>
        <w:t>(citons l</w:t>
      </w:r>
      <w:r w:rsidR="00D32CD5" w:rsidRPr="00A04BBF">
        <w:rPr>
          <w:rFonts w:ascii="Times New Roman" w:hAnsi="Times New Roman" w:cs="Times New Roman"/>
          <w:sz w:val="24"/>
          <w:szCs w:val="24"/>
        </w:rPr>
        <w:t xml:space="preserve">’étude de </w:t>
      </w:r>
      <w:proofErr w:type="spellStart"/>
      <w:r w:rsidR="00D32CD5" w:rsidRPr="00A04BBF">
        <w:rPr>
          <w:rFonts w:ascii="Times New Roman" w:hAnsi="Times New Roman" w:cs="Times New Roman"/>
          <w:sz w:val="24"/>
          <w:szCs w:val="24"/>
        </w:rPr>
        <w:t>Bouattour</w:t>
      </w:r>
      <w:proofErr w:type="spellEnd"/>
      <w:r w:rsidR="00D32CD5" w:rsidRPr="00A04BBF">
        <w:rPr>
          <w:rFonts w:ascii="Times New Roman" w:hAnsi="Times New Roman" w:cs="Times New Roman"/>
          <w:sz w:val="24"/>
          <w:szCs w:val="24"/>
        </w:rPr>
        <w:t xml:space="preserve"> M. et Martinez I., 2019)</w:t>
      </w:r>
      <w:r w:rsidR="005B6263" w:rsidRPr="00A04BBF">
        <w:rPr>
          <w:rFonts w:ascii="Times New Roman" w:hAnsi="Times New Roman" w:cs="Times New Roman"/>
          <w:sz w:val="24"/>
          <w:szCs w:val="24"/>
        </w:rPr>
        <w:t xml:space="preserve"> alors qu’elle est</w:t>
      </w:r>
      <w:r w:rsidR="006C1E93" w:rsidRPr="00A04BBF">
        <w:rPr>
          <w:rFonts w:ascii="Times New Roman" w:hAnsi="Times New Roman" w:cs="Times New Roman"/>
          <w:sz w:val="24"/>
          <w:szCs w:val="24"/>
        </w:rPr>
        <w:t xml:space="preserve"> beaucoup plus </w:t>
      </w:r>
      <w:r w:rsidR="005B6263" w:rsidRPr="00A04BBF">
        <w:rPr>
          <w:rFonts w:ascii="Times New Roman" w:hAnsi="Times New Roman" w:cs="Times New Roman"/>
          <w:sz w:val="24"/>
          <w:szCs w:val="24"/>
        </w:rPr>
        <w:t>présente en milieu anglo-saxon</w:t>
      </w:r>
      <w:r w:rsidR="004F0074" w:rsidRPr="00A04BBF">
        <w:rPr>
          <w:rFonts w:ascii="Times New Roman" w:hAnsi="Times New Roman" w:cs="Times New Roman"/>
          <w:sz w:val="24"/>
          <w:szCs w:val="24"/>
        </w:rPr>
        <w:t xml:space="preserve"> depuis de nombreuses années (</w:t>
      </w:r>
      <w:r w:rsidR="00FE05E8" w:rsidRPr="00A04BBF">
        <w:rPr>
          <w:rFonts w:ascii="Times New Roman" w:hAnsi="Times New Roman" w:cs="Times New Roman"/>
          <w:sz w:val="24"/>
          <w:szCs w:val="24"/>
        </w:rPr>
        <w:t xml:space="preserve">citons </w:t>
      </w:r>
      <w:r w:rsidR="00471F0A" w:rsidRPr="00A04BBF">
        <w:rPr>
          <w:rFonts w:ascii="Times New Roman" w:hAnsi="Times New Roman" w:cs="Times New Roman"/>
          <w:sz w:val="24"/>
          <w:szCs w:val="24"/>
        </w:rPr>
        <w:t xml:space="preserve">Holt </w:t>
      </w:r>
      <w:r w:rsidR="00900322" w:rsidRPr="00A04BBF">
        <w:rPr>
          <w:rFonts w:ascii="Times New Roman" w:hAnsi="Times New Roman" w:cs="Times New Roman"/>
          <w:sz w:val="24"/>
          <w:szCs w:val="24"/>
        </w:rPr>
        <w:t xml:space="preserve">C., 1996, </w:t>
      </w:r>
      <w:r w:rsidR="00D26C5B" w:rsidRPr="00A04BBF">
        <w:rPr>
          <w:rFonts w:ascii="Times New Roman" w:hAnsi="Times New Roman" w:cs="Times New Roman"/>
          <w:sz w:val="24"/>
          <w:szCs w:val="24"/>
        </w:rPr>
        <w:t xml:space="preserve">Anderson L., </w:t>
      </w:r>
      <w:r w:rsidR="00F1572F" w:rsidRPr="00A04BBF">
        <w:rPr>
          <w:rFonts w:ascii="Times New Roman" w:hAnsi="Times New Roman" w:cs="Times New Roman"/>
          <w:sz w:val="24"/>
          <w:szCs w:val="24"/>
        </w:rPr>
        <w:t>Holt</w:t>
      </w:r>
      <w:r w:rsidR="00D26C5B" w:rsidRPr="00A04BBF">
        <w:rPr>
          <w:rFonts w:ascii="Times New Roman" w:hAnsi="Times New Roman" w:cs="Times New Roman"/>
          <w:sz w:val="24"/>
          <w:szCs w:val="24"/>
        </w:rPr>
        <w:t xml:space="preserve"> C.</w:t>
      </w:r>
      <w:r w:rsidR="00F1572F" w:rsidRPr="00A04BBF">
        <w:rPr>
          <w:rFonts w:ascii="Times New Roman" w:hAnsi="Times New Roman" w:cs="Times New Roman"/>
          <w:sz w:val="24"/>
          <w:szCs w:val="24"/>
        </w:rPr>
        <w:t>, 1997</w:t>
      </w:r>
      <w:r w:rsidR="004C0E78" w:rsidRPr="00A04BBF">
        <w:rPr>
          <w:rFonts w:ascii="Times New Roman" w:hAnsi="Times New Roman" w:cs="Times New Roman"/>
          <w:sz w:val="24"/>
          <w:szCs w:val="24"/>
        </w:rPr>
        <w:t xml:space="preserve">, </w:t>
      </w:r>
      <w:r w:rsidR="00063296" w:rsidRPr="00A04BBF">
        <w:rPr>
          <w:rFonts w:ascii="Times New Roman" w:hAnsi="Times New Roman" w:cs="Times New Roman"/>
          <w:sz w:val="24"/>
          <w:szCs w:val="24"/>
        </w:rPr>
        <w:t xml:space="preserve">Harrison G., </w:t>
      </w:r>
      <w:r w:rsidR="005548E9" w:rsidRPr="00A04BBF">
        <w:rPr>
          <w:rFonts w:ascii="Times New Roman" w:hAnsi="Times New Roman" w:cs="Times New Roman"/>
          <w:sz w:val="24"/>
          <w:szCs w:val="24"/>
        </w:rPr>
        <w:t>List J., 2004)</w:t>
      </w:r>
      <w:r w:rsidR="008C2473" w:rsidRPr="00A04BBF">
        <w:rPr>
          <w:rFonts w:ascii="Times New Roman" w:hAnsi="Times New Roman" w:cs="Times New Roman"/>
          <w:sz w:val="24"/>
          <w:szCs w:val="24"/>
        </w:rPr>
        <w:t xml:space="preserve">. L’étude historique comparative </w:t>
      </w:r>
      <w:r w:rsidR="00256149" w:rsidRPr="00A04BBF">
        <w:rPr>
          <w:rFonts w:ascii="Times New Roman" w:hAnsi="Times New Roman" w:cs="Times New Roman"/>
          <w:sz w:val="24"/>
          <w:szCs w:val="24"/>
        </w:rPr>
        <w:t xml:space="preserve">de </w:t>
      </w:r>
      <w:proofErr w:type="spellStart"/>
      <w:r w:rsidR="00256149" w:rsidRPr="00A04BBF">
        <w:rPr>
          <w:rFonts w:ascii="Times New Roman" w:hAnsi="Times New Roman" w:cs="Times New Roman"/>
          <w:sz w:val="24"/>
          <w:szCs w:val="24"/>
        </w:rPr>
        <w:t>Delefosse</w:t>
      </w:r>
      <w:proofErr w:type="spellEnd"/>
      <w:r w:rsidR="00256149" w:rsidRPr="00A04BBF">
        <w:rPr>
          <w:rFonts w:ascii="Times New Roman" w:hAnsi="Times New Roman" w:cs="Times New Roman"/>
          <w:sz w:val="24"/>
          <w:szCs w:val="24"/>
        </w:rPr>
        <w:t xml:space="preserve"> </w:t>
      </w:r>
      <w:r w:rsidR="00647DBF" w:rsidRPr="00A04BBF">
        <w:rPr>
          <w:rFonts w:ascii="Times New Roman" w:hAnsi="Times New Roman" w:cs="Times New Roman"/>
          <w:sz w:val="24"/>
          <w:szCs w:val="24"/>
        </w:rPr>
        <w:t xml:space="preserve">M. </w:t>
      </w:r>
      <w:r w:rsidR="00256149" w:rsidRPr="00A04BBF">
        <w:rPr>
          <w:rFonts w:ascii="Times New Roman" w:hAnsi="Times New Roman" w:cs="Times New Roman"/>
          <w:sz w:val="24"/>
          <w:szCs w:val="24"/>
        </w:rPr>
        <w:t xml:space="preserve">(2015) permet </w:t>
      </w:r>
      <w:r w:rsidR="00647583" w:rsidRPr="00A04BBF">
        <w:rPr>
          <w:rFonts w:ascii="Times New Roman" w:hAnsi="Times New Roman" w:cs="Times New Roman"/>
          <w:sz w:val="24"/>
          <w:szCs w:val="24"/>
        </w:rPr>
        <w:t xml:space="preserve">en partie </w:t>
      </w:r>
      <w:r w:rsidR="00256149" w:rsidRPr="00A04BBF">
        <w:rPr>
          <w:rFonts w:ascii="Times New Roman" w:hAnsi="Times New Roman" w:cs="Times New Roman"/>
          <w:sz w:val="24"/>
          <w:szCs w:val="24"/>
        </w:rPr>
        <w:t>d</w:t>
      </w:r>
      <w:r w:rsidR="00647583" w:rsidRPr="00A04BBF">
        <w:rPr>
          <w:rFonts w:ascii="Times New Roman" w:hAnsi="Times New Roman" w:cs="Times New Roman"/>
          <w:sz w:val="24"/>
          <w:szCs w:val="24"/>
        </w:rPr>
        <w:t>’expliquer cet état de fait.</w:t>
      </w:r>
      <w:r w:rsidR="005B6263" w:rsidRPr="00A04BBF">
        <w:rPr>
          <w:rFonts w:ascii="Times New Roman" w:hAnsi="Times New Roman" w:cs="Times New Roman"/>
          <w:sz w:val="24"/>
          <w:szCs w:val="24"/>
        </w:rPr>
        <w:t xml:space="preserve"> </w:t>
      </w:r>
      <w:r w:rsidR="00294604" w:rsidRPr="00A04BBF">
        <w:rPr>
          <w:rFonts w:ascii="Times New Roman" w:hAnsi="Times New Roman" w:cs="Times New Roman"/>
          <w:sz w:val="24"/>
          <w:szCs w:val="24"/>
        </w:rPr>
        <w:t>D</w:t>
      </w:r>
      <w:r w:rsidR="0098097A" w:rsidRPr="00A04BBF">
        <w:rPr>
          <w:rFonts w:ascii="Times New Roman" w:hAnsi="Times New Roman" w:cs="Times New Roman"/>
          <w:sz w:val="24"/>
          <w:szCs w:val="24"/>
        </w:rPr>
        <w:t>e manière générale</w:t>
      </w:r>
      <w:r w:rsidR="002A30DB" w:rsidRPr="00A04BBF">
        <w:rPr>
          <w:rFonts w:ascii="Times New Roman" w:hAnsi="Times New Roman" w:cs="Times New Roman"/>
          <w:sz w:val="24"/>
          <w:szCs w:val="24"/>
        </w:rPr>
        <w:t>, l</w:t>
      </w:r>
      <w:r w:rsidR="00294604" w:rsidRPr="00A04BBF">
        <w:rPr>
          <w:rFonts w:ascii="Times New Roman" w:hAnsi="Times New Roman" w:cs="Times New Roman"/>
          <w:sz w:val="24"/>
          <w:szCs w:val="24"/>
        </w:rPr>
        <w:t>es perspectives classiques d’analyse des outils de prises de décisions</w:t>
      </w:r>
      <w:r w:rsidR="002A30DB" w:rsidRPr="00A04BBF">
        <w:rPr>
          <w:rFonts w:ascii="Times New Roman" w:hAnsi="Times New Roman" w:cs="Times New Roman"/>
          <w:sz w:val="24"/>
          <w:szCs w:val="24"/>
        </w:rPr>
        <w:t xml:space="preserve"> dans le domaine financier se sont construites autour d’</w:t>
      </w:r>
      <w:r w:rsidR="0098097A" w:rsidRPr="00A04BBF">
        <w:rPr>
          <w:rFonts w:ascii="Times New Roman" w:hAnsi="Times New Roman" w:cs="Times New Roman"/>
          <w:sz w:val="24"/>
          <w:szCs w:val="24"/>
        </w:rPr>
        <w:t>orientation</w:t>
      </w:r>
      <w:r w:rsidR="007473CE" w:rsidRPr="00A04BBF">
        <w:rPr>
          <w:rFonts w:ascii="Times New Roman" w:hAnsi="Times New Roman" w:cs="Times New Roman"/>
          <w:sz w:val="24"/>
          <w:szCs w:val="24"/>
        </w:rPr>
        <w:t>s</w:t>
      </w:r>
      <w:r w:rsidR="0098097A" w:rsidRPr="00A04BBF">
        <w:rPr>
          <w:rFonts w:ascii="Times New Roman" w:hAnsi="Times New Roman" w:cs="Times New Roman"/>
          <w:sz w:val="24"/>
          <w:szCs w:val="24"/>
        </w:rPr>
        <w:t xml:space="preserve"> quantitative</w:t>
      </w:r>
      <w:r w:rsidR="007473CE" w:rsidRPr="00A04BBF">
        <w:rPr>
          <w:rFonts w:ascii="Times New Roman" w:hAnsi="Times New Roman" w:cs="Times New Roman"/>
          <w:sz w:val="24"/>
          <w:szCs w:val="24"/>
        </w:rPr>
        <w:t>s</w:t>
      </w:r>
      <w:r w:rsidR="002A30DB" w:rsidRPr="00A04BBF">
        <w:rPr>
          <w:rFonts w:ascii="Times New Roman" w:hAnsi="Times New Roman" w:cs="Times New Roman"/>
          <w:sz w:val="24"/>
          <w:szCs w:val="24"/>
        </w:rPr>
        <w:t>.</w:t>
      </w:r>
      <w:r w:rsidR="0098097A" w:rsidRPr="00A04BBF">
        <w:rPr>
          <w:rFonts w:ascii="Times New Roman" w:hAnsi="Times New Roman" w:cs="Times New Roman"/>
          <w:sz w:val="24"/>
          <w:szCs w:val="24"/>
        </w:rPr>
        <w:t xml:space="preserve"> </w:t>
      </w:r>
      <w:r w:rsidR="00667EF1" w:rsidRPr="00A04BBF">
        <w:rPr>
          <w:rFonts w:ascii="Times New Roman" w:hAnsi="Times New Roman" w:cs="Times New Roman"/>
          <w:sz w:val="24"/>
          <w:szCs w:val="24"/>
        </w:rPr>
        <w:t xml:space="preserve">Cependant, les </w:t>
      </w:r>
      <w:r w:rsidR="007A319E" w:rsidRPr="00A04BBF">
        <w:rPr>
          <w:rFonts w:ascii="Times New Roman" w:hAnsi="Times New Roman" w:cs="Times New Roman"/>
          <w:sz w:val="24"/>
          <w:szCs w:val="24"/>
        </w:rPr>
        <w:t xml:space="preserve">recherches de Harrison G. et List J. </w:t>
      </w:r>
      <w:r w:rsidR="006245CF" w:rsidRPr="00A04BBF">
        <w:rPr>
          <w:rFonts w:ascii="Times New Roman" w:hAnsi="Times New Roman" w:cs="Times New Roman"/>
          <w:sz w:val="24"/>
          <w:szCs w:val="24"/>
        </w:rPr>
        <w:t xml:space="preserve">(2004) </w:t>
      </w:r>
      <w:r w:rsidR="00AB0863" w:rsidRPr="00A04BBF">
        <w:rPr>
          <w:rFonts w:ascii="Times New Roman" w:hAnsi="Times New Roman" w:cs="Times New Roman"/>
          <w:sz w:val="24"/>
          <w:szCs w:val="24"/>
        </w:rPr>
        <w:t>ont démontré</w:t>
      </w:r>
      <w:r w:rsidR="007A319E" w:rsidRPr="00A04BBF">
        <w:rPr>
          <w:rFonts w:ascii="Times New Roman" w:hAnsi="Times New Roman" w:cs="Times New Roman"/>
          <w:sz w:val="24"/>
          <w:szCs w:val="24"/>
        </w:rPr>
        <w:t xml:space="preserve"> la capacité de la recherche expérimentale à approcher la réalité des </w:t>
      </w:r>
      <w:r w:rsidR="00F22EE6" w:rsidRPr="00A04BBF">
        <w:rPr>
          <w:rFonts w:ascii="Times New Roman" w:hAnsi="Times New Roman" w:cs="Times New Roman"/>
          <w:sz w:val="24"/>
          <w:szCs w:val="24"/>
        </w:rPr>
        <w:t>comportements des acteurs.</w:t>
      </w:r>
      <w:r w:rsidR="00671495" w:rsidRPr="00A04BBF">
        <w:rPr>
          <w:rFonts w:ascii="Times New Roman" w:hAnsi="Times New Roman" w:cs="Times New Roman"/>
          <w:sz w:val="24"/>
          <w:szCs w:val="24"/>
        </w:rPr>
        <w:t xml:space="preserve"> La question demeure </w:t>
      </w:r>
      <w:r w:rsidR="001F259A" w:rsidRPr="00A04BBF">
        <w:rPr>
          <w:rFonts w:ascii="Times New Roman" w:hAnsi="Times New Roman" w:cs="Times New Roman"/>
          <w:sz w:val="24"/>
          <w:szCs w:val="24"/>
        </w:rPr>
        <w:t xml:space="preserve">cependant </w:t>
      </w:r>
      <w:r w:rsidR="006D37D2" w:rsidRPr="00A04BBF">
        <w:rPr>
          <w:rFonts w:ascii="Times New Roman" w:hAnsi="Times New Roman" w:cs="Times New Roman"/>
          <w:sz w:val="24"/>
          <w:szCs w:val="24"/>
        </w:rPr>
        <w:t>quant à la généralisation des résultats produits.</w:t>
      </w:r>
      <w:r w:rsidR="00065F0E" w:rsidRPr="00A04BBF">
        <w:rPr>
          <w:rFonts w:ascii="Times New Roman" w:hAnsi="Times New Roman" w:cs="Times New Roman"/>
          <w:sz w:val="24"/>
          <w:szCs w:val="24"/>
        </w:rPr>
        <w:t xml:space="preserve"> Ce serait la concomitance des preuves scientifiques qui donnerait corps </w:t>
      </w:r>
      <w:r w:rsidR="00A04BBF" w:rsidRPr="00A04BBF">
        <w:rPr>
          <w:rFonts w:ascii="Times New Roman" w:hAnsi="Times New Roman" w:cs="Times New Roman"/>
          <w:sz w:val="24"/>
          <w:szCs w:val="24"/>
        </w:rPr>
        <w:t>à des éléments de conclusion.</w:t>
      </w:r>
    </w:p>
    <w:p w14:paraId="24109E76" w14:textId="77777777" w:rsidR="00A04BBF" w:rsidRPr="00A04BBF" w:rsidRDefault="00A04BBF" w:rsidP="007473CE">
      <w:pPr>
        <w:pStyle w:val="Paragraphedeliste"/>
        <w:spacing w:line="360" w:lineRule="auto"/>
        <w:jc w:val="both"/>
        <w:rPr>
          <w:rFonts w:ascii="Times New Roman" w:hAnsi="Times New Roman" w:cs="Times New Roman"/>
          <w:sz w:val="24"/>
          <w:szCs w:val="24"/>
        </w:rPr>
      </w:pPr>
    </w:p>
    <w:p w14:paraId="6989FFA9" w14:textId="64485682" w:rsidR="006B2796" w:rsidRPr="003C610C" w:rsidRDefault="00360A09" w:rsidP="003C610C">
      <w:pPr>
        <w:pStyle w:val="Paragraphedeliste"/>
        <w:spacing w:line="360" w:lineRule="auto"/>
        <w:jc w:val="both"/>
        <w:rPr>
          <w:rFonts w:ascii="Times New Roman" w:hAnsi="Times New Roman" w:cs="Times New Roman"/>
          <w:sz w:val="24"/>
          <w:szCs w:val="24"/>
        </w:rPr>
      </w:pPr>
      <w:r w:rsidRPr="003C610C">
        <w:rPr>
          <w:rFonts w:ascii="Times New Roman" w:hAnsi="Times New Roman" w:cs="Times New Roman"/>
          <w:sz w:val="24"/>
          <w:szCs w:val="24"/>
        </w:rPr>
        <w:t>Sur base de ce qui a été précédemm</w:t>
      </w:r>
      <w:r w:rsidR="00525DB4" w:rsidRPr="003C610C">
        <w:rPr>
          <w:rFonts w:ascii="Times New Roman" w:hAnsi="Times New Roman" w:cs="Times New Roman"/>
          <w:sz w:val="24"/>
          <w:szCs w:val="24"/>
        </w:rPr>
        <w:t xml:space="preserve">ent évoqué </w:t>
      </w:r>
      <w:r w:rsidRPr="003C610C">
        <w:rPr>
          <w:rFonts w:ascii="Times New Roman" w:hAnsi="Times New Roman" w:cs="Times New Roman"/>
          <w:sz w:val="24"/>
          <w:szCs w:val="24"/>
        </w:rPr>
        <w:t>et a</w:t>
      </w:r>
      <w:r w:rsidR="00D86853" w:rsidRPr="003C610C">
        <w:rPr>
          <w:rFonts w:ascii="Times New Roman" w:hAnsi="Times New Roman" w:cs="Times New Roman"/>
          <w:sz w:val="24"/>
          <w:szCs w:val="24"/>
        </w:rPr>
        <w:t>fin d’appréhender les techniques retenues par les acteurs en situation de tradi</w:t>
      </w:r>
      <w:r w:rsidR="00E126A2" w:rsidRPr="003C610C">
        <w:rPr>
          <w:rFonts w:ascii="Times New Roman" w:hAnsi="Times New Roman" w:cs="Times New Roman"/>
          <w:sz w:val="24"/>
          <w:szCs w:val="24"/>
        </w:rPr>
        <w:t>ng, nous analysons</w:t>
      </w:r>
      <w:r w:rsidR="00D86853" w:rsidRPr="003C610C">
        <w:rPr>
          <w:rFonts w:ascii="Times New Roman" w:hAnsi="Times New Roman" w:cs="Times New Roman"/>
          <w:sz w:val="24"/>
          <w:szCs w:val="24"/>
        </w:rPr>
        <w:t xml:space="preserve"> </w:t>
      </w:r>
      <w:r w:rsidRPr="003C610C">
        <w:rPr>
          <w:rFonts w:ascii="Times New Roman" w:hAnsi="Times New Roman" w:cs="Times New Roman"/>
          <w:sz w:val="24"/>
          <w:szCs w:val="24"/>
        </w:rPr>
        <w:t>les outils mo</w:t>
      </w:r>
      <w:r w:rsidR="008C542D" w:rsidRPr="003C610C">
        <w:rPr>
          <w:rFonts w:ascii="Times New Roman" w:hAnsi="Times New Roman" w:cs="Times New Roman"/>
          <w:sz w:val="24"/>
          <w:szCs w:val="24"/>
        </w:rPr>
        <w:t>bilisés par un échantillon d’</w:t>
      </w:r>
      <w:r w:rsidRPr="003C610C">
        <w:rPr>
          <w:rFonts w:ascii="Times New Roman" w:hAnsi="Times New Roman" w:cs="Times New Roman"/>
          <w:sz w:val="24"/>
          <w:szCs w:val="24"/>
        </w:rPr>
        <w:t>étudiants</w:t>
      </w:r>
      <w:r w:rsidR="009C13E0" w:rsidRPr="003C610C">
        <w:rPr>
          <w:rFonts w:ascii="Times New Roman" w:hAnsi="Times New Roman" w:cs="Times New Roman"/>
          <w:sz w:val="24"/>
          <w:szCs w:val="24"/>
        </w:rPr>
        <w:t xml:space="preserve"> </w:t>
      </w:r>
      <w:r w:rsidR="006A620E" w:rsidRPr="003C610C">
        <w:rPr>
          <w:rFonts w:ascii="Times New Roman" w:hAnsi="Times New Roman" w:cs="Times New Roman"/>
          <w:sz w:val="24"/>
          <w:szCs w:val="24"/>
        </w:rPr>
        <w:t xml:space="preserve">inscrits dans </w:t>
      </w:r>
      <w:r w:rsidR="00673231" w:rsidRPr="003C610C">
        <w:rPr>
          <w:rFonts w:ascii="Times New Roman" w:hAnsi="Times New Roman" w:cs="Times New Roman"/>
          <w:sz w:val="24"/>
          <w:szCs w:val="24"/>
        </w:rPr>
        <w:t>un</w:t>
      </w:r>
      <w:r w:rsidR="006A620E" w:rsidRPr="003C610C">
        <w:rPr>
          <w:rFonts w:ascii="Times New Roman" w:hAnsi="Times New Roman" w:cs="Times New Roman"/>
          <w:sz w:val="24"/>
          <w:szCs w:val="24"/>
        </w:rPr>
        <w:t xml:space="preserve"> cursus en </w:t>
      </w:r>
      <w:r w:rsidR="004279B1">
        <w:rPr>
          <w:rFonts w:ascii="Times New Roman" w:hAnsi="Times New Roman" w:cs="Times New Roman"/>
          <w:sz w:val="24"/>
          <w:szCs w:val="24"/>
        </w:rPr>
        <w:t>gestion</w:t>
      </w:r>
      <w:r w:rsidR="006A620E" w:rsidRPr="003C610C">
        <w:rPr>
          <w:rFonts w:ascii="Times New Roman" w:hAnsi="Times New Roman" w:cs="Times New Roman"/>
          <w:sz w:val="24"/>
          <w:szCs w:val="24"/>
        </w:rPr>
        <w:t xml:space="preserve"> </w:t>
      </w:r>
      <w:r w:rsidR="009C13E0" w:rsidRPr="003C610C">
        <w:rPr>
          <w:rFonts w:ascii="Times New Roman" w:hAnsi="Times New Roman" w:cs="Times New Roman"/>
          <w:sz w:val="24"/>
          <w:szCs w:val="24"/>
        </w:rPr>
        <w:t>durant une semaine boursière (</w:t>
      </w:r>
      <w:r w:rsidR="00F51A23" w:rsidRPr="003C610C">
        <w:rPr>
          <w:rFonts w:ascii="Times New Roman" w:hAnsi="Times New Roman" w:cs="Times New Roman"/>
          <w:sz w:val="24"/>
          <w:szCs w:val="24"/>
        </w:rPr>
        <w:t>en continu</w:t>
      </w:r>
      <w:r w:rsidR="00525DB4" w:rsidRPr="003C610C">
        <w:rPr>
          <w:rFonts w:ascii="Times New Roman" w:hAnsi="Times New Roman" w:cs="Times New Roman"/>
          <w:sz w:val="24"/>
          <w:szCs w:val="24"/>
        </w:rPr>
        <w:t>,</w:t>
      </w:r>
      <w:r w:rsidR="00F51A23" w:rsidRPr="003C610C">
        <w:rPr>
          <w:rFonts w:ascii="Times New Roman" w:hAnsi="Times New Roman" w:cs="Times New Roman"/>
          <w:sz w:val="24"/>
          <w:szCs w:val="24"/>
        </w:rPr>
        <w:t xml:space="preserve"> </w:t>
      </w:r>
      <w:r w:rsidR="009C13E0" w:rsidRPr="003C610C">
        <w:rPr>
          <w:rFonts w:ascii="Times New Roman" w:hAnsi="Times New Roman" w:cs="Times New Roman"/>
          <w:sz w:val="24"/>
          <w:szCs w:val="24"/>
        </w:rPr>
        <w:t>du</w:t>
      </w:r>
      <w:r w:rsidR="006A620E" w:rsidRPr="003C610C">
        <w:rPr>
          <w:rFonts w:ascii="Times New Roman" w:hAnsi="Times New Roman" w:cs="Times New Roman"/>
          <w:sz w:val="24"/>
          <w:szCs w:val="24"/>
        </w:rPr>
        <w:t xml:space="preserve"> 28 janvier</w:t>
      </w:r>
      <w:r w:rsidR="009C13E0" w:rsidRPr="003C610C">
        <w:rPr>
          <w:rFonts w:ascii="Times New Roman" w:hAnsi="Times New Roman" w:cs="Times New Roman"/>
          <w:sz w:val="24"/>
          <w:szCs w:val="24"/>
        </w:rPr>
        <w:t xml:space="preserve"> </w:t>
      </w:r>
      <w:r w:rsidR="00F51A23" w:rsidRPr="003C610C">
        <w:rPr>
          <w:rFonts w:ascii="Times New Roman" w:hAnsi="Times New Roman" w:cs="Times New Roman"/>
          <w:sz w:val="24"/>
          <w:szCs w:val="24"/>
        </w:rPr>
        <w:t xml:space="preserve">matin </w:t>
      </w:r>
      <w:r w:rsidR="009C13E0" w:rsidRPr="003C610C">
        <w:rPr>
          <w:rFonts w:ascii="Times New Roman" w:hAnsi="Times New Roman" w:cs="Times New Roman"/>
          <w:sz w:val="24"/>
          <w:szCs w:val="24"/>
        </w:rPr>
        <w:t xml:space="preserve">au </w:t>
      </w:r>
      <w:r w:rsidR="006A620E" w:rsidRPr="003C610C">
        <w:rPr>
          <w:rFonts w:ascii="Times New Roman" w:hAnsi="Times New Roman" w:cs="Times New Roman"/>
          <w:sz w:val="24"/>
          <w:szCs w:val="24"/>
        </w:rPr>
        <w:t>1</w:t>
      </w:r>
      <w:r w:rsidR="006A620E" w:rsidRPr="003C610C">
        <w:rPr>
          <w:rFonts w:ascii="Times New Roman" w:hAnsi="Times New Roman" w:cs="Times New Roman"/>
          <w:sz w:val="24"/>
          <w:szCs w:val="24"/>
          <w:vertAlign w:val="superscript"/>
        </w:rPr>
        <w:t>er</w:t>
      </w:r>
      <w:r w:rsidR="006A620E" w:rsidRPr="003C610C">
        <w:rPr>
          <w:rFonts w:ascii="Times New Roman" w:hAnsi="Times New Roman" w:cs="Times New Roman"/>
          <w:sz w:val="24"/>
          <w:szCs w:val="24"/>
        </w:rPr>
        <w:t xml:space="preserve"> février </w:t>
      </w:r>
      <w:r w:rsidR="009C13E0" w:rsidRPr="003C610C">
        <w:rPr>
          <w:rFonts w:ascii="Times New Roman" w:hAnsi="Times New Roman" w:cs="Times New Roman"/>
          <w:sz w:val="24"/>
          <w:szCs w:val="24"/>
        </w:rPr>
        <w:t>2019</w:t>
      </w:r>
      <w:r w:rsidR="00F51A23" w:rsidRPr="003C610C">
        <w:rPr>
          <w:rFonts w:ascii="Times New Roman" w:hAnsi="Times New Roman" w:cs="Times New Roman"/>
          <w:sz w:val="24"/>
          <w:szCs w:val="24"/>
        </w:rPr>
        <w:t xml:space="preserve"> fin d’après-midi</w:t>
      </w:r>
      <w:r w:rsidR="009C13E0" w:rsidRPr="003C610C">
        <w:rPr>
          <w:rFonts w:ascii="Times New Roman" w:hAnsi="Times New Roman" w:cs="Times New Roman"/>
          <w:sz w:val="24"/>
          <w:szCs w:val="24"/>
        </w:rPr>
        <w:t>).</w:t>
      </w:r>
      <w:r w:rsidRPr="003C610C">
        <w:rPr>
          <w:rFonts w:ascii="Times New Roman" w:hAnsi="Times New Roman" w:cs="Times New Roman"/>
          <w:sz w:val="24"/>
          <w:szCs w:val="24"/>
        </w:rPr>
        <w:t xml:space="preserve"> </w:t>
      </w:r>
      <w:r w:rsidR="00D86853" w:rsidRPr="003C610C">
        <w:rPr>
          <w:rFonts w:ascii="Times New Roman" w:hAnsi="Times New Roman" w:cs="Times New Roman"/>
          <w:sz w:val="24"/>
          <w:szCs w:val="24"/>
        </w:rPr>
        <w:t xml:space="preserve"> </w:t>
      </w:r>
      <w:r w:rsidR="004D01F4">
        <w:rPr>
          <w:rFonts w:ascii="Times New Roman" w:hAnsi="Times New Roman" w:cs="Times New Roman"/>
          <w:sz w:val="24"/>
          <w:szCs w:val="24"/>
        </w:rPr>
        <w:t>À la suite d’un</w:t>
      </w:r>
      <w:r w:rsidR="004D6B2A">
        <w:rPr>
          <w:rFonts w:ascii="Times New Roman" w:hAnsi="Times New Roman" w:cs="Times New Roman"/>
          <w:sz w:val="24"/>
          <w:szCs w:val="24"/>
        </w:rPr>
        <w:t xml:space="preserve"> appel en interne, n</w:t>
      </w:r>
      <w:r w:rsidR="008C542D" w:rsidRPr="003C610C">
        <w:rPr>
          <w:rFonts w:ascii="Times New Roman" w:hAnsi="Times New Roman" w:cs="Times New Roman"/>
          <w:sz w:val="24"/>
          <w:szCs w:val="24"/>
        </w:rPr>
        <w:t xml:space="preserve">ous avons reçu 15 </w:t>
      </w:r>
      <w:r w:rsidR="004D6B2A">
        <w:rPr>
          <w:rFonts w:ascii="Times New Roman" w:hAnsi="Times New Roman" w:cs="Times New Roman"/>
          <w:sz w:val="24"/>
          <w:szCs w:val="24"/>
        </w:rPr>
        <w:t xml:space="preserve">candidatures </w:t>
      </w:r>
      <w:r w:rsidR="008C542D" w:rsidRPr="003C610C">
        <w:rPr>
          <w:rFonts w:ascii="Times New Roman" w:hAnsi="Times New Roman" w:cs="Times New Roman"/>
          <w:sz w:val="24"/>
          <w:szCs w:val="24"/>
        </w:rPr>
        <w:t>(13 étudiants de troisième année</w:t>
      </w:r>
      <w:r w:rsidR="00230074">
        <w:rPr>
          <w:rFonts w:ascii="Times New Roman" w:hAnsi="Times New Roman" w:cs="Times New Roman"/>
          <w:sz w:val="24"/>
          <w:szCs w:val="24"/>
        </w:rPr>
        <w:t xml:space="preserve"> </w:t>
      </w:r>
      <w:r w:rsidR="0054133D" w:rsidRPr="003C610C">
        <w:rPr>
          <w:rFonts w:ascii="Times New Roman" w:hAnsi="Times New Roman" w:cs="Times New Roman"/>
          <w:sz w:val="24"/>
          <w:szCs w:val="24"/>
        </w:rPr>
        <w:t>du Bachelier</w:t>
      </w:r>
      <w:r w:rsidR="008C542D" w:rsidRPr="003C610C">
        <w:rPr>
          <w:rFonts w:ascii="Times New Roman" w:hAnsi="Times New Roman" w:cs="Times New Roman"/>
          <w:sz w:val="24"/>
          <w:szCs w:val="24"/>
        </w:rPr>
        <w:t xml:space="preserve"> et 2 étudiants de quatrième année</w:t>
      </w:r>
      <w:r w:rsidR="0054133D" w:rsidRPr="003C610C">
        <w:rPr>
          <w:rFonts w:ascii="Times New Roman" w:hAnsi="Times New Roman" w:cs="Times New Roman"/>
          <w:sz w:val="24"/>
          <w:szCs w:val="24"/>
        </w:rPr>
        <w:t>, première année du Mastère</w:t>
      </w:r>
      <w:r w:rsidR="008C542D" w:rsidRPr="003C610C">
        <w:rPr>
          <w:rFonts w:ascii="Times New Roman" w:hAnsi="Times New Roman" w:cs="Times New Roman"/>
          <w:sz w:val="24"/>
          <w:szCs w:val="24"/>
        </w:rPr>
        <w:t xml:space="preserve">). </w:t>
      </w:r>
      <w:r w:rsidR="008C542D" w:rsidRPr="003C610C">
        <w:rPr>
          <w:rFonts w:ascii="Times New Roman" w:hAnsi="Times New Roman" w:cs="Times New Roman"/>
          <w:sz w:val="24"/>
          <w:szCs w:val="24"/>
        </w:rPr>
        <w:lastRenderedPageBreak/>
        <w:t xml:space="preserve">Notre échantillon comprend 11 étudiants (73.3%) et 4 étudiantes (26,7%). La répartition sur base du sexe dans la population initiale était de 188 étudiantes (47,77%) et 206 étudiants (52,3%). Cette répartition des candidatures en fonction du genre constitue </w:t>
      </w:r>
      <w:r w:rsidR="003A388D">
        <w:rPr>
          <w:rFonts w:ascii="Times New Roman" w:hAnsi="Times New Roman" w:cs="Times New Roman"/>
          <w:sz w:val="24"/>
          <w:szCs w:val="24"/>
        </w:rPr>
        <w:t xml:space="preserve">donc </w:t>
      </w:r>
      <w:r w:rsidR="008C542D" w:rsidRPr="003C610C">
        <w:rPr>
          <w:rFonts w:ascii="Times New Roman" w:hAnsi="Times New Roman" w:cs="Times New Roman"/>
          <w:sz w:val="24"/>
          <w:szCs w:val="24"/>
        </w:rPr>
        <w:t>une sorte de proxy d’une propension masculine si pas à prendre des risques</w:t>
      </w:r>
      <w:r w:rsidR="00926D38">
        <w:rPr>
          <w:rFonts w:ascii="Times New Roman" w:hAnsi="Times New Roman" w:cs="Times New Roman"/>
          <w:sz w:val="24"/>
          <w:szCs w:val="24"/>
        </w:rPr>
        <w:t xml:space="preserve"> (</w:t>
      </w:r>
      <w:r w:rsidR="00926D38" w:rsidRPr="00926D38">
        <w:rPr>
          <w:rFonts w:ascii="Times New Roman" w:hAnsi="Times New Roman" w:cs="Times New Roman"/>
          <w:sz w:val="24"/>
          <w:szCs w:val="24"/>
        </w:rPr>
        <w:t xml:space="preserve">sur les liens entre le genre et la confiance, voir </w:t>
      </w:r>
      <w:proofErr w:type="spellStart"/>
      <w:r w:rsidR="00926D38" w:rsidRPr="00926D38">
        <w:rPr>
          <w:rFonts w:ascii="Times New Roman" w:hAnsi="Times New Roman" w:cs="Times New Roman"/>
          <w:sz w:val="24"/>
          <w:szCs w:val="24"/>
        </w:rPr>
        <w:t>Bannier</w:t>
      </w:r>
      <w:proofErr w:type="spellEnd"/>
      <w:r w:rsidR="00926D38" w:rsidRPr="00926D38">
        <w:rPr>
          <w:rFonts w:ascii="Times New Roman" w:hAnsi="Times New Roman" w:cs="Times New Roman"/>
          <w:sz w:val="24"/>
          <w:szCs w:val="24"/>
        </w:rPr>
        <w:t xml:space="preserve"> C., Schwarz M., 2018</w:t>
      </w:r>
      <w:r w:rsidR="00DA0BA4">
        <w:rPr>
          <w:rFonts w:ascii="Times New Roman" w:hAnsi="Times New Roman" w:cs="Times New Roman"/>
          <w:sz w:val="24"/>
          <w:szCs w:val="24"/>
        </w:rPr>
        <w:t>)</w:t>
      </w:r>
      <w:r w:rsidR="008C542D" w:rsidRPr="003C610C">
        <w:rPr>
          <w:rFonts w:ascii="Times New Roman" w:hAnsi="Times New Roman" w:cs="Times New Roman"/>
          <w:sz w:val="24"/>
          <w:szCs w:val="24"/>
        </w:rPr>
        <w:t>, à tout le moins à jouer</w:t>
      </w:r>
      <w:r w:rsidR="00FE4C7F">
        <w:rPr>
          <w:rFonts w:ascii="Times New Roman" w:hAnsi="Times New Roman" w:cs="Times New Roman"/>
          <w:sz w:val="24"/>
          <w:szCs w:val="24"/>
        </w:rPr>
        <w:t xml:space="preserve"> (</w:t>
      </w:r>
      <w:r w:rsidR="00DA0BA4" w:rsidRPr="00DA0BA4">
        <w:rPr>
          <w:rFonts w:ascii="Times New Roman" w:hAnsi="Times New Roman" w:cs="Times New Roman"/>
          <w:sz w:val="24"/>
          <w:szCs w:val="24"/>
        </w:rPr>
        <w:t>Buser</w:t>
      </w:r>
      <w:r w:rsidR="00DA0BA4">
        <w:rPr>
          <w:rFonts w:ascii="Times New Roman" w:hAnsi="Times New Roman" w:cs="Times New Roman"/>
          <w:sz w:val="24"/>
          <w:szCs w:val="24"/>
        </w:rPr>
        <w:t xml:space="preserve"> T.</w:t>
      </w:r>
      <w:r w:rsidR="00467B2D">
        <w:rPr>
          <w:rFonts w:ascii="Times New Roman" w:hAnsi="Times New Roman" w:cs="Times New Roman"/>
          <w:sz w:val="24"/>
          <w:szCs w:val="24"/>
        </w:rPr>
        <w:t xml:space="preserve">, </w:t>
      </w:r>
      <w:proofErr w:type="spellStart"/>
      <w:r w:rsidR="00DA0BA4" w:rsidRPr="00DA0BA4">
        <w:rPr>
          <w:rFonts w:ascii="Times New Roman" w:hAnsi="Times New Roman" w:cs="Times New Roman"/>
          <w:sz w:val="24"/>
          <w:szCs w:val="24"/>
        </w:rPr>
        <w:t>Ranehill</w:t>
      </w:r>
      <w:proofErr w:type="spellEnd"/>
      <w:r w:rsidR="00467B2D">
        <w:rPr>
          <w:rFonts w:ascii="Times New Roman" w:hAnsi="Times New Roman" w:cs="Times New Roman"/>
          <w:sz w:val="24"/>
          <w:szCs w:val="24"/>
        </w:rPr>
        <w:t xml:space="preserve"> E., </w:t>
      </w:r>
      <w:r w:rsidR="00DA0BA4" w:rsidRPr="00DA0BA4">
        <w:rPr>
          <w:rFonts w:ascii="Times New Roman" w:hAnsi="Times New Roman" w:cs="Times New Roman"/>
          <w:sz w:val="24"/>
          <w:szCs w:val="24"/>
        </w:rPr>
        <w:t xml:space="preserve">van </w:t>
      </w:r>
      <w:proofErr w:type="spellStart"/>
      <w:r w:rsidR="00DA0BA4" w:rsidRPr="00DA0BA4">
        <w:rPr>
          <w:rFonts w:ascii="Times New Roman" w:hAnsi="Times New Roman" w:cs="Times New Roman"/>
          <w:sz w:val="24"/>
          <w:szCs w:val="24"/>
        </w:rPr>
        <w:t>Veldhuizen</w:t>
      </w:r>
      <w:proofErr w:type="spellEnd"/>
      <w:r w:rsidR="005D1492">
        <w:rPr>
          <w:rFonts w:ascii="Times New Roman" w:hAnsi="Times New Roman" w:cs="Times New Roman"/>
          <w:sz w:val="24"/>
          <w:szCs w:val="24"/>
        </w:rPr>
        <w:t xml:space="preserve"> R., 2021</w:t>
      </w:r>
      <w:r w:rsidR="00667FA1">
        <w:rPr>
          <w:rFonts w:ascii="Times New Roman" w:hAnsi="Times New Roman" w:cs="Times New Roman"/>
          <w:sz w:val="24"/>
          <w:szCs w:val="24"/>
        </w:rPr>
        <w:t>)</w:t>
      </w:r>
      <w:r w:rsidR="008C542D" w:rsidRPr="003C610C">
        <w:rPr>
          <w:rFonts w:ascii="Times New Roman" w:hAnsi="Times New Roman" w:cs="Times New Roman"/>
          <w:sz w:val="24"/>
          <w:szCs w:val="24"/>
        </w:rPr>
        <w:t xml:space="preserve">. </w:t>
      </w:r>
      <w:r w:rsidR="009B1120">
        <w:rPr>
          <w:rFonts w:ascii="Times New Roman" w:hAnsi="Times New Roman" w:cs="Times New Roman"/>
          <w:sz w:val="24"/>
          <w:szCs w:val="24"/>
        </w:rPr>
        <w:t>L</w:t>
      </w:r>
      <w:r w:rsidR="008C542D" w:rsidRPr="003C610C">
        <w:rPr>
          <w:rFonts w:ascii="Times New Roman" w:hAnsi="Times New Roman" w:cs="Times New Roman"/>
          <w:sz w:val="24"/>
          <w:szCs w:val="24"/>
        </w:rPr>
        <w:t>es étudiants</w:t>
      </w:r>
      <w:r w:rsidR="00A744B8" w:rsidRPr="003C610C">
        <w:rPr>
          <w:rFonts w:ascii="Times New Roman" w:hAnsi="Times New Roman" w:cs="Times New Roman"/>
          <w:sz w:val="24"/>
          <w:szCs w:val="24"/>
        </w:rPr>
        <w:t xml:space="preserve"> ont été répartis de manière aléatoire en sept couples et un groupe unipersonnel : quatre groupes masculins, deux groupes mixtes, un groupe féminin et une personne masculine isolée. Par cette manière de procéder</w:t>
      </w:r>
      <w:r w:rsidR="00BF036E" w:rsidRPr="003C610C">
        <w:rPr>
          <w:rFonts w:ascii="Times New Roman" w:hAnsi="Times New Roman" w:cs="Times New Roman"/>
          <w:sz w:val="24"/>
          <w:szCs w:val="24"/>
        </w:rPr>
        <w:t>, nous voulions essayer de comprendre</w:t>
      </w:r>
      <w:r w:rsidR="00A744B8" w:rsidRPr="003C610C">
        <w:rPr>
          <w:rFonts w:ascii="Times New Roman" w:hAnsi="Times New Roman" w:cs="Times New Roman"/>
          <w:sz w:val="24"/>
          <w:szCs w:val="24"/>
        </w:rPr>
        <w:t xml:space="preserve"> </w:t>
      </w:r>
      <w:r w:rsidR="00AB5CD6" w:rsidRPr="003C610C">
        <w:rPr>
          <w:rFonts w:ascii="Times New Roman" w:hAnsi="Times New Roman" w:cs="Times New Roman"/>
          <w:sz w:val="24"/>
          <w:szCs w:val="24"/>
        </w:rPr>
        <w:t>la manière avec laquelle les techniques mobilisées étaient retenues au sein des groupes</w:t>
      </w:r>
      <w:r w:rsidR="00A744B8" w:rsidRPr="003C610C">
        <w:rPr>
          <w:rFonts w:ascii="Times New Roman" w:hAnsi="Times New Roman" w:cs="Times New Roman"/>
          <w:sz w:val="24"/>
          <w:szCs w:val="24"/>
        </w:rPr>
        <w:t xml:space="preserve">. </w:t>
      </w:r>
      <w:r w:rsidR="00F51A23" w:rsidRPr="003C610C">
        <w:rPr>
          <w:rFonts w:ascii="Times New Roman" w:hAnsi="Times New Roman" w:cs="Times New Roman"/>
          <w:sz w:val="24"/>
          <w:szCs w:val="24"/>
        </w:rPr>
        <w:t xml:space="preserve">Les étudiants repris </w:t>
      </w:r>
      <w:r w:rsidR="00824C95" w:rsidRPr="003C610C">
        <w:rPr>
          <w:rFonts w:ascii="Times New Roman" w:hAnsi="Times New Roman" w:cs="Times New Roman"/>
          <w:sz w:val="24"/>
          <w:szCs w:val="24"/>
        </w:rPr>
        <w:t>provenaient des auditoires de dernière année du Bachelier (3</w:t>
      </w:r>
      <w:r w:rsidR="00824C95" w:rsidRPr="003C610C">
        <w:rPr>
          <w:rFonts w:ascii="Times New Roman" w:hAnsi="Times New Roman" w:cs="Times New Roman"/>
          <w:sz w:val="24"/>
          <w:szCs w:val="24"/>
          <w:vertAlign w:val="superscript"/>
        </w:rPr>
        <w:t>ème</w:t>
      </w:r>
      <w:r w:rsidR="00824C95" w:rsidRPr="003C610C">
        <w:rPr>
          <w:rFonts w:ascii="Times New Roman" w:hAnsi="Times New Roman" w:cs="Times New Roman"/>
          <w:sz w:val="24"/>
          <w:szCs w:val="24"/>
        </w:rPr>
        <w:t xml:space="preserve"> année) et de première année de master </w:t>
      </w:r>
      <w:r w:rsidR="009563A1" w:rsidRPr="003C610C">
        <w:rPr>
          <w:rFonts w:ascii="Times New Roman" w:hAnsi="Times New Roman" w:cs="Times New Roman"/>
          <w:sz w:val="24"/>
          <w:szCs w:val="24"/>
        </w:rPr>
        <w:t>(4</w:t>
      </w:r>
      <w:r w:rsidR="009563A1" w:rsidRPr="003C610C">
        <w:rPr>
          <w:rFonts w:ascii="Times New Roman" w:hAnsi="Times New Roman" w:cs="Times New Roman"/>
          <w:sz w:val="24"/>
          <w:szCs w:val="24"/>
          <w:vertAlign w:val="superscript"/>
        </w:rPr>
        <w:t>ème</w:t>
      </w:r>
      <w:r w:rsidR="009563A1" w:rsidRPr="003C610C">
        <w:rPr>
          <w:rFonts w:ascii="Times New Roman" w:hAnsi="Times New Roman" w:cs="Times New Roman"/>
          <w:sz w:val="24"/>
          <w:szCs w:val="24"/>
        </w:rPr>
        <w:t xml:space="preserve"> année) </w:t>
      </w:r>
      <w:r w:rsidR="00824C95" w:rsidRPr="003C610C">
        <w:rPr>
          <w:rFonts w:ascii="Times New Roman" w:hAnsi="Times New Roman" w:cs="Times New Roman"/>
          <w:sz w:val="24"/>
          <w:szCs w:val="24"/>
        </w:rPr>
        <w:t xml:space="preserve">afin de garantir un niveau </w:t>
      </w:r>
      <w:r w:rsidR="00DE7E80">
        <w:rPr>
          <w:rFonts w:ascii="Times New Roman" w:hAnsi="Times New Roman" w:cs="Times New Roman"/>
          <w:sz w:val="24"/>
          <w:szCs w:val="24"/>
        </w:rPr>
        <w:t xml:space="preserve">relativement </w:t>
      </w:r>
      <w:r w:rsidR="00824C95" w:rsidRPr="003C610C">
        <w:rPr>
          <w:rFonts w:ascii="Times New Roman" w:hAnsi="Times New Roman" w:cs="Times New Roman"/>
          <w:sz w:val="24"/>
          <w:szCs w:val="24"/>
        </w:rPr>
        <w:t xml:space="preserve">élevé de </w:t>
      </w:r>
      <w:r w:rsidR="009563A1" w:rsidRPr="003C610C">
        <w:rPr>
          <w:rFonts w:ascii="Times New Roman" w:hAnsi="Times New Roman" w:cs="Times New Roman"/>
          <w:sz w:val="24"/>
          <w:szCs w:val="24"/>
        </w:rPr>
        <w:t>connaissance du fonctionnement</w:t>
      </w:r>
      <w:r w:rsidR="00824C95" w:rsidRPr="003C610C">
        <w:rPr>
          <w:rFonts w:ascii="Times New Roman" w:hAnsi="Times New Roman" w:cs="Times New Roman"/>
          <w:sz w:val="24"/>
          <w:szCs w:val="24"/>
        </w:rPr>
        <w:t xml:space="preserve"> des marchés boursiers. </w:t>
      </w:r>
      <w:r w:rsidR="001E5E24" w:rsidRPr="003C610C">
        <w:rPr>
          <w:rFonts w:ascii="Times New Roman" w:hAnsi="Times New Roman" w:cs="Times New Roman"/>
          <w:sz w:val="24"/>
          <w:szCs w:val="24"/>
        </w:rPr>
        <w:t>Il était prévu dès l’appel à can</w:t>
      </w:r>
      <w:r w:rsidR="000174C0" w:rsidRPr="003C610C">
        <w:rPr>
          <w:rFonts w:ascii="Times New Roman" w:hAnsi="Times New Roman" w:cs="Times New Roman"/>
          <w:sz w:val="24"/>
          <w:szCs w:val="24"/>
        </w:rPr>
        <w:t>d</w:t>
      </w:r>
      <w:r w:rsidR="001E5E24" w:rsidRPr="003C610C">
        <w:rPr>
          <w:rFonts w:ascii="Times New Roman" w:hAnsi="Times New Roman" w:cs="Times New Roman"/>
          <w:sz w:val="24"/>
          <w:szCs w:val="24"/>
        </w:rPr>
        <w:t>idatures</w:t>
      </w:r>
      <w:r w:rsidR="00F51A23" w:rsidRPr="003C610C">
        <w:rPr>
          <w:rFonts w:ascii="Times New Roman" w:hAnsi="Times New Roman" w:cs="Times New Roman"/>
          <w:sz w:val="24"/>
          <w:szCs w:val="24"/>
        </w:rPr>
        <w:t xml:space="preserve"> de </w:t>
      </w:r>
      <w:r w:rsidR="000F1692" w:rsidRPr="003C610C">
        <w:rPr>
          <w:rFonts w:ascii="Times New Roman" w:hAnsi="Times New Roman" w:cs="Times New Roman"/>
          <w:sz w:val="24"/>
          <w:szCs w:val="24"/>
        </w:rPr>
        <w:t xml:space="preserve">les rémunérer </w:t>
      </w:r>
      <w:r w:rsidR="00F51A23" w:rsidRPr="003C610C">
        <w:rPr>
          <w:rFonts w:ascii="Times New Roman" w:hAnsi="Times New Roman" w:cs="Times New Roman"/>
          <w:sz w:val="24"/>
          <w:szCs w:val="24"/>
        </w:rPr>
        <w:t xml:space="preserve">pour le nombre d’heures prestées. </w:t>
      </w:r>
      <w:r w:rsidR="00525DB4" w:rsidRPr="003C610C">
        <w:rPr>
          <w:rFonts w:ascii="Times New Roman" w:hAnsi="Times New Roman" w:cs="Times New Roman"/>
          <w:sz w:val="24"/>
          <w:szCs w:val="24"/>
        </w:rPr>
        <w:t>Par rapport à ces choix, quatre</w:t>
      </w:r>
      <w:r w:rsidR="00F51A23" w:rsidRPr="003C610C">
        <w:rPr>
          <w:rFonts w:ascii="Times New Roman" w:hAnsi="Times New Roman" w:cs="Times New Roman"/>
          <w:sz w:val="24"/>
          <w:szCs w:val="24"/>
        </w:rPr>
        <w:t xml:space="preserve"> remarques do</w:t>
      </w:r>
      <w:r w:rsidR="000F1692" w:rsidRPr="003C610C">
        <w:rPr>
          <w:rFonts w:ascii="Times New Roman" w:hAnsi="Times New Roman" w:cs="Times New Roman"/>
          <w:sz w:val="24"/>
          <w:szCs w:val="24"/>
        </w:rPr>
        <w:t>ivent</w:t>
      </w:r>
      <w:r w:rsidR="000D0A8B">
        <w:rPr>
          <w:rFonts w:ascii="Times New Roman" w:hAnsi="Times New Roman" w:cs="Times New Roman"/>
          <w:sz w:val="24"/>
          <w:szCs w:val="24"/>
        </w:rPr>
        <w:t>,</w:t>
      </w:r>
      <w:r w:rsidR="000F1692" w:rsidRPr="003C610C">
        <w:rPr>
          <w:rFonts w:ascii="Times New Roman" w:hAnsi="Times New Roman" w:cs="Times New Roman"/>
          <w:sz w:val="24"/>
          <w:szCs w:val="24"/>
        </w:rPr>
        <w:t xml:space="preserve"> </w:t>
      </w:r>
      <w:r w:rsidR="000D0A8B">
        <w:rPr>
          <w:rFonts w:ascii="Times New Roman" w:hAnsi="Times New Roman" w:cs="Times New Roman"/>
          <w:sz w:val="24"/>
          <w:szCs w:val="24"/>
        </w:rPr>
        <w:t xml:space="preserve">selon nous, </w:t>
      </w:r>
      <w:r w:rsidR="000F1692" w:rsidRPr="003C610C">
        <w:rPr>
          <w:rFonts w:ascii="Times New Roman" w:hAnsi="Times New Roman" w:cs="Times New Roman"/>
          <w:sz w:val="24"/>
          <w:szCs w:val="24"/>
        </w:rPr>
        <w:t xml:space="preserve">être </w:t>
      </w:r>
      <w:r w:rsidR="00F51A23" w:rsidRPr="003C610C">
        <w:rPr>
          <w:rFonts w:ascii="Times New Roman" w:hAnsi="Times New Roman" w:cs="Times New Roman"/>
          <w:sz w:val="24"/>
          <w:szCs w:val="24"/>
        </w:rPr>
        <w:t>formulées. Premièrement, en travaillant au départ d’une cohorte estudiantine, le groupe n’est pas socialisé aux standards des traders (l</w:t>
      </w:r>
      <w:r w:rsidR="00924D57" w:rsidRPr="003C610C">
        <w:rPr>
          <w:rFonts w:ascii="Times New Roman" w:hAnsi="Times New Roman" w:cs="Times New Roman"/>
          <w:sz w:val="24"/>
          <w:szCs w:val="24"/>
        </w:rPr>
        <w:t>es intervenants n’étaient pas coutumiers d</w:t>
      </w:r>
      <w:r w:rsidR="00F51A23" w:rsidRPr="003C610C">
        <w:rPr>
          <w:rFonts w:ascii="Times New Roman" w:hAnsi="Times New Roman" w:cs="Times New Roman"/>
          <w:sz w:val="24"/>
          <w:szCs w:val="24"/>
        </w:rPr>
        <w:t xml:space="preserve">es codes formels et informels qui régissent les activités de trading). Deuxièmement, </w:t>
      </w:r>
      <w:r w:rsidR="00FA2570">
        <w:rPr>
          <w:rFonts w:ascii="Times New Roman" w:hAnsi="Times New Roman" w:cs="Times New Roman"/>
          <w:sz w:val="24"/>
          <w:szCs w:val="24"/>
        </w:rPr>
        <w:t xml:space="preserve">même </w:t>
      </w:r>
      <w:r w:rsidR="00F51A23" w:rsidRPr="003C610C">
        <w:rPr>
          <w:rFonts w:ascii="Times New Roman" w:hAnsi="Times New Roman" w:cs="Times New Roman"/>
          <w:sz w:val="24"/>
          <w:szCs w:val="24"/>
        </w:rPr>
        <w:t xml:space="preserve">s’ils possèdent un niveau de connaissance des outils théoriques dans le domaine financier, ils sont cependant novices en termes d’expérience pratique de négociations sur les marchés financiers. Troisièmement, en les rémunérant, peut se poser la question de leurs réelles motivations à participer au projet : une motivation pécuniaire ou une motivation à participer à une expérience de trading, voire une combinaison de </w:t>
      </w:r>
      <w:r w:rsidR="009D0A8D" w:rsidRPr="003C610C">
        <w:rPr>
          <w:rFonts w:ascii="Times New Roman" w:hAnsi="Times New Roman" w:cs="Times New Roman"/>
          <w:sz w:val="24"/>
          <w:szCs w:val="24"/>
        </w:rPr>
        <w:t xml:space="preserve">ces </w:t>
      </w:r>
      <w:r w:rsidR="00EE1836" w:rsidRPr="003C610C">
        <w:rPr>
          <w:rFonts w:ascii="Times New Roman" w:hAnsi="Times New Roman" w:cs="Times New Roman"/>
          <w:sz w:val="24"/>
          <w:szCs w:val="24"/>
        </w:rPr>
        <w:t xml:space="preserve">deux </w:t>
      </w:r>
      <w:r w:rsidR="00F51A23" w:rsidRPr="003C610C">
        <w:rPr>
          <w:rFonts w:ascii="Times New Roman" w:hAnsi="Times New Roman" w:cs="Times New Roman"/>
          <w:sz w:val="24"/>
          <w:szCs w:val="24"/>
        </w:rPr>
        <w:t>motivations ?</w:t>
      </w:r>
    </w:p>
    <w:p w14:paraId="768CBBF7" w14:textId="12E384F2" w:rsidR="009842F4" w:rsidRPr="00335693" w:rsidRDefault="00A744B8" w:rsidP="00335693">
      <w:pPr>
        <w:spacing w:line="360" w:lineRule="auto"/>
        <w:ind w:left="708"/>
        <w:jc w:val="both"/>
        <w:rPr>
          <w:rFonts w:ascii="Times New Roman" w:hAnsi="Times New Roman" w:cs="Times New Roman"/>
          <w:sz w:val="24"/>
          <w:szCs w:val="24"/>
        </w:rPr>
      </w:pPr>
      <w:r w:rsidRPr="00F222FB">
        <w:rPr>
          <w:rFonts w:ascii="Times New Roman" w:hAnsi="Times New Roman" w:cs="Times New Roman"/>
          <w:sz w:val="24"/>
          <w:szCs w:val="24"/>
        </w:rPr>
        <w:t xml:space="preserve">Les étudiants ont été rassemblés dans </w:t>
      </w:r>
      <w:r w:rsidR="006B7217">
        <w:rPr>
          <w:rFonts w:ascii="Times New Roman" w:hAnsi="Times New Roman" w:cs="Times New Roman"/>
          <w:sz w:val="24"/>
          <w:szCs w:val="24"/>
        </w:rPr>
        <w:t>la</w:t>
      </w:r>
      <w:r w:rsidRPr="00F222FB">
        <w:rPr>
          <w:rFonts w:ascii="Times New Roman" w:hAnsi="Times New Roman" w:cs="Times New Roman"/>
          <w:sz w:val="24"/>
          <w:szCs w:val="24"/>
        </w:rPr>
        <w:t xml:space="preserve"> salle des marchés </w:t>
      </w:r>
      <w:r w:rsidR="008D7EEB">
        <w:rPr>
          <w:rFonts w:ascii="Times New Roman" w:hAnsi="Times New Roman" w:cs="Times New Roman"/>
          <w:sz w:val="24"/>
          <w:szCs w:val="24"/>
        </w:rPr>
        <w:t>appartenant à l’</w:t>
      </w:r>
      <w:r w:rsidR="00953152">
        <w:rPr>
          <w:rFonts w:ascii="Times New Roman" w:hAnsi="Times New Roman" w:cs="Times New Roman"/>
          <w:sz w:val="24"/>
          <w:szCs w:val="24"/>
        </w:rPr>
        <w:t>institution universitaire</w:t>
      </w:r>
      <w:r w:rsidR="008D7EEB">
        <w:rPr>
          <w:rFonts w:ascii="Times New Roman" w:hAnsi="Times New Roman" w:cs="Times New Roman"/>
          <w:sz w:val="24"/>
          <w:szCs w:val="24"/>
        </w:rPr>
        <w:t xml:space="preserve"> hôte de l’expérience</w:t>
      </w:r>
      <w:r w:rsidRPr="00F222FB">
        <w:rPr>
          <w:rFonts w:ascii="Times New Roman" w:hAnsi="Times New Roman" w:cs="Times New Roman"/>
          <w:sz w:val="24"/>
          <w:szCs w:val="24"/>
        </w:rPr>
        <w:t xml:space="preserve">. Ils avaient à disposition en portefeuille virtuel de 100.000 euros initialement constitué de cinq actions </w:t>
      </w:r>
      <w:r w:rsidR="00A62F91" w:rsidRPr="00F222FB">
        <w:rPr>
          <w:rFonts w:ascii="Times New Roman" w:hAnsi="Times New Roman" w:cs="Times New Roman"/>
          <w:sz w:val="24"/>
          <w:szCs w:val="24"/>
        </w:rPr>
        <w:t xml:space="preserve">– retenues de manière aléatoire - </w:t>
      </w:r>
      <w:r w:rsidRPr="00F222FB">
        <w:rPr>
          <w:rFonts w:ascii="Times New Roman" w:hAnsi="Times New Roman" w:cs="Times New Roman"/>
          <w:sz w:val="24"/>
          <w:szCs w:val="24"/>
        </w:rPr>
        <w:t>reprises au sein du CAC40</w:t>
      </w:r>
      <w:r w:rsidR="00B21324" w:rsidRPr="00F222FB">
        <w:rPr>
          <w:rFonts w:ascii="Times New Roman" w:hAnsi="Times New Roman" w:cs="Times New Roman"/>
          <w:sz w:val="24"/>
          <w:szCs w:val="24"/>
        </w:rPr>
        <w:t xml:space="preserve"> (</w:t>
      </w:r>
      <w:r w:rsidR="001B7C42" w:rsidRPr="00F222FB">
        <w:rPr>
          <w:rFonts w:ascii="Times New Roman" w:hAnsi="Times New Roman" w:cs="Times New Roman"/>
          <w:sz w:val="24"/>
          <w:szCs w:val="24"/>
        </w:rPr>
        <w:t xml:space="preserve">au départ de l’expérience, </w:t>
      </w:r>
      <w:r w:rsidR="00B21324" w:rsidRPr="00F222FB">
        <w:rPr>
          <w:rFonts w:ascii="Times New Roman" w:hAnsi="Times New Roman" w:cs="Times New Roman"/>
          <w:sz w:val="24"/>
          <w:szCs w:val="24"/>
        </w:rPr>
        <w:t>Arcelor Mittal, Legrand, Sodexo, Michelin et Bouygues)</w:t>
      </w:r>
      <w:r w:rsidR="002C72B7" w:rsidRPr="00F222FB">
        <w:rPr>
          <w:rFonts w:ascii="Times New Roman" w:hAnsi="Times New Roman" w:cs="Times New Roman"/>
          <w:sz w:val="24"/>
          <w:szCs w:val="24"/>
        </w:rPr>
        <w:t>. L</w:t>
      </w:r>
      <w:r w:rsidR="008F26E4" w:rsidRPr="00F222FB">
        <w:rPr>
          <w:rFonts w:ascii="Times New Roman" w:hAnsi="Times New Roman" w:cs="Times New Roman"/>
          <w:sz w:val="24"/>
          <w:szCs w:val="24"/>
        </w:rPr>
        <w:t xml:space="preserve">es opérations passées </w:t>
      </w:r>
      <w:r w:rsidRPr="00F222FB">
        <w:rPr>
          <w:rFonts w:ascii="Times New Roman" w:hAnsi="Times New Roman" w:cs="Times New Roman"/>
          <w:sz w:val="24"/>
          <w:szCs w:val="24"/>
        </w:rPr>
        <w:t xml:space="preserve">devaient concerner des actions de cet indice </w:t>
      </w:r>
      <w:r w:rsidR="00A5159D" w:rsidRPr="00F222FB">
        <w:rPr>
          <w:rFonts w:ascii="Times New Roman" w:hAnsi="Times New Roman" w:cs="Times New Roman"/>
          <w:sz w:val="24"/>
          <w:szCs w:val="24"/>
        </w:rPr>
        <w:t>et se sont effectuées au départ de la plateforme financière ABC Bourse</w:t>
      </w:r>
      <w:r w:rsidRPr="00F222FB">
        <w:rPr>
          <w:rFonts w:ascii="Times New Roman" w:hAnsi="Times New Roman" w:cs="Times New Roman"/>
          <w:sz w:val="24"/>
          <w:szCs w:val="24"/>
        </w:rPr>
        <w:t xml:space="preserve">. </w:t>
      </w:r>
      <w:r w:rsidR="008F26E4" w:rsidRPr="00F222FB">
        <w:rPr>
          <w:rFonts w:ascii="Times New Roman" w:hAnsi="Times New Roman" w:cs="Times New Roman"/>
          <w:sz w:val="24"/>
          <w:szCs w:val="24"/>
        </w:rPr>
        <w:t>Ils étaient libres de modifier à leur guise leur portefeuille initial, aucune consigne ne leur a été donnée quant à la gestion de leurs liquidités, a</w:t>
      </w:r>
      <w:r w:rsidRPr="00F222FB">
        <w:rPr>
          <w:rFonts w:ascii="Times New Roman" w:hAnsi="Times New Roman" w:cs="Times New Roman"/>
          <w:sz w:val="24"/>
          <w:szCs w:val="24"/>
        </w:rPr>
        <w:t>ucune limitation dans le nombre d’opér</w:t>
      </w:r>
      <w:r w:rsidR="00B21324" w:rsidRPr="00F222FB">
        <w:rPr>
          <w:rFonts w:ascii="Times New Roman" w:hAnsi="Times New Roman" w:cs="Times New Roman"/>
          <w:sz w:val="24"/>
          <w:szCs w:val="24"/>
        </w:rPr>
        <w:t>ations passées n’a été fixée</w:t>
      </w:r>
      <w:r w:rsidR="00B66D68" w:rsidRPr="00F222FB">
        <w:rPr>
          <w:rFonts w:ascii="Times New Roman" w:hAnsi="Times New Roman" w:cs="Times New Roman"/>
          <w:sz w:val="24"/>
          <w:szCs w:val="24"/>
        </w:rPr>
        <w:t>,</w:t>
      </w:r>
      <w:r w:rsidR="00B21324" w:rsidRPr="00F222FB">
        <w:rPr>
          <w:rFonts w:ascii="Times New Roman" w:hAnsi="Times New Roman" w:cs="Times New Roman"/>
          <w:sz w:val="24"/>
          <w:szCs w:val="24"/>
        </w:rPr>
        <w:t xml:space="preserve"> </w:t>
      </w:r>
      <w:r w:rsidRPr="00F222FB">
        <w:rPr>
          <w:rFonts w:ascii="Times New Roman" w:hAnsi="Times New Roman" w:cs="Times New Roman"/>
          <w:sz w:val="24"/>
          <w:szCs w:val="24"/>
        </w:rPr>
        <w:t>aucun frais de transaction n’a été comptabilisé</w:t>
      </w:r>
      <w:r w:rsidR="00B21324" w:rsidRPr="00F222FB">
        <w:rPr>
          <w:rFonts w:ascii="Times New Roman" w:hAnsi="Times New Roman" w:cs="Times New Roman"/>
          <w:sz w:val="24"/>
          <w:szCs w:val="24"/>
        </w:rPr>
        <w:t xml:space="preserve"> et aucune gratification n’était octroyée au</w:t>
      </w:r>
      <w:r w:rsidR="001F30DD" w:rsidRPr="00F222FB">
        <w:rPr>
          <w:rFonts w:ascii="Times New Roman" w:hAnsi="Times New Roman" w:cs="Times New Roman"/>
          <w:sz w:val="24"/>
          <w:szCs w:val="24"/>
        </w:rPr>
        <w:t>(x) propriétaire(s) du</w:t>
      </w:r>
      <w:r w:rsidR="00B21324" w:rsidRPr="00F222FB">
        <w:rPr>
          <w:rFonts w:ascii="Times New Roman" w:hAnsi="Times New Roman" w:cs="Times New Roman"/>
          <w:sz w:val="24"/>
          <w:szCs w:val="24"/>
        </w:rPr>
        <w:t xml:space="preserve"> portefeuille le plus </w:t>
      </w:r>
      <w:r w:rsidR="00B21324" w:rsidRPr="00F222FB">
        <w:rPr>
          <w:rFonts w:ascii="Times New Roman" w:hAnsi="Times New Roman" w:cs="Times New Roman"/>
          <w:sz w:val="24"/>
          <w:szCs w:val="24"/>
        </w:rPr>
        <w:lastRenderedPageBreak/>
        <w:t>performant</w:t>
      </w:r>
      <w:r w:rsidRPr="00F222FB">
        <w:rPr>
          <w:rFonts w:ascii="Times New Roman" w:hAnsi="Times New Roman" w:cs="Times New Roman"/>
          <w:sz w:val="24"/>
          <w:szCs w:val="24"/>
        </w:rPr>
        <w:t xml:space="preserve">. </w:t>
      </w:r>
      <w:r w:rsidR="008F26E4" w:rsidRPr="00F222FB">
        <w:rPr>
          <w:rFonts w:ascii="Times New Roman" w:hAnsi="Times New Roman" w:cs="Times New Roman"/>
          <w:sz w:val="24"/>
          <w:szCs w:val="24"/>
        </w:rPr>
        <w:t>Par rapport à ce</w:t>
      </w:r>
      <w:r w:rsidR="00A74010" w:rsidRPr="00F222FB">
        <w:rPr>
          <w:rFonts w:ascii="Times New Roman" w:hAnsi="Times New Roman" w:cs="Times New Roman"/>
          <w:sz w:val="24"/>
          <w:szCs w:val="24"/>
        </w:rPr>
        <w:t xml:space="preserve"> dernier point, il s’agissait</w:t>
      </w:r>
      <w:r w:rsidR="00B21324" w:rsidRPr="00F222FB">
        <w:rPr>
          <w:rFonts w:ascii="Times New Roman" w:hAnsi="Times New Roman" w:cs="Times New Roman"/>
          <w:sz w:val="24"/>
          <w:szCs w:val="24"/>
        </w:rPr>
        <w:t xml:space="preserve"> d’éviter des comportements </w:t>
      </w:r>
      <w:r w:rsidR="00966D90" w:rsidRPr="00F222FB">
        <w:rPr>
          <w:rFonts w:ascii="Times New Roman" w:hAnsi="Times New Roman" w:cs="Times New Roman"/>
          <w:sz w:val="24"/>
          <w:szCs w:val="24"/>
        </w:rPr>
        <w:t>dérivés d</w:t>
      </w:r>
      <w:r w:rsidR="00572E1B" w:rsidRPr="00F222FB">
        <w:rPr>
          <w:rFonts w:ascii="Times New Roman" w:hAnsi="Times New Roman" w:cs="Times New Roman"/>
          <w:sz w:val="24"/>
          <w:szCs w:val="24"/>
        </w:rPr>
        <w:t>’</w:t>
      </w:r>
      <w:r w:rsidR="00966D90" w:rsidRPr="00F222FB">
        <w:rPr>
          <w:rFonts w:ascii="Times New Roman" w:hAnsi="Times New Roman" w:cs="Times New Roman"/>
          <w:sz w:val="24"/>
          <w:szCs w:val="24"/>
        </w:rPr>
        <w:t>u</w:t>
      </w:r>
      <w:r w:rsidR="00572E1B" w:rsidRPr="00F222FB">
        <w:rPr>
          <w:rFonts w:ascii="Times New Roman" w:hAnsi="Times New Roman" w:cs="Times New Roman"/>
          <w:sz w:val="24"/>
          <w:szCs w:val="24"/>
        </w:rPr>
        <w:t>ne</w:t>
      </w:r>
      <w:r w:rsidR="00966D90" w:rsidRPr="00F222FB">
        <w:rPr>
          <w:rFonts w:ascii="Times New Roman" w:hAnsi="Times New Roman" w:cs="Times New Roman"/>
          <w:sz w:val="24"/>
          <w:szCs w:val="24"/>
        </w:rPr>
        <w:t xml:space="preserve"> logique de compétition </w:t>
      </w:r>
      <w:r w:rsidR="00B21324" w:rsidRPr="00F222FB">
        <w:rPr>
          <w:rFonts w:ascii="Times New Roman" w:hAnsi="Times New Roman" w:cs="Times New Roman"/>
          <w:sz w:val="24"/>
          <w:szCs w:val="24"/>
        </w:rPr>
        <w:t xml:space="preserve">durant les derniers moments </w:t>
      </w:r>
      <w:r w:rsidR="00EE77E1" w:rsidRPr="00F222FB">
        <w:rPr>
          <w:rFonts w:ascii="Times New Roman" w:hAnsi="Times New Roman" w:cs="Times New Roman"/>
          <w:sz w:val="24"/>
          <w:szCs w:val="24"/>
        </w:rPr>
        <w:t>de l’expérience</w:t>
      </w:r>
      <w:r w:rsidR="00271854">
        <w:rPr>
          <w:rFonts w:ascii="Times New Roman" w:hAnsi="Times New Roman" w:cs="Times New Roman"/>
          <w:sz w:val="24"/>
          <w:szCs w:val="24"/>
        </w:rPr>
        <w:t>,</w:t>
      </w:r>
      <w:r w:rsidR="00EE77E1" w:rsidRPr="00F222FB">
        <w:rPr>
          <w:rFonts w:ascii="Times New Roman" w:hAnsi="Times New Roman" w:cs="Times New Roman"/>
          <w:sz w:val="24"/>
          <w:szCs w:val="24"/>
        </w:rPr>
        <w:t xml:space="preserve"> avec un</w:t>
      </w:r>
      <w:r w:rsidR="003A7833" w:rsidRPr="00F222FB">
        <w:rPr>
          <w:rFonts w:ascii="Times New Roman" w:hAnsi="Times New Roman" w:cs="Times New Roman"/>
          <w:sz w:val="24"/>
          <w:szCs w:val="24"/>
        </w:rPr>
        <w:t xml:space="preserve"> recours à des techniques</w:t>
      </w:r>
      <w:r w:rsidR="00B21324" w:rsidRPr="00F222FB">
        <w:rPr>
          <w:rFonts w:ascii="Times New Roman" w:hAnsi="Times New Roman" w:cs="Times New Roman"/>
          <w:sz w:val="24"/>
          <w:szCs w:val="24"/>
        </w:rPr>
        <w:t xml:space="preserve"> en décalage avec la réalit</w:t>
      </w:r>
      <w:r w:rsidR="00EE77E1" w:rsidRPr="00F222FB">
        <w:rPr>
          <w:rFonts w:ascii="Times New Roman" w:hAnsi="Times New Roman" w:cs="Times New Roman"/>
          <w:sz w:val="24"/>
          <w:szCs w:val="24"/>
        </w:rPr>
        <w:t>é comportementale des personnes</w:t>
      </w:r>
      <w:r w:rsidR="00B21324" w:rsidRPr="00F222FB">
        <w:rPr>
          <w:rFonts w:ascii="Times New Roman" w:hAnsi="Times New Roman" w:cs="Times New Roman"/>
          <w:sz w:val="24"/>
          <w:szCs w:val="24"/>
        </w:rPr>
        <w:t xml:space="preserve">. </w:t>
      </w:r>
    </w:p>
    <w:p w14:paraId="11B6C014" w14:textId="1C680FD5" w:rsidR="00A36379" w:rsidRDefault="00A744B8" w:rsidP="00A36379">
      <w:pPr>
        <w:pStyle w:val="Paragraphedeliste"/>
        <w:spacing w:line="360" w:lineRule="auto"/>
        <w:ind w:left="709"/>
        <w:jc w:val="both"/>
        <w:rPr>
          <w:rFonts w:ascii="Times New Roman" w:hAnsi="Times New Roman" w:cs="Times New Roman"/>
          <w:sz w:val="24"/>
          <w:szCs w:val="24"/>
        </w:rPr>
      </w:pPr>
      <w:r w:rsidRPr="00FB0D94">
        <w:rPr>
          <w:rFonts w:ascii="Times New Roman" w:hAnsi="Times New Roman" w:cs="Times New Roman"/>
          <w:sz w:val="24"/>
          <w:szCs w:val="24"/>
        </w:rPr>
        <w:t>En amont de l’expérience ont été envoyées toutes les informations macroéconomiques et relatives aux entreprises qui seraient publiquement annoncées d</w:t>
      </w:r>
      <w:r w:rsidR="006F423F" w:rsidRPr="00FB0D94">
        <w:rPr>
          <w:rFonts w:ascii="Times New Roman" w:hAnsi="Times New Roman" w:cs="Times New Roman"/>
          <w:sz w:val="24"/>
          <w:szCs w:val="24"/>
        </w:rPr>
        <w:t>urant la semaine. D</w:t>
      </w:r>
      <w:r w:rsidR="008F26E4" w:rsidRPr="00FB0D94">
        <w:rPr>
          <w:rFonts w:ascii="Times New Roman" w:hAnsi="Times New Roman" w:cs="Times New Roman"/>
          <w:sz w:val="24"/>
          <w:szCs w:val="24"/>
        </w:rPr>
        <w:t>ans les jours</w:t>
      </w:r>
      <w:r w:rsidRPr="00FB0D94">
        <w:rPr>
          <w:rFonts w:ascii="Times New Roman" w:hAnsi="Times New Roman" w:cs="Times New Roman"/>
          <w:sz w:val="24"/>
          <w:szCs w:val="24"/>
        </w:rPr>
        <w:t xml:space="preserve"> qui ont précédé l’expérience, les marchés ont été fortement influencés par différentes informations de nature </w:t>
      </w:r>
      <w:proofErr w:type="spellStart"/>
      <w:r w:rsidR="007A7438" w:rsidRPr="00FB0D94">
        <w:rPr>
          <w:rFonts w:ascii="Times New Roman" w:hAnsi="Times New Roman" w:cs="Times New Roman"/>
          <w:sz w:val="24"/>
          <w:szCs w:val="24"/>
        </w:rPr>
        <w:t>Corporate</w:t>
      </w:r>
      <w:proofErr w:type="spellEnd"/>
      <w:r w:rsidR="007A7438" w:rsidRPr="00FB0D94">
        <w:rPr>
          <w:rFonts w:ascii="Times New Roman" w:hAnsi="Times New Roman" w:cs="Times New Roman"/>
          <w:sz w:val="24"/>
          <w:szCs w:val="24"/>
        </w:rPr>
        <w:t xml:space="preserve"> mais également</w:t>
      </w:r>
      <w:r w:rsidRPr="00FB0D94">
        <w:rPr>
          <w:rFonts w:ascii="Times New Roman" w:hAnsi="Times New Roman" w:cs="Times New Roman"/>
          <w:sz w:val="24"/>
          <w:szCs w:val="24"/>
        </w:rPr>
        <w:t xml:space="preserve"> macroéconomiques : les interrogations de plus en plus nombreuses et alarmistes quant à la probabilité de parvenir à un Brexit ordonné (12 décembre 2018 et toujours d’actualité en janvier 2019), le prof</w:t>
      </w:r>
      <w:r w:rsidR="00E65522" w:rsidRPr="00FB0D94">
        <w:rPr>
          <w:rFonts w:ascii="Times New Roman" w:hAnsi="Times New Roman" w:cs="Times New Roman"/>
          <w:sz w:val="24"/>
          <w:szCs w:val="24"/>
        </w:rPr>
        <w:t>it warning d’Apple causé par la</w:t>
      </w:r>
      <w:r w:rsidRPr="00FB0D94">
        <w:rPr>
          <w:rFonts w:ascii="Times New Roman" w:hAnsi="Times New Roman" w:cs="Times New Roman"/>
          <w:sz w:val="24"/>
          <w:szCs w:val="24"/>
        </w:rPr>
        <w:t xml:space="preserve"> faiblesse de la demande chinoise avec </w:t>
      </w:r>
      <w:r w:rsidR="00E12C02">
        <w:rPr>
          <w:rFonts w:ascii="Times New Roman" w:hAnsi="Times New Roman" w:cs="Times New Roman"/>
          <w:sz w:val="24"/>
          <w:szCs w:val="24"/>
        </w:rPr>
        <w:t xml:space="preserve">un </w:t>
      </w:r>
      <w:r w:rsidRPr="00FB0D94">
        <w:rPr>
          <w:rFonts w:ascii="Times New Roman" w:hAnsi="Times New Roman" w:cs="Times New Roman"/>
          <w:sz w:val="24"/>
          <w:szCs w:val="24"/>
        </w:rPr>
        <w:t>effet ricoche</w:t>
      </w:r>
      <w:r w:rsidR="00FC141F" w:rsidRPr="00FB0D94">
        <w:rPr>
          <w:rFonts w:ascii="Times New Roman" w:hAnsi="Times New Roman" w:cs="Times New Roman"/>
          <w:sz w:val="24"/>
          <w:szCs w:val="24"/>
        </w:rPr>
        <w:t xml:space="preserve">t sur ses fournisseurs </w:t>
      </w:r>
      <w:r w:rsidRPr="00FB0D94">
        <w:rPr>
          <w:rFonts w:ascii="Times New Roman" w:hAnsi="Times New Roman" w:cs="Times New Roman"/>
          <w:sz w:val="24"/>
          <w:szCs w:val="24"/>
        </w:rPr>
        <w:t xml:space="preserve">(3 janvier 2019) , l’entrée en vigueur du </w:t>
      </w:r>
      <w:proofErr w:type="spellStart"/>
      <w:r w:rsidRPr="00FB0D94">
        <w:rPr>
          <w:rFonts w:ascii="Times New Roman" w:hAnsi="Times New Roman" w:cs="Times New Roman"/>
          <w:i/>
          <w:sz w:val="24"/>
          <w:szCs w:val="24"/>
        </w:rPr>
        <w:t>shutdown</w:t>
      </w:r>
      <w:proofErr w:type="spellEnd"/>
      <w:r w:rsidRPr="00FB0D94">
        <w:rPr>
          <w:rFonts w:ascii="Times New Roman" w:hAnsi="Times New Roman" w:cs="Times New Roman"/>
          <w:i/>
          <w:sz w:val="24"/>
          <w:szCs w:val="24"/>
        </w:rPr>
        <w:t xml:space="preserve"> </w:t>
      </w:r>
      <w:r w:rsidRPr="00FB0D94">
        <w:rPr>
          <w:rFonts w:ascii="Times New Roman" w:hAnsi="Times New Roman" w:cs="Times New Roman"/>
          <w:sz w:val="24"/>
          <w:szCs w:val="24"/>
        </w:rPr>
        <w:t>aux Etats-Unis (entre le 22 décembre 2018 et le 25 janvier 2019, avec menace de réactivation à partir du 15 février</w:t>
      </w:r>
      <w:r w:rsidR="002C30A1" w:rsidRPr="00FB0D94">
        <w:rPr>
          <w:rFonts w:ascii="Times New Roman" w:hAnsi="Times New Roman" w:cs="Times New Roman"/>
          <w:sz w:val="24"/>
          <w:szCs w:val="24"/>
        </w:rPr>
        <w:t>)</w:t>
      </w:r>
      <w:r w:rsidRPr="00FB0D94">
        <w:rPr>
          <w:rFonts w:ascii="Times New Roman" w:hAnsi="Times New Roman" w:cs="Times New Roman"/>
          <w:sz w:val="24"/>
          <w:szCs w:val="24"/>
        </w:rPr>
        <w:t>, les tensions commerciales entre la Chine et les Etats-Unis (durant tout le mois de décembre 2018 et touj</w:t>
      </w:r>
      <w:r w:rsidR="00572E1B" w:rsidRPr="00FB0D94">
        <w:rPr>
          <w:rFonts w:ascii="Times New Roman" w:hAnsi="Times New Roman" w:cs="Times New Roman"/>
          <w:sz w:val="24"/>
          <w:szCs w:val="24"/>
        </w:rPr>
        <w:t>ours en cours fin janvier 2019</w:t>
      </w:r>
      <w:r w:rsidRPr="00FB0D94">
        <w:rPr>
          <w:rFonts w:ascii="Times New Roman" w:hAnsi="Times New Roman" w:cs="Times New Roman"/>
          <w:sz w:val="24"/>
          <w:szCs w:val="24"/>
        </w:rPr>
        <w:t>)</w:t>
      </w:r>
      <w:r w:rsidR="00B66D68" w:rsidRPr="00FB0D94">
        <w:rPr>
          <w:rFonts w:ascii="Times New Roman" w:hAnsi="Times New Roman" w:cs="Times New Roman"/>
          <w:sz w:val="24"/>
          <w:szCs w:val="24"/>
        </w:rPr>
        <w:t xml:space="preserve"> et</w:t>
      </w:r>
      <w:r w:rsidRPr="00FB0D94">
        <w:rPr>
          <w:rFonts w:ascii="Times New Roman" w:hAnsi="Times New Roman" w:cs="Times New Roman"/>
          <w:sz w:val="24"/>
          <w:szCs w:val="24"/>
        </w:rPr>
        <w:t xml:space="preserve"> les anticipations de relèvement des taux d’intérêt par la Réserve Fédérale Américaine (19 décembre 2018).</w:t>
      </w:r>
      <w:r w:rsidR="002C72B7" w:rsidRPr="00FB0D94">
        <w:rPr>
          <w:rFonts w:ascii="Times New Roman" w:hAnsi="Times New Roman" w:cs="Times New Roman"/>
          <w:sz w:val="24"/>
          <w:szCs w:val="24"/>
        </w:rPr>
        <w:t xml:space="preserve"> </w:t>
      </w:r>
    </w:p>
    <w:p w14:paraId="41D88FEA" w14:textId="3B3AA1FA" w:rsidR="003E3D97" w:rsidRDefault="002C72B7" w:rsidP="0043080F">
      <w:pPr>
        <w:pStyle w:val="Paragraphedeliste"/>
        <w:spacing w:line="360" w:lineRule="auto"/>
        <w:ind w:left="709"/>
        <w:jc w:val="both"/>
        <w:rPr>
          <w:rFonts w:ascii="Times New Roman" w:hAnsi="Times New Roman" w:cs="Times New Roman"/>
          <w:sz w:val="24"/>
          <w:szCs w:val="24"/>
        </w:rPr>
      </w:pPr>
      <w:r w:rsidRPr="00A36379">
        <w:rPr>
          <w:rFonts w:ascii="Times New Roman" w:hAnsi="Times New Roman" w:cs="Times New Roman"/>
          <w:sz w:val="24"/>
          <w:szCs w:val="24"/>
        </w:rPr>
        <w:t>Au niveau des outils à disposition, le matériel pour l’analyse des résultats comprenait trois parties. Premièrement, les carnets de tradin</w:t>
      </w:r>
      <w:r w:rsidR="007E0863" w:rsidRPr="00A36379">
        <w:rPr>
          <w:rFonts w:ascii="Times New Roman" w:hAnsi="Times New Roman" w:cs="Times New Roman"/>
          <w:sz w:val="24"/>
          <w:szCs w:val="24"/>
        </w:rPr>
        <w:t xml:space="preserve">g avaient pour vocation de </w:t>
      </w:r>
      <w:r w:rsidRPr="00A36379">
        <w:rPr>
          <w:rFonts w:ascii="Times New Roman" w:hAnsi="Times New Roman" w:cs="Times New Roman"/>
          <w:sz w:val="24"/>
          <w:szCs w:val="24"/>
        </w:rPr>
        <w:t xml:space="preserve">donner des informations quant aux stratégies </w:t>
      </w:r>
      <w:r w:rsidR="005C1480" w:rsidRPr="00A36379">
        <w:rPr>
          <w:rFonts w:ascii="Times New Roman" w:hAnsi="Times New Roman" w:cs="Times New Roman"/>
          <w:sz w:val="24"/>
          <w:szCs w:val="24"/>
        </w:rPr>
        <w:t xml:space="preserve">et techniques </w:t>
      </w:r>
      <w:r w:rsidRPr="00A36379">
        <w:rPr>
          <w:rFonts w:ascii="Times New Roman" w:hAnsi="Times New Roman" w:cs="Times New Roman"/>
          <w:sz w:val="24"/>
          <w:szCs w:val="24"/>
        </w:rPr>
        <w:t>retenues, les raisons des mouvements financiers retenus ainsi que les moments auxquels ceux-ci ont été effectués. Il était également possible aux participants d’indiquer tout élément qui leur semblait pertinent.</w:t>
      </w:r>
      <w:r w:rsidR="00265286" w:rsidRPr="00A36379">
        <w:rPr>
          <w:rFonts w:ascii="Times New Roman" w:hAnsi="Times New Roman" w:cs="Times New Roman"/>
          <w:sz w:val="24"/>
          <w:szCs w:val="24"/>
        </w:rPr>
        <w:t xml:space="preserve"> </w:t>
      </w:r>
      <w:r w:rsidR="004B4FA0" w:rsidRPr="00A36379">
        <w:rPr>
          <w:rFonts w:ascii="Times New Roman" w:hAnsi="Times New Roman" w:cs="Times New Roman"/>
          <w:sz w:val="24"/>
          <w:szCs w:val="24"/>
        </w:rPr>
        <w:t>Ces carnets de trading représent</w:t>
      </w:r>
      <w:r w:rsidR="009D78B7">
        <w:rPr>
          <w:rFonts w:ascii="Times New Roman" w:hAnsi="Times New Roman" w:cs="Times New Roman"/>
          <w:sz w:val="24"/>
          <w:szCs w:val="24"/>
        </w:rPr>
        <w:t>ai</w:t>
      </w:r>
      <w:r w:rsidR="004B4FA0" w:rsidRPr="00A36379">
        <w:rPr>
          <w:rFonts w:ascii="Times New Roman" w:hAnsi="Times New Roman" w:cs="Times New Roman"/>
          <w:sz w:val="24"/>
          <w:szCs w:val="24"/>
        </w:rPr>
        <w:t xml:space="preserve">ent donc </w:t>
      </w:r>
      <w:r w:rsidR="00C60648" w:rsidRPr="00A36379">
        <w:rPr>
          <w:rFonts w:ascii="Times New Roman" w:hAnsi="Times New Roman" w:cs="Times New Roman"/>
          <w:sz w:val="24"/>
          <w:szCs w:val="24"/>
        </w:rPr>
        <w:t>un exercice de narration</w:t>
      </w:r>
      <w:r w:rsidR="00782737" w:rsidRPr="00A36379">
        <w:rPr>
          <w:rFonts w:ascii="Times New Roman" w:hAnsi="Times New Roman" w:cs="Times New Roman"/>
          <w:sz w:val="24"/>
          <w:szCs w:val="24"/>
        </w:rPr>
        <w:t xml:space="preserve"> </w:t>
      </w:r>
      <w:r w:rsidR="0098132C">
        <w:rPr>
          <w:rFonts w:ascii="Times New Roman" w:hAnsi="Times New Roman" w:cs="Times New Roman"/>
          <w:sz w:val="24"/>
          <w:szCs w:val="24"/>
        </w:rPr>
        <w:t xml:space="preserve">du groupe quant </w:t>
      </w:r>
      <w:r w:rsidR="00D61D0C">
        <w:rPr>
          <w:rFonts w:ascii="Times New Roman" w:hAnsi="Times New Roman" w:cs="Times New Roman"/>
          <w:sz w:val="24"/>
          <w:szCs w:val="24"/>
        </w:rPr>
        <w:t>à</w:t>
      </w:r>
      <w:r w:rsidR="004B4FA0" w:rsidRPr="00A36379">
        <w:rPr>
          <w:rFonts w:ascii="Times New Roman" w:hAnsi="Times New Roman" w:cs="Times New Roman"/>
          <w:sz w:val="24"/>
          <w:szCs w:val="24"/>
        </w:rPr>
        <w:t xml:space="preserve"> la manière avec laquelle l’expérience </w:t>
      </w:r>
      <w:r w:rsidR="00D61D0C">
        <w:rPr>
          <w:rFonts w:ascii="Times New Roman" w:hAnsi="Times New Roman" w:cs="Times New Roman"/>
          <w:sz w:val="24"/>
          <w:szCs w:val="24"/>
        </w:rPr>
        <w:t>était</w:t>
      </w:r>
      <w:r w:rsidR="004B4FA0" w:rsidRPr="00A36379">
        <w:rPr>
          <w:rFonts w:ascii="Times New Roman" w:hAnsi="Times New Roman" w:cs="Times New Roman"/>
          <w:sz w:val="24"/>
          <w:szCs w:val="24"/>
        </w:rPr>
        <w:t xml:space="preserve"> vécue. </w:t>
      </w:r>
      <w:r w:rsidR="00265286" w:rsidRPr="00A36379">
        <w:rPr>
          <w:rFonts w:ascii="Times New Roman" w:hAnsi="Times New Roman" w:cs="Times New Roman"/>
          <w:sz w:val="24"/>
          <w:szCs w:val="24"/>
        </w:rPr>
        <w:t xml:space="preserve">Deuxièmement, nous avons récolté par l’intermédiaire d’entretiens semi-directifs les impressions des étudiants dégagées couple par couple au sortir de l’expérience. L’objectif était qu’ils nous expliquent oralement leurs ressentis, la manière avec laquelle ils avaient vécu l’expérience, les stratégies de placements conduites ainsi que les raisons des éventuelles modifications de celles-ci, la gestion des liquidités, les outils mobilisés pour opérer leurs choix et leur </w:t>
      </w:r>
      <w:proofErr w:type="gramStart"/>
      <w:r w:rsidR="00265286" w:rsidRPr="00A36379">
        <w:rPr>
          <w:rFonts w:ascii="Times New Roman" w:hAnsi="Times New Roman" w:cs="Times New Roman"/>
          <w:sz w:val="24"/>
          <w:szCs w:val="24"/>
        </w:rPr>
        <w:t>timing</w:t>
      </w:r>
      <w:proofErr w:type="gramEnd"/>
      <w:r w:rsidR="00265286" w:rsidRPr="00A36379">
        <w:rPr>
          <w:rFonts w:ascii="Times New Roman" w:hAnsi="Times New Roman" w:cs="Times New Roman"/>
          <w:sz w:val="24"/>
          <w:szCs w:val="24"/>
        </w:rPr>
        <w:t xml:space="preserve"> de positionnement </w:t>
      </w:r>
      <w:r w:rsidR="00D27B52" w:rsidRPr="00A36379">
        <w:rPr>
          <w:rFonts w:ascii="Times New Roman" w:hAnsi="Times New Roman" w:cs="Times New Roman"/>
          <w:sz w:val="24"/>
          <w:szCs w:val="24"/>
        </w:rPr>
        <w:t>après chaque</w:t>
      </w:r>
      <w:r w:rsidR="00265286" w:rsidRPr="00A36379">
        <w:rPr>
          <w:rFonts w:ascii="Times New Roman" w:hAnsi="Times New Roman" w:cs="Times New Roman"/>
          <w:sz w:val="24"/>
          <w:szCs w:val="24"/>
        </w:rPr>
        <w:t xml:space="preserve"> journée</w:t>
      </w:r>
      <w:r w:rsidR="00572E1B" w:rsidRPr="00A36379">
        <w:rPr>
          <w:rFonts w:ascii="Times New Roman" w:hAnsi="Times New Roman" w:cs="Times New Roman"/>
          <w:sz w:val="24"/>
          <w:szCs w:val="24"/>
        </w:rPr>
        <w:t xml:space="preserve"> </w:t>
      </w:r>
      <w:r w:rsidR="00E01EBE" w:rsidRPr="00A36379">
        <w:rPr>
          <w:rFonts w:ascii="Times New Roman" w:hAnsi="Times New Roman" w:cs="Times New Roman"/>
          <w:sz w:val="24"/>
          <w:szCs w:val="24"/>
        </w:rPr>
        <w:t>ainsi qu’</w:t>
      </w:r>
      <w:r w:rsidR="00D27B52" w:rsidRPr="00A36379">
        <w:rPr>
          <w:rFonts w:ascii="Times New Roman" w:hAnsi="Times New Roman" w:cs="Times New Roman"/>
          <w:sz w:val="24"/>
          <w:szCs w:val="24"/>
        </w:rPr>
        <w:t>en fin de</w:t>
      </w:r>
      <w:r w:rsidR="00572E1B" w:rsidRPr="00A36379">
        <w:rPr>
          <w:rFonts w:ascii="Times New Roman" w:hAnsi="Times New Roman" w:cs="Times New Roman"/>
          <w:sz w:val="24"/>
          <w:szCs w:val="24"/>
        </w:rPr>
        <w:t xml:space="preserve"> semaine</w:t>
      </w:r>
      <w:r w:rsidR="00265286" w:rsidRPr="00A36379">
        <w:rPr>
          <w:rFonts w:ascii="Times New Roman" w:hAnsi="Times New Roman" w:cs="Times New Roman"/>
          <w:sz w:val="24"/>
          <w:szCs w:val="24"/>
        </w:rPr>
        <w:t>. Troisièmement, le lendemain de l’expérience, nous leur avons adressé un questionn</w:t>
      </w:r>
      <w:r w:rsidR="000651FD" w:rsidRPr="00A36379">
        <w:rPr>
          <w:rFonts w:ascii="Times New Roman" w:hAnsi="Times New Roman" w:cs="Times New Roman"/>
          <w:sz w:val="24"/>
          <w:szCs w:val="24"/>
        </w:rPr>
        <w:t xml:space="preserve">aire électronique </w:t>
      </w:r>
      <w:r w:rsidR="00265286" w:rsidRPr="00A36379">
        <w:rPr>
          <w:rFonts w:ascii="Times New Roman" w:hAnsi="Times New Roman" w:cs="Times New Roman"/>
          <w:sz w:val="24"/>
          <w:szCs w:val="24"/>
        </w:rPr>
        <w:t>de manière individualisée, en partant d</w:t>
      </w:r>
      <w:r w:rsidR="00474AB4" w:rsidRPr="00A36379">
        <w:rPr>
          <w:rFonts w:ascii="Times New Roman" w:hAnsi="Times New Roman" w:cs="Times New Roman"/>
          <w:sz w:val="24"/>
          <w:szCs w:val="24"/>
        </w:rPr>
        <w:t>u principe que</w:t>
      </w:r>
      <w:r w:rsidR="00554FF2">
        <w:rPr>
          <w:rFonts w:ascii="Times New Roman" w:hAnsi="Times New Roman" w:cs="Times New Roman"/>
          <w:sz w:val="24"/>
          <w:szCs w:val="24"/>
        </w:rPr>
        <w:t>,</w:t>
      </w:r>
      <w:r w:rsidR="00474AB4" w:rsidRPr="00A36379">
        <w:rPr>
          <w:rFonts w:ascii="Times New Roman" w:hAnsi="Times New Roman" w:cs="Times New Roman"/>
          <w:sz w:val="24"/>
          <w:szCs w:val="24"/>
        </w:rPr>
        <w:t xml:space="preserve"> peut-être, dans la mesure où </w:t>
      </w:r>
      <w:r w:rsidR="00265286" w:rsidRPr="00A36379">
        <w:rPr>
          <w:rFonts w:ascii="Times New Roman" w:hAnsi="Times New Roman" w:cs="Times New Roman"/>
          <w:sz w:val="24"/>
          <w:szCs w:val="24"/>
        </w:rPr>
        <w:t>ils travaillaient de manière couplée, ils ne s’étaient pas adressés à nous,</w:t>
      </w:r>
      <w:r w:rsidR="001901FE" w:rsidRPr="00A36379">
        <w:rPr>
          <w:rFonts w:ascii="Times New Roman" w:hAnsi="Times New Roman" w:cs="Times New Roman"/>
          <w:sz w:val="24"/>
          <w:szCs w:val="24"/>
        </w:rPr>
        <w:t xml:space="preserve"> lors des entretiens groupés</w:t>
      </w:r>
      <w:r w:rsidR="00265286" w:rsidRPr="00A36379">
        <w:rPr>
          <w:rFonts w:ascii="Times New Roman" w:hAnsi="Times New Roman" w:cs="Times New Roman"/>
          <w:sz w:val="24"/>
          <w:szCs w:val="24"/>
        </w:rPr>
        <w:t>, de manière totalement libérée.</w:t>
      </w:r>
      <w:r w:rsidR="00713D60" w:rsidRPr="00A36379">
        <w:rPr>
          <w:rFonts w:ascii="Times New Roman" w:hAnsi="Times New Roman" w:cs="Times New Roman"/>
          <w:sz w:val="24"/>
          <w:szCs w:val="24"/>
        </w:rPr>
        <w:t xml:space="preserve"> Sur base de ce triple matériau</w:t>
      </w:r>
      <w:r w:rsidR="00FD70F2" w:rsidRPr="00A36379">
        <w:rPr>
          <w:rFonts w:ascii="Times New Roman" w:hAnsi="Times New Roman" w:cs="Times New Roman"/>
          <w:sz w:val="24"/>
          <w:szCs w:val="24"/>
        </w:rPr>
        <w:t xml:space="preserve"> </w:t>
      </w:r>
      <w:r w:rsidR="00191842" w:rsidRPr="00A36379">
        <w:rPr>
          <w:rFonts w:ascii="Times New Roman" w:hAnsi="Times New Roman" w:cs="Times New Roman"/>
          <w:sz w:val="24"/>
          <w:szCs w:val="24"/>
        </w:rPr>
        <w:lastRenderedPageBreak/>
        <w:t>classiquement retenu dans les méthodologies</w:t>
      </w:r>
      <w:r w:rsidR="001D55FC" w:rsidRPr="00A36379">
        <w:rPr>
          <w:rFonts w:ascii="Times New Roman" w:hAnsi="Times New Roman" w:cs="Times New Roman"/>
          <w:sz w:val="24"/>
          <w:szCs w:val="24"/>
        </w:rPr>
        <w:t xml:space="preserve"> </w:t>
      </w:r>
      <w:r w:rsidR="00191842" w:rsidRPr="00A36379">
        <w:rPr>
          <w:rFonts w:ascii="Times New Roman" w:hAnsi="Times New Roman" w:cs="Times New Roman"/>
          <w:sz w:val="24"/>
          <w:szCs w:val="24"/>
        </w:rPr>
        <w:t>de recherche qualitative</w:t>
      </w:r>
      <w:r w:rsidR="001D55FC" w:rsidRPr="00A36379">
        <w:rPr>
          <w:rFonts w:ascii="Times New Roman" w:hAnsi="Times New Roman" w:cs="Times New Roman"/>
          <w:sz w:val="24"/>
          <w:szCs w:val="24"/>
        </w:rPr>
        <w:t xml:space="preserve"> (</w:t>
      </w:r>
      <w:r w:rsidR="00273E64" w:rsidRPr="00A36379">
        <w:rPr>
          <w:rFonts w:ascii="Times New Roman" w:hAnsi="Times New Roman" w:cs="Times New Roman"/>
          <w:sz w:val="24"/>
          <w:szCs w:val="24"/>
        </w:rPr>
        <w:t xml:space="preserve">Kohn L., </w:t>
      </w:r>
      <w:proofErr w:type="spellStart"/>
      <w:r w:rsidR="00273E64" w:rsidRPr="00A36379">
        <w:rPr>
          <w:rFonts w:ascii="Times New Roman" w:hAnsi="Times New Roman" w:cs="Times New Roman"/>
          <w:sz w:val="24"/>
          <w:szCs w:val="24"/>
        </w:rPr>
        <w:t>Christiaens</w:t>
      </w:r>
      <w:proofErr w:type="spellEnd"/>
      <w:r w:rsidR="00273E64" w:rsidRPr="00A36379">
        <w:rPr>
          <w:rFonts w:ascii="Times New Roman" w:hAnsi="Times New Roman" w:cs="Times New Roman"/>
          <w:sz w:val="24"/>
          <w:szCs w:val="24"/>
        </w:rPr>
        <w:t xml:space="preserve"> W., 2014)</w:t>
      </w:r>
      <w:r w:rsidR="001D55FC" w:rsidRPr="00A36379">
        <w:rPr>
          <w:rFonts w:ascii="Times New Roman" w:hAnsi="Times New Roman" w:cs="Times New Roman"/>
          <w:sz w:val="24"/>
          <w:szCs w:val="24"/>
        </w:rPr>
        <w:t xml:space="preserve"> - </w:t>
      </w:r>
      <w:r w:rsidR="00807961" w:rsidRPr="00A36379">
        <w:rPr>
          <w:rFonts w:ascii="Times New Roman" w:hAnsi="Times New Roman" w:cs="Times New Roman"/>
          <w:sz w:val="24"/>
          <w:szCs w:val="24"/>
        </w:rPr>
        <w:t>analyse de documents, entretiens et observations</w:t>
      </w:r>
      <w:r w:rsidR="001D55FC" w:rsidRPr="00A36379">
        <w:rPr>
          <w:rFonts w:ascii="Times New Roman" w:hAnsi="Times New Roman" w:cs="Times New Roman"/>
          <w:sz w:val="24"/>
          <w:szCs w:val="24"/>
        </w:rPr>
        <w:t xml:space="preserve"> –</w:t>
      </w:r>
      <w:r w:rsidR="00FD70F2" w:rsidRPr="00A36379">
        <w:rPr>
          <w:rFonts w:ascii="Times New Roman" w:hAnsi="Times New Roman" w:cs="Times New Roman"/>
          <w:sz w:val="24"/>
          <w:szCs w:val="24"/>
        </w:rPr>
        <w:t xml:space="preserve"> </w:t>
      </w:r>
      <w:r w:rsidR="001D55FC" w:rsidRPr="00A36379">
        <w:rPr>
          <w:rFonts w:ascii="Times New Roman" w:hAnsi="Times New Roman" w:cs="Times New Roman"/>
          <w:sz w:val="24"/>
          <w:szCs w:val="24"/>
        </w:rPr>
        <w:t xml:space="preserve">nous </w:t>
      </w:r>
      <w:r w:rsidR="00FD70F2" w:rsidRPr="00A36379">
        <w:rPr>
          <w:rFonts w:ascii="Times New Roman" w:hAnsi="Times New Roman" w:cs="Times New Roman"/>
          <w:sz w:val="24"/>
          <w:szCs w:val="24"/>
        </w:rPr>
        <w:t>vis</w:t>
      </w:r>
      <w:r w:rsidR="001D55FC" w:rsidRPr="00A36379">
        <w:rPr>
          <w:rFonts w:ascii="Times New Roman" w:hAnsi="Times New Roman" w:cs="Times New Roman"/>
          <w:sz w:val="24"/>
          <w:szCs w:val="24"/>
        </w:rPr>
        <w:t>ons</w:t>
      </w:r>
      <w:r w:rsidR="00FD70F2" w:rsidRPr="00A36379">
        <w:rPr>
          <w:rFonts w:ascii="Times New Roman" w:hAnsi="Times New Roman" w:cs="Times New Roman"/>
          <w:sz w:val="24"/>
          <w:szCs w:val="24"/>
        </w:rPr>
        <w:t xml:space="preserve"> à prendre en considération une diversité d’expression</w:t>
      </w:r>
      <w:r w:rsidR="00726141">
        <w:rPr>
          <w:rFonts w:ascii="Times New Roman" w:hAnsi="Times New Roman" w:cs="Times New Roman"/>
          <w:sz w:val="24"/>
          <w:szCs w:val="24"/>
        </w:rPr>
        <w:t>s</w:t>
      </w:r>
      <w:r w:rsidR="00DC3CB7" w:rsidRPr="00A36379">
        <w:rPr>
          <w:rFonts w:ascii="Times New Roman" w:hAnsi="Times New Roman" w:cs="Times New Roman"/>
          <w:sz w:val="24"/>
          <w:szCs w:val="24"/>
        </w:rPr>
        <w:t xml:space="preserve"> par rapport à un contexte commun</w:t>
      </w:r>
      <w:r w:rsidR="00521389" w:rsidRPr="00A36379">
        <w:rPr>
          <w:rFonts w:ascii="Times New Roman" w:hAnsi="Times New Roman" w:cs="Times New Roman"/>
          <w:sz w:val="24"/>
          <w:szCs w:val="24"/>
        </w:rPr>
        <w:t>.</w:t>
      </w:r>
      <w:r w:rsidR="00713D60" w:rsidRPr="00A36379">
        <w:rPr>
          <w:rFonts w:ascii="Times New Roman" w:hAnsi="Times New Roman" w:cs="Times New Roman"/>
          <w:sz w:val="24"/>
          <w:szCs w:val="24"/>
        </w:rPr>
        <w:t xml:space="preserve"> </w:t>
      </w:r>
      <w:r w:rsidR="00521389" w:rsidRPr="00A36379">
        <w:rPr>
          <w:rFonts w:ascii="Times New Roman" w:hAnsi="Times New Roman" w:cs="Times New Roman"/>
          <w:sz w:val="24"/>
          <w:szCs w:val="24"/>
        </w:rPr>
        <w:t>N</w:t>
      </w:r>
      <w:r w:rsidR="00713D60" w:rsidRPr="00A36379">
        <w:rPr>
          <w:rFonts w:ascii="Times New Roman" w:hAnsi="Times New Roman" w:cs="Times New Roman"/>
          <w:sz w:val="24"/>
          <w:szCs w:val="24"/>
        </w:rPr>
        <w:t xml:space="preserve">ous avons </w:t>
      </w:r>
      <w:r w:rsidR="00521389" w:rsidRPr="00A36379">
        <w:rPr>
          <w:rFonts w:ascii="Times New Roman" w:hAnsi="Times New Roman" w:cs="Times New Roman"/>
          <w:sz w:val="24"/>
          <w:szCs w:val="24"/>
        </w:rPr>
        <w:t xml:space="preserve">ainsi essayé de </w:t>
      </w:r>
      <w:r w:rsidR="00713D60" w:rsidRPr="00A36379">
        <w:rPr>
          <w:rFonts w:ascii="Times New Roman" w:hAnsi="Times New Roman" w:cs="Times New Roman"/>
          <w:sz w:val="24"/>
          <w:szCs w:val="24"/>
        </w:rPr>
        <w:t>fai</w:t>
      </w:r>
      <w:r w:rsidR="00521389" w:rsidRPr="00A36379">
        <w:rPr>
          <w:rFonts w:ascii="Times New Roman" w:hAnsi="Times New Roman" w:cs="Times New Roman"/>
          <w:sz w:val="24"/>
          <w:szCs w:val="24"/>
        </w:rPr>
        <w:t>re</w:t>
      </w:r>
      <w:r w:rsidR="00713D60" w:rsidRPr="00A36379">
        <w:rPr>
          <w:rFonts w:ascii="Times New Roman" w:hAnsi="Times New Roman" w:cs="Times New Roman"/>
          <w:sz w:val="24"/>
          <w:szCs w:val="24"/>
        </w:rPr>
        <w:t xml:space="preserve"> émerger </w:t>
      </w:r>
      <w:r w:rsidR="00B954CC" w:rsidRPr="00A36379">
        <w:rPr>
          <w:rFonts w:ascii="Times New Roman" w:hAnsi="Times New Roman" w:cs="Times New Roman"/>
          <w:sz w:val="24"/>
          <w:szCs w:val="24"/>
        </w:rPr>
        <w:t>– sans généralisation abusive</w:t>
      </w:r>
      <w:r w:rsidR="007C3FD0" w:rsidRPr="00A36379">
        <w:rPr>
          <w:rFonts w:ascii="Times New Roman" w:hAnsi="Times New Roman" w:cs="Times New Roman"/>
          <w:sz w:val="24"/>
          <w:szCs w:val="24"/>
        </w:rPr>
        <w:t xml:space="preserve"> </w:t>
      </w:r>
      <w:r w:rsidR="006F17CA" w:rsidRPr="00A36379">
        <w:rPr>
          <w:rFonts w:ascii="Times New Roman" w:hAnsi="Times New Roman" w:cs="Times New Roman"/>
          <w:sz w:val="24"/>
          <w:szCs w:val="24"/>
        </w:rPr>
        <w:t>–</w:t>
      </w:r>
      <w:r w:rsidR="007C3FD0" w:rsidRPr="00A36379">
        <w:rPr>
          <w:rFonts w:ascii="Times New Roman" w:hAnsi="Times New Roman" w:cs="Times New Roman"/>
          <w:sz w:val="24"/>
          <w:szCs w:val="24"/>
        </w:rPr>
        <w:t xml:space="preserve"> </w:t>
      </w:r>
      <w:r w:rsidR="00A12A2B" w:rsidRPr="00A36379">
        <w:rPr>
          <w:rFonts w:ascii="Times New Roman" w:hAnsi="Times New Roman" w:cs="Times New Roman"/>
          <w:sz w:val="24"/>
          <w:szCs w:val="24"/>
        </w:rPr>
        <w:t>un</w:t>
      </w:r>
      <w:r w:rsidR="006F17CA" w:rsidRPr="00A36379">
        <w:rPr>
          <w:rFonts w:ascii="Times New Roman" w:hAnsi="Times New Roman" w:cs="Times New Roman"/>
          <w:sz w:val="24"/>
          <w:szCs w:val="24"/>
        </w:rPr>
        <w:t>e articulation</w:t>
      </w:r>
      <w:r w:rsidR="00713D60" w:rsidRPr="00A36379">
        <w:rPr>
          <w:rFonts w:ascii="Times New Roman" w:hAnsi="Times New Roman" w:cs="Times New Roman"/>
          <w:sz w:val="24"/>
          <w:szCs w:val="24"/>
        </w:rPr>
        <w:t xml:space="preserve"> </w:t>
      </w:r>
      <w:r w:rsidR="00A12A2B" w:rsidRPr="00A36379">
        <w:rPr>
          <w:rFonts w:ascii="Times New Roman" w:hAnsi="Times New Roman" w:cs="Times New Roman"/>
          <w:sz w:val="24"/>
          <w:szCs w:val="24"/>
        </w:rPr>
        <w:t>d’</w:t>
      </w:r>
      <w:r w:rsidR="00713D60" w:rsidRPr="00A36379">
        <w:rPr>
          <w:rFonts w:ascii="Times New Roman" w:hAnsi="Times New Roman" w:cs="Times New Roman"/>
          <w:sz w:val="24"/>
          <w:szCs w:val="24"/>
        </w:rPr>
        <w:t>éléments</w:t>
      </w:r>
      <w:r w:rsidR="00D750AA" w:rsidRPr="00A36379">
        <w:rPr>
          <w:rFonts w:ascii="Times New Roman" w:hAnsi="Times New Roman" w:cs="Times New Roman"/>
          <w:sz w:val="24"/>
          <w:szCs w:val="24"/>
        </w:rPr>
        <w:t xml:space="preserve"> </w:t>
      </w:r>
      <w:r w:rsidR="00276FF7" w:rsidRPr="00A36379">
        <w:rPr>
          <w:rFonts w:ascii="Times New Roman" w:hAnsi="Times New Roman" w:cs="Times New Roman"/>
          <w:sz w:val="24"/>
          <w:szCs w:val="24"/>
        </w:rPr>
        <w:t>dont la</w:t>
      </w:r>
      <w:r w:rsidR="00975048" w:rsidRPr="00A36379">
        <w:rPr>
          <w:rFonts w:ascii="Times New Roman" w:hAnsi="Times New Roman" w:cs="Times New Roman"/>
          <w:sz w:val="24"/>
          <w:szCs w:val="24"/>
        </w:rPr>
        <w:t xml:space="preserve"> </w:t>
      </w:r>
      <w:r w:rsidR="0011457D" w:rsidRPr="00A36379">
        <w:rPr>
          <w:rFonts w:ascii="Times New Roman" w:hAnsi="Times New Roman" w:cs="Times New Roman"/>
          <w:sz w:val="24"/>
          <w:szCs w:val="24"/>
        </w:rPr>
        <w:t xml:space="preserve">forte </w:t>
      </w:r>
      <w:r w:rsidR="00A12A2B" w:rsidRPr="00A36379">
        <w:rPr>
          <w:rFonts w:ascii="Times New Roman" w:hAnsi="Times New Roman" w:cs="Times New Roman"/>
          <w:sz w:val="24"/>
          <w:szCs w:val="24"/>
        </w:rPr>
        <w:t>congruen</w:t>
      </w:r>
      <w:r w:rsidR="00ED5B33" w:rsidRPr="00A36379">
        <w:rPr>
          <w:rFonts w:ascii="Times New Roman" w:hAnsi="Times New Roman" w:cs="Times New Roman"/>
          <w:sz w:val="24"/>
          <w:szCs w:val="24"/>
        </w:rPr>
        <w:t>ce</w:t>
      </w:r>
      <w:r w:rsidR="00A12A2B" w:rsidRPr="00A36379">
        <w:rPr>
          <w:rFonts w:ascii="Times New Roman" w:hAnsi="Times New Roman" w:cs="Times New Roman"/>
          <w:sz w:val="24"/>
          <w:szCs w:val="24"/>
        </w:rPr>
        <w:t xml:space="preserve"> </w:t>
      </w:r>
      <w:r w:rsidR="0011457D" w:rsidRPr="00A36379">
        <w:rPr>
          <w:rFonts w:ascii="Times New Roman" w:hAnsi="Times New Roman" w:cs="Times New Roman"/>
          <w:sz w:val="24"/>
          <w:szCs w:val="24"/>
        </w:rPr>
        <w:t xml:space="preserve">a eu </w:t>
      </w:r>
      <w:r w:rsidR="00A12A2B" w:rsidRPr="00A36379">
        <w:rPr>
          <w:rFonts w:ascii="Times New Roman" w:hAnsi="Times New Roman" w:cs="Times New Roman"/>
          <w:sz w:val="24"/>
          <w:szCs w:val="24"/>
        </w:rPr>
        <w:t>pour vocation de répondre à notre question de recherche.</w:t>
      </w:r>
      <w:r w:rsidR="006407A8" w:rsidRPr="00A36379">
        <w:rPr>
          <w:rFonts w:ascii="Times New Roman" w:hAnsi="Times New Roman" w:cs="Times New Roman"/>
          <w:sz w:val="24"/>
          <w:szCs w:val="24"/>
        </w:rPr>
        <w:t xml:space="preserve"> La volonté</w:t>
      </w:r>
      <w:r w:rsidR="00F011DB" w:rsidRPr="00A36379">
        <w:rPr>
          <w:rFonts w:ascii="Times New Roman" w:hAnsi="Times New Roman" w:cs="Times New Roman"/>
          <w:sz w:val="24"/>
          <w:szCs w:val="24"/>
        </w:rPr>
        <w:t xml:space="preserve"> – en paraphrasant </w:t>
      </w:r>
      <w:proofErr w:type="spellStart"/>
      <w:r w:rsidR="009340C2" w:rsidRPr="00A36379">
        <w:rPr>
          <w:rFonts w:ascii="Times New Roman" w:hAnsi="Times New Roman" w:cs="Times New Roman"/>
          <w:sz w:val="24"/>
          <w:szCs w:val="24"/>
        </w:rPr>
        <w:t>Spezi</w:t>
      </w:r>
      <w:proofErr w:type="spellEnd"/>
      <w:r w:rsidR="009340C2" w:rsidRPr="00A36379">
        <w:rPr>
          <w:rFonts w:ascii="Times New Roman" w:hAnsi="Times New Roman" w:cs="Times New Roman"/>
          <w:sz w:val="24"/>
          <w:szCs w:val="24"/>
        </w:rPr>
        <w:t xml:space="preserve"> V.</w:t>
      </w:r>
      <w:r w:rsidR="00F415A2" w:rsidRPr="00A36379">
        <w:rPr>
          <w:rFonts w:ascii="Times New Roman" w:hAnsi="Times New Roman" w:cs="Times New Roman"/>
          <w:sz w:val="24"/>
          <w:szCs w:val="24"/>
        </w:rPr>
        <w:t xml:space="preserve"> (</w:t>
      </w:r>
      <w:r w:rsidR="009340C2" w:rsidRPr="00A36379">
        <w:rPr>
          <w:rFonts w:ascii="Times New Roman" w:hAnsi="Times New Roman" w:cs="Times New Roman"/>
          <w:sz w:val="24"/>
          <w:szCs w:val="24"/>
        </w:rPr>
        <w:t>2015</w:t>
      </w:r>
      <w:r w:rsidR="00F415A2" w:rsidRPr="00A36379">
        <w:rPr>
          <w:rFonts w:ascii="Times New Roman" w:hAnsi="Times New Roman" w:cs="Times New Roman"/>
          <w:sz w:val="24"/>
          <w:szCs w:val="24"/>
        </w:rPr>
        <w:t>)</w:t>
      </w:r>
      <w:r w:rsidR="009340C2" w:rsidRPr="00A36379">
        <w:rPr>
          <w:rFonts w:ascii="Times New Roman" w:hAnsi="Times New Roman" w:cs="Times New Roman"/>
          <w:sz w:val="24"/>
          <w:szCs w:val="24"/>
        </w:rPr>
        <w:t xml:space="preserve"> - </w:t>
      </w:r>
      <w:r w:rsidR="00341A0B" w:rsidRPr="00823C4D">
        <w:rPr>
          <w:rFonts w:ascii="Times New Roman" w:hAnsi="Times New Roman" w:cs="Times New Roman"/>
          <w:i/>
          <w:iCs/>
          <w:sz w:val="24"/>
          <w:szCs w:val="24"/>
        </w:rPr>
        <w:t>était</w:t>
      </w:r>
      <w:r w:rsidR="00903FD3" w:rsidRPr="00823C4D">
        <w:rPr>
          <w:rFonts w:ascii="Times New Roman" w:hAnsi="Times New Roman" w:cs="Times New Roman"/>
          <w:i/>
          <w:iCs/>
          <w:sz w:val="24"/>
          <w:szCs w:val="24"/>
        </w:rPr>
        <w:t xml:space="preserve"> de rendre compte de ce qui s’</w:t>
      </w:r>
      <w:r w:rsidR="00341A0B" w:rsidRPr="00823C4D">
        <w:rPr>
          <w:rFonts w:ascii="Times New Roman" w:hAnsi="Times New Roman" w:cs="Times New Roman"/>
          <w:i/>
          <w:iCs/>
          <w:sz w:val="24"/>
          <w:szCs w:val="24"/>
        </w:rPr>
        <w:t>était</w:t>
      </w:r>
      <w:r w:rsidR="00903FD3" w:rsidRPr="00823C4D">
        <w:rPr>
          <w:rFonts w:ascii="Times New Roman" w:hAnsi="Times New Roman" w:cs="Times New Roman"/>
          <w:i/>
          <w:iCs/>
          <w:sz w:val="24"/>
          <w:szCs w:val="24"/>
        </w:rPr>
        <w:t xml:space="preserve"> </w:t>
      </w:r>
      <w:r w:rsidR="00F415A2" w:rsidRPr="00823C4D">
        <w:rPr>
          <w:rFonts w:ascii="Times New Roman" w:hAnsi="Times New Roman" w:cs="Times New Roman"/>
          <w:i/>
          <w:iCs/>
          <w:sz w:val="24"/>
          <w:szCs w:val="24"/>
        </w:rPr>
        <w:t>produit</w:t>
      </w:r>
      <w:r w:rsidR="00F415A2" w:rsidRPr="00A36379">
        <w:rPr>
          <w:rFonts w:ascii="Times New Roman" w:hAnsi="Times New Roman" w:cs="Times New Roman"/>
          <w:sz w:val="24"/>
          <w:szCs w:val="24"/>
        </w:rPr>
        <w:t>.</w:t>
      </w:r>
    </w:p>
    <w:p w14:paraId="4C72C5CC" w14:textId="77777777" w:rsidR="0043080F" w:rsidRPr="0043080F" w:rsidRDefault="0043080F" w:rsidP="0043080F">
      <w:pPr>
        <w:pStyle w:val="Paragraphedeliste"/>
        <w:spacing w:line="360" w:lineRule="auto"/>
        <w:ind w:left="709"/>
        <w:jc w:val="both"/>
        <w:rPr>
          <w:rFonts w:ascii="Times New Roman" w:hAnsi="Times New Roman" w:cs="Times New Roman"/>
          <w:sz w:val="24"/>
          <w:szCs w:val="24"/>
        </w:rPr>
      </w:pPr>
    </w:p>
    <w:p w14:paraId="62FAA0AA" w14:textId="77777777" w:rsidR="00003801" w:rsidRPr="00EA4DA4" w:rsidRDefault="00003801" w:rsidP="00003801">
      <w:pPr>
        <w:pStyle w:val="Paragraphedeliste"/>
        <w:numPr>
          <w:ilvl w:val="0"/>
          <w:numId w:val="1"/>
        </w:numPr>
        <w:spacing w:line="240" w:lineRule="auto"/>
        <w:jc w:val="both"/>
        <w:rPr>
          <w:rFonts w:ascii="Times New Roman" w:hAnsi="Times New Roman" w:cs="Times New Roman"/>
          <w:b/>
          <w:sz w:val="28"/>
          <w:szCs w:val="28"/>
          <w:u w:val="single"/>
        </w:rPr>
      </w:pPr>
      <w:r w:rsidRPr="00EA4DA4">
        <w:rPr>
          <w:rFonts w:ascii="Times New Roman" w:hAnsi="Times New Roman" w:cs="Times New Roman"/>
          <w:b/>
          <w:sz w:val="28"/>
          <w:szCs w:val="28"/>
          <w:u w:val="single"/>
        </w:rPr>
        <w:t>Résultats et analyses</w:t>
      </w:r>
    </w:p>
    <w:p w14:paraId="43F272C6" w14:textId="77777777" w:rsidR="00D10276" w:rsidRDefault="00D10276" w:rsidP="00D10276">
      <w:pPr>
        <w:pStyle w:val="Paragraphedeliste"/>
        <w:spacing w:line="240" w:lineRule="auto"/>
        <w:jc w:val="both"/>
        <w:rPr>
          <w:sz w:val="26"/>
          <w:szCs w:val="26"/>
        </w:rPr>
      </w:pPr>
    </w:p>
    <w:p w14:paraId="2DA9B835" w14:textId="34B879D0" w:rsidR="00F7315D" w:rsidRPr="00FB0D94" w:rsidRDefault="00A73B85" w:rsidP="00FB0D94">
      <w:pPr>
        <w:pStyle w:val="Paragraphedeliste"/>
        <w:spacing w:line="360" w:lineRule="auto"/>
        <w:ind w:left="709"/>
        <w:jc w:val="both"/>
        <w:rPr>
          <w:rFonts w:ascii="Times New Roman" w:hAnsi="Times New Roman" w:cs="Times New Roman"/>
          <w:sz w:val="24"/>
          <w:szCs w:val="24"/>
        </w:rPr>
      </w:pPr>
      <w:r w:rsidRPr="00FB0D94">
        <w:rPr>
          <w:rFonts w:ascii="Times New Roman" w:hAnsi="Times New Roman" w:cs="Times New Roman"/>
          <w:sz w:val="24"/>
          <w:szCs w:val="24"/>
        </w:rPr>
        <w:t>Au niveau informationnel, l</w:t>
      </w:r>
      <w:r w:rsidR="00D10276" w:rsidRPr="00FB0D94">
        <w:rPr>
          <w:rFonts w:ascii="Times New Roman" w:hAnsi="Times New Roman" w:cs="Times New Roman"/>
          <w:sz w:val="24"/>
          <w:szCs w:val="24"/>
        </w:rPr>
        <w:t>e rôle de la traduction en termes boursiers leur semblait dévolu à d’autres acteurs de marché. Ils avaient la sensation d’être systématiquement</w:t>
      </w:r>
      <w:r w:rsidR="00E56964" w:rsidRPr="00FB0D94">
        <w:rPr>
          <w:rFonts w:ascii="Times New Roman" w:hAnsi="Times New Roman" w:cs="Times New Roman"/>
          <w:sz w:val="24"/>
          <w:szCs w:val="24"/>
        </w:rPr>
        <w:t xml:space="preserve"> en retard sur les autres intervenants</w:t>
      </w:r>
      <w:r w:rsidRPr="00FB0D94">
        <w:rPr>
          <w:rFonts w:ascii="Times New Roman" w:hAnsi="Times New Roman" w:cs="Times New Roman"/>
          <w:sz w:val="24"/>
          <w:szCs w:val="24"/>
        </w:rPr>
        <w:t>. L’</w:t>
      </w:r>
      <w:r w:rsidR="00D10276" w:rsidRPr="00FB0D94">
        <w:rPr>
          <w:rFonts w:ascii="Times New Roman" w:hAnsi="Times New Roman" w:cs="Times New Roman"/>
          <w:sz w:val="24"/>
          <w:szCs w:val="24"/>
        </w:rPr>
        <w:t>utilisatio</w:t>
      </w:r>
      <w:r w:rsidR="00FE588A" w:rsidRPr="00FB0D94">
        <w:rPr>
          <w:rFonts w:ascii="Times New Roman" w:hAnsi="Times New Roman" w:cs="Times New Roman"/>
          <w:sz w:val="24"/>
          <w:szCs w:val="24"/>
        </w:rPr>
        <w:t>n de l’information sur base de leurs</w:t>
      </w:r>
      <w:r w:rsidR="00D10276" w:rsidRPr="00FB0D94">
        <w:rPr>
          <w:rFonts w:ascii="Times New Roman" w:hAnsi="Times New Roman" w:cs="Times New Roman"/>
          <w:sz w:val="24"/>
          <w:szCs w:val="24"/>
        </w:rPr>
        <w:t xml:space="preserve"> jugement</w:t>
      </w:r>
      <w:r w:rsidR="00FE588A" w:rsidRPr="00FB0D94">
        <w:rPr>
          <w:rFonts w:ascii="Times New Roman" w:hAnsi="Times New Roman" w:cs="Times New Roman"/>
          <w:sz w:val="24"/>
          <w:szCs w:val="24"/>
        </w:rPr>
        <w:t>s</w:t>
      </w:r>
      <w:r w:rsidR="00D10276" w:rsidRPr="00FB0D94">
        <w:rPr>
          <w:rFonts w:ascii="Times New Roman" w:hAnsi="Times New Roman" w:cs="Times New Roman"/>
          <w:sz w:val="24"/>
          <w:szCs w:val="24"/>
        </w:rPr>
        <w:t xml:space="preserve"> personnel</w:t>
      </w:r>
      <w:r w:rsidR="00FE588A" w:rsidRPr="00FB0D94">
        <w:rPr>
          <w:rFonts w:ascii="Times New Roman" w:hAnsi="Times New Roman" w:cs="Times New Roman"/>
          <w:sz w:val="24"/>
          <w:szCs w:val="24"/>
        </w:rPr>
        <w:t>s</w:t>
      </w:r>
      <w:r w:rsidR="00D10276" w:rsidRPr="00FB0D94">
        <w:rPr>
          <w:rFonts w:ascii="Times New Roman" w:hAnsi="Times New Roman" w:cs="Times New Roman"/>
          <w:sz w:val="24"/>
          <w:szCs w:val="24"/>
        </w:rPr>
        <w:t xml:space="preserve"> s’avérait décevan</w:t>
      </w:r>
      <w:r w:rsidR="00FE588A" w:rsidRPr="00FB0D94">
        <w:rPr>
          <w:rFonts w:ascii="Times New Roman" w:hAnsi="Times New Roman" w:cs="Times New Roman"/>
          <w:sz w:val="24"/>
          <w:szCs w:val="24"/>
        </w:rPr>
        <w:t>te</w:t>
      </w:r>
      <w:r w:rsidR="00D10276" w:rsidRPr="00FB0D94">
        <w:rPr>
          <w:rFonts w:ascii="Times New Roman" w:hAnsi="Times New Roman" w:cs="Times New Roman"/>
          <w:sz w:val="24"/>
          <w:szCs w:val="24"/>
        </w:rPr>
        <w:t>.</w:t>
      </w:r>
      <w:r w:rsidR="00FE588A" w:rsidRPr="00FB0D94">
        <w:rPr>
          <w:rFonts w:ascii="Times New Roman" w:hAnsi="Times New Roman" w:cs="Times New Roman"/>
          <w:sz w:val="24"/>
          <w:szCs w:val="24"/>
        </w:rPr>
        <w:t xml:space="preserve"> </w:t>
      </w:r>
      <w:r w:rsidR="008B3D74" w:rsidRPr="00FB0D94">
        <w:rPr>
          <w:rFonts w:ascii="Times New Roman" w:hAnsi="Times New Roman" w:cs="Times New Roman"/>
          <w:sz w:val="24"/>
          <w:szCs w:val="24"/>
        </w:rPr>
        <w:t>Une explication réside dans le fait</w:t>
      </w:r>
      <w:r w:rsidR="00C43500" w:rsidRPr="00FB0D94">
        <w:rPr>
          <w:rFonts w:ascii="Times New Roman" w:hAnsi="Times New Roman" w:cs="Times New Roman"/>
          <w:sz w:val="24"/>
          <w:szCs w:val="24"/>
        </w:rPr>
        <w:t xml:space="preserve"> qu’ils ne parv</w:t>
      </w:r>
      <w:r w:rsidR="008B3D74" w:rsidRPr="00FB0D94">
        <w:rPr>
          <w:rFonts w:ascii="Times New Roman" w:hAnsi="Times New Roman" w:cs="Times New Roman"/>
          <w:sz w:val="24"/>
          <w:szCs w:val="24"/>
        </w:rPr>
        <w:t>en</w:t>
      </w:r>
      <w:r w:rsidR="00C43500" w:rsidRPr="00FB0D94">
        <w:rPr>
          <w:rFonts w:ascii="Times New Roman" w:hAnsi="Times New Roman" w:cs="Times New Roman"/>
          <w:sz w:val="24"/>
          <w:szCs w:val="24"/>
        </w:rPr>
        <w:t>aien</w:t>
      </w:r>
      <w:r w:rsidR="008B3D74" w:rsidRPr="00FB0D94">
        <w:rPr>
          <w:rFonts w:ascii="Times New Roman" w:hAnsi="Times New Roman" w:cs="Times New Roman"/>
          <w:sz w:val="24"/>
          <w:szCs w:val="24"/>
        </w:rPr>
        <w:t xml:space="preserve">t pas à faire le tri dans les flux informationnels (des informations nationales se </w:t>
      </w:r>
      <w:r w:rsidR="004B22C2" w:rsidRPr="00FB0D94">
        <w:rPr>
          <w:rFonts w:ascii="Times New Roman" w:hAnsi="Times New Roman" w:cs="Times New Roman"/>
          <w:sz w:val="24"/>
          <w:szCs w:val="24"/>
        </w:rPr>
        <w:t>mélangeaient</w:t>
      </w:r>
      <w:r w:rsidR="008B3D74" w:rsidRPr="00FB0D94">
        <w:rPr>
          <w:rFonts w:ascii="Times New Roman" w:hAnsi="Times New Roman" w:cs="Times New Roman"/>
          <w:sz w:val="24"/>
          <w:szCs w:val="24"/>
        </w:rPr>
        <w:t xml:space="preserve"> aux nouvelles internationales, des annonces macroéconomiques s’entremêl</w:t>
      </w:r>
      <w:r w:rsidR="00E8477D" w:rsidRPr="00FB0D94">
        <w:rPr>
          <w:rFonts w:ascii="Times New Roman" w:hAnsi="Times New Roman" w:cs="Times New Roman"/>
          <w:sz w:val="24"/>
          <w:szCs w:val="24"/>
        </w:rPr>
        <w:t>ai</w:t>
      </w:r>
      <w:r w:rsidR="008B3D74" w:rsidRPr="00FB0D94">
        <w:rPr>
          <w:rFonts w:ascii="Times New Roman" w:hAnsi="Times New Roman" w:cs="Times New Roman"/>
          <w:sz w:val="24"/>
          <w:szCs w:val="24"/>
        </w:rPr>
        <w:t>ent à des annonces en provenance des entreprises, des év</w:t>
      </w:r>
      <w:r w:rsidR="00E8477D" w:rsidRPr="00FB0D94">
        <w:rPr>
          <w:rFonts w:ascii="Times New Roman" w:hAnsi="Times New Roman" w:cs="Times New Roman"/>
          <w:sz w:val="24"/>
          <w:szCs w:val="24"/>
        </w:rPr>
        <w:t>énements géopolitiques succé</w:t>
      </w:r>
      <w:r w:rsidR="008B3D74" w:rsidRPr="00FB0D94">
        <w:rPr>
          <w:rFonts w:ascii="Times New Roman" w:hAnsi="Times New Roman" w:cs="Times New Roman"/>
          <w:sz w:val="24"/>
          <w:szCs w:val="24"/>
        </w:rPr>
        <w:t>d</w:t>
      </w:r>
      <w:r w:rsidR="00E8477D" w:rsidRPr="00FB0D94">
        <w:rPr>
          <w:rFonts w:ascii="Times New Roman" w:hAnsi="Times New Roman" w:cs="Times New Roman"/>
          <w:sz w:val="24"/>
          <w:szCs w:val="24"/>
        </w:rPr>
        <w:t>ai</w:t>
      </w:r>
      <w:r w:rsidR="008B3D74" w:rsidRPr="00FB0D94">
        <w:rPr>
          <w:rFonts w:ascii="Times New Roman" w:hAnsi="Times New Roman" w:cs="Times New Roman"/>
          <w:sz w:val="24"/>
          <w:szCs w:val="24"/>
        </w:rPr>
        <w:t xml:space="preserve">ent à des faits </w:t>
      </w:r>
      <w:r w:rsidR="00447281" w:rsidRPr="00FB0D94">
        <w:rPr>
          <w:rFonts w:ascii="Times New Roman" w:hAnsi="Times New Roman" w:cs="Times New Roman"/>
          <w:sz w:val="24"/>
          <w:szCs w:val="24"/>
        </w:rPr>
        <w:t>divers…</w:t>
      </w:r>
      <w:r w:rsidR="008B3D74" w:rsidRPr="00FB0D94">
        <w:rPr>
          <w:rFonts w:ascii="Times New Roman" w:hAnsi="Times New Roman" w:cs="Times New Roman"/>
          <w:sz w:val="24"/>
          <w:szCs w:val="24"/>
        </w:rPr>
        <w:t xml:space="preserve">). </w:t>
      </w:r>
    </w:p>
    <w:p w14:paraId="61DAFA8A" w14:textId="6D36E28E" w:rsidR="00652B41" w:rsidRDefault="009C019D" w:rsidP="00652B41">
      <w:pPr>
        <w:pStyle w:val="Paragraphedeliste"/>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L</w:t>
      </w:r>
      <w:r w:rsidR="00FE588A" w:rsidRPr="00FB0D94">
        <w:rPr>
          <w:rFonts w:ascii="Times New Roman" w:hAnsi="Times New Roman" w:cs="Times New Roman"/>
          <w:sz w:val="24"/>
          <w:szCs w:val="24"/>
        </w:rPr>
        <w:t xml:space="preserve">’information </w:t>
      </w:r>
      <w:r w:rsidR="00D10276" w:rsidRPr="00FB0D94">
        <w:rPr>
          <w:rFonts w:ascii="Times New Roman" w:hAnsi="Times New Roman" w:cs="Times New Roman"/>
          <w:sz w:val="24"/>
          <w:szCs w:val="24"/>
        </w:rPr>
        <w:t>n’a été que très peu utilisée</w:t>
      </w:r>
      <w:r w:rsidR="00F71C52" w:rsidRPr="00FB0D94">
        <w:rPr>
          <w:rFonts w:ascii="Times New Roman" w:hAnsi="Times New Roman" w:cs="Times New Roman"/>
          <w:sz w:val="24"/>
          <w:szCs w:val="24"/>
        </w:rPr>
        <w:t xml:space="preserve"> (</w:t>
      </w:r>
      <w:r w:rsidR="00C9419C" w:rsidRPr="00FB0D94">
        <w:rPr>
          <w:rFonts w:ascii="Times New Roman" w:hAnsi="Times New Roman" w:cs="Times New Roman"/>
          <w:sz w:val="24"/>
          <w:szCs w:val="24"/>
        </w:rPr>
        <w:t xml:space="preserve">au sens d’un traitement </w:t>
      </w:r>
      <w:r w:rsidR="00220B34" w:rsidRPr="00FB0D94">
        <w:rPr>
          <w:rFonts w:ascii="Times New Roman" w:hAnsi="Times New Roman" w:cs="Times New Roman"/>
          <w:sz w:val="24"/>
          <w:szCs w:val="24"/>
        </w:rPr>
        <w:t xml:space="preserve">effectué de manière </w:t>
      </w:r>
      <w:r w:rsidR="00C9419C" w:rsidRPr="00FB0D94">
        <w:rPr>
          <w:rFonts w:ascii="Times New Roman" w:hAnsi="Times New Roman" w:cs="Times New Roman"/>
          <w:sz w:val="24"/>
          <w:szCs w:val="24"/>
        </w:rPr>
        <w:t>personnel</w:t>
      </w:r>
      <w:r w:rsidR="00220B34" w:rsidRPr="00FB0D94">
        <w:rPr>
          <w:rFonts w:ascii="Times New Roman" w:hAnsi="Times New Roman" w:cs="Times New Roman"/>
          <w:sz w:val="24"/>
          <w:szCs w:val="24"/>
        </w:rPr>
        <w:t>le</w:t>
      </w:r>
      <w:r w:rsidR="00F71C52" w:rsidRPr="00FB0D94">
        <w:rPr>
          <w:rFonts w:ascii="Times New Roman" w:hAnsi="Times New Roman" w:cs="Times New Roman"/>
          <w:sz w:val="24"/>
          <w:szCs w:val="24"/>
        </w:rPr>
        <w:t>)</w:t>
      </w:r>
      <w:r>
        <w:rPr>
          <w:rFonts w:ascii="Times New Roman" w:hAnsi="Times New Roman" w:cs="Times New Roman"/>
          <w:sz w:val="24"/>
          <w:szCs w:val="24"/>
        </w:rPr>
        <w:t xml:space="preserve"> mais</w:t>
      </w:r>
      <w:r w:rsidR="00F71C52" w:rsidRPr="00FB0D94">
        <w:rPr>
          <w:rFonts w:ascii="Times New Roman" w:hAnsi="Times New Roman" w:cs="Times New Roman"/>
          <w:sz w:val="24"/>
          <w:szCs w:val="24"/>
        </w:rPr>
        <w:t xml:space="preserve"> l</w:t>
      </w:r>
      <w:r w:rsidR="00D10276" w:rsidRPr="00FB0D94">
        <w:rPr>
          <w:rFonts w:ascii="Times New Roman" w:hAnsi="Times New Roman" w:cs="Times New Roman"/>
          <w:sz w:val="24"/>
          <w:szCs w:val="24"/>
        </w:rPr>
        <w:t>es participants ont toutefois profité des décryptages opérés par les marchés américains en soirée avant l’</w:t>
      </w:r>
      <w:r w:rsidR="0029413E" w:rsidRPr="00FB0D94">
        <w:rPr>
          <w:rFonts w:ascii="Times New Roman" w:hAnsi="Times New Roman" w:cs="Times New Roman"/>
          <w:sz w:val="24"/>
          <w:szCs w:val="24"/>
        </w:rPr>
        <w:t xml:space="preserve">éventuelle </w:t>
      </w:r>
      <w:r w:rsidR="00D10276" w:rsidRPr="00FB0D94">
        <w:rPr>
          <w:rFonts w:ascii="Times New Roman" w:hAnsi="Times New Roman" w:cs="Times New Roman"/>
          <w:sz w:val="24"/>
          <w:szCs w:val="24"/>
        </w:rPr>
        <w:t>incorporation dans les cours le lendemain matin sur les marchés eur</w:t>
      </w:r>
      <w:r w:rsidR="006C3B0F" w:rsidRPr="00FB0D94">
        <w:rPr>
          <w:rFonts w:ascii="Times New Roman" w:hAnsi="Times New Roman" w:cs="Times New Roman"/>
          <w:sz w:val="24"/>
          <w:szCs w:val="24"/>
        </w:rPr>
        <w:t>opéens</w:t>
      </w:r>
      <w:r w:rsidR="00D10276" w:rsidRPr="00FB0D94">
        <w:rPr>
          <w:rFonts w:ascii="Times New Roman" w:hAnsi="Times New Roman" w:cs="Times New Roman"/>
          <w:sz w:val="24"/>
          <w:szCs w:val="24"/>
        </w:rPr>
        <w:t>. Il s’agissait bien évidem</w:t>
      </w:r>
      <w:r w:rsidR="00F71C52" w:rsidRPr="00FB0D94">
        <w:rPr>
          <w:rFonts w:ascii="Times New Roman" w:hAnsi="Times New Roman" w:cs="Times New Roman"/>
          <w:sz w:val="24"/>
          <w:szCs w:val="24"/>
        </w:rPr>
        <w:t>ment d’un</w:t>
      </w:r>
      <w:r w:rsidR="00D10276" w:rsidRPr="00FB0D94">
        <w:rPr>
          <w:rFonts w:ascii="Times New Roman" w:hAnsi="Times New Roman" w:cs="Times New Roman"/>
          <w:sz w:val="24"/>
          <w:szCs w:val="24"/>
        </w:rPr>
        <w:t xml:space="preserve">e </w:t>
      </w:r>
      <w:r w:rsidR="00F71C52" w:rsidRPr="00FB0D94">
        <w:rPr>
          <w:rFonts w:ascii="Times New Roman" w:hAnsi="Times New Roman" w:cs="Times New Roman"/>
          <w:sz w:val="24"/>
          <w:szCs w:val="24"/>
        </w:rPr>
        <w:t xml:space="preserve">traduction </w:t>
      </w:r>
      <w:r w:rsidR="00D10276" w:rsidRPr="00FB0D94">
        <w:rPr>
          <w:rFonts w:ascii="Times New Roman" w:hAnsi="Times New Roman" w:cs="Times New Roman"/>
          <w:sz w:val="24"/>
          <w:szCs w:val="24"/>
        </w:rPr>
        <w:t xml:space="preserve">à vocation très généraliste qui portait sur l’évolution des indices américains la veille </w:t>
      </w:r>
      <w:r w:rsidR="00E373D8" w:rsidRPr="00FB0D94">
        <w:rPr>
          <w:rFonts w:ascii="Times New Roman" w:hAnsi="Times New Roman" w:cs="Times New Roman"/>
          <w:sz w:val="24"/>
          <w:szCs w:val="24"/>
        </w:rPr>
        <w:t>de la journée de trading</w:t>
      </w:r>
      <w:r w:rsidR="00D10276" w:rsidRPr="00FB0D94">
        <w:rPr>
          <w:rFonts w:ascii="Times New Roman" w:hAnsi="Times New Roman" w:cs="Times New Roman"/>
          <w:sz w:val="24"/>
          <w:szCs w:val="24"/>
        </w:rPr>
        <w:t xml:space="preserve">. </w:t>
      </w:r>
      <w:r w:rsidR="00F71C52" w:rsidRPr="00FB0D94">
        <w:rPr>
          <w:rFonts w:ascii="Times New Roman" w:hAnsi="Times New Roman" w:cs="Times New Roman"/>
          <w:sz w:val="24"/>
          <w:szCs w:val="24"/>
        </w:rPr>
        <w:t>Pour ce qui est des outils théoriques qui leur sont enseignés, le recours</w:t>
      </w:r>
      <w:r w:rsidR="00586767" w:rsidRPr="00FB0D94">
        <w:rPr>
          <w:rFonts w:ascii="Times New Roman" w:hAnsi="Times New Roman" w:cs="Times New Roman"/>
          <w:sz w:val="24"/>
          <w:szCs w:val="24"/>
        </w:rPr>
        <w:t xml:space="preserve"> par les étudiants</w:t>
      </w:r>
      <w:r w:rsidR="00F71C52" w:rsidRPr="00FB0D94">
        <w:rPr>
          <w:rFonts w:ascii="Times New Roman" w:hAnsi="Times New Roman" w:cs="Times New Roman"/>
          <w:sz w:val="24"/>
          <w:szCs w:val="24"/>
        </w:rPr>
        <w:t xml:space="preserve"> était très limité</w:t>
      </w:r>
      <w:r w:rsidR="00C0377B">
        <w:rPr>
          <w:rFonts w:ascii="Times New Roman" w:hAnsi="Times New Roman" w:cs="Times New Roman"/>
          <w:sz w:val="24"/>
          <w:szCs w:val="24"/>
        </w:rPr>
        <w:t xml:space="preserve">, se plaçait sur le champ technique </w:t>
      </w:r>
      <w:r w:rsidR="00F71C52" w:rsidRPr="00FB0D94">
        <w:rPr>
          <w:rFonts w:ascii="Times New Roman" w:hAnsi="Times New Roman" w:cs="Times New Roman"/>
          <w:sz w:val="24"/>
          <w:szCs w:val="24"/>
        </w:rPr>
        <w:t>et s’est réalisé parfois de manière presqu’inconsciente : en effet, les groupes qui ont utilisé des indicateurs de volatilité intrinsèque ou extrinsèque des titres (avec une comparaison avec d</w:t>
      </w:r>
      <w:r w:rsidR="00CA3BE1" w:rsidRPr="00FB0D94">
        <w:rPr>
          <w:rFonts w:ascii="Times New Roman" w:hAnsi="Times New Roman" w:cs="Times New Roman"/>
          <w:sz w:val="24"/>
          <w:szCs w:val="24"/>
        </w:rPr>
        <w:t>’autres</w:t>
      </w:r>
      <w:r w:rsidR="00F71C52" w:rsidRPr="00FB0D94">
        <w:rPr>
          <w:rFonts w:ascii="Times New Roman" w:hAnsi="Times New Roman" w:cs="Times New Roman"/>
          <w:sz w:val="24"/>
          <w:szCs w:val="24"/>
        </w:rPr>
        <w:t xml:space="preserve"> </w:t>
      </w:r>
      <w:r w:rsidR="00CA3BE1" w:rsidRPr="00FB0D94">
        <w:rPr>
          <w:rFonts w:ascii="Times New Roman" w:hAnsi="Times New Roman" w:cs="Times New Roman"/>
          <w:sz w:val="24"/>
          <w:szCs w:val="24"/>
        </w:rPr>
        <w:t>actions</w:t>
      </w:r>
      <w:r w:rsidR="00F71C52" w:rsidRPr="00FB0D94">
        <w:rPr>
          <w:rFonts w:ascii="Times New Roman" w:hAnsi="Times New Roman" w:cs="Times New Roman"/>
          <w:sz w:val="24"/>
          <w:szCs w:val="24"/>
        </w:rPr>
        <w:t xml:space="preserve"> du même secteur d’activités) se sont référés (peut-être sans le savoir) à la notion de β d</w:t>
      </w:r>
      <w:r w:rsidR="008C02EC" w:rsidRPr="00FB0D94">
        <w:rPr>
          <w:rFonts w:ascii="Times New Roman" w:hAnsi="Times New Roman" w:cs="Times New Roman"/>
          <w:sz w:val="24"/>
          <w:szCs w:val="24"/>
        </w:rPr>
        <w:t>u</w:t>
      </w:r>
      <w:r w:rsidR="00F71C52" w:rsidRPr="00FB0D94">
        <w:rPr>
          <w:rFonts w:ascii="Times New Roman" w:hAnsi="Times New Roman" w:cs="Times New Roman"/>
          <w:sz w:val="24"/>
          <w:szCs w:val="24"/>
        </w:rPr>
        <w:t xml:space="preserve"> titre. Ils n’ont pas essayé de juger la pertinence des modèles enseignés (pas d’essai d’exercice de calcul de la valorisation théorique de l’entreprise pour repérer d’éventuels phénomènes de sous-valorisation). Dans le même ordre d’idée, e</w:t>
      </w:r>
      <w:r w:rsidR="00FE588A" w:rsidRPr="00FB0D94">
        <w:rPr>
          <w:rFonts w:ascii="Times New Roman" w:hAnsi="Times New Roman" w:cs="Times New Roman"/>
          <w:sz w:val="24"/>
          <w:szCs w:val="24"/>
        </w:rPr>
        <w:t>n ce qui concerne les données</w:t>
      </w:r>
      <w:r w:rsidR="00D10276" w:rsidRPr="00FB0D94">
        <w:rPr>
          <w:rFonts w:ascii="Times New Roman" w:hAnsi="Times New Roman" w:cs="Times New Roman"/>
          <w:sz w:val="24"/>
          <w:szCs w:val="24"/>
        </w:rPr>
        <w:t xml:space="preserve"> fondamentale</w:t>
      </w:r>
      <w:r w:rsidR="00FE588A" w:rsidRPr="00FB0D94">
        <w:rPr>
          <w:rFonts w:ascii="Times New Roman" w:hAnsi="Times New Roman" w:cs="Times New Roman"/>
          <w:sz w:val="24"/>
          <w:szCs w:val="24"/>
        </w:rPr>
        <w:t>s</w:t>
      </w:r>
      <w:r w:rsidR="006F524E" w:rsidRPr="00FB0D94">
        <w:rPr>
          <w:rFonts w:ascii="Times New Roman" w:hAnsi="Times New Roman" w:cs="Times New Roman"/>
          <w:sz w:val="24"/>
          <w:szCs w:val="24"/>
        </w:rPr>
        <w:t>, elles n’ont</w:t>
      </w:r>
      <w:r w:rsidR="00D10276" w:rsidRPr="00FB0D94">
        <w:rPr>
          <w:rFonts w:ascii="Times New Roman" w:hAnsi="Times New Roman" w:cs="Times New Roman"/>
          <w:sz w:val="24"/>
          <w:szCs w:val="24"/>
        </w:rPr>
        <w:t xml:space="preserve"> que très peu été mobilisée</w:t>
      </w:r>
      <w:r w:rsidR="006F524E" w:rsidRPr="00FB0D94">
        <w:rPr>
          <w:rFonts w:ascii="Times New Roman" w:hAnsi="Times New Roman" w:cs="Times New Roman"/>
          <w:sz w:val="24"/>
          <w:szCs w:val="24"/>
        </w:rPr>
        <w:t>s</w:t>
      </w:r>
      <w:r w:rsidR="00D10276" w:rsidRPr="00FB0D94">
        <w:rPr>
          <w:rFonts w:ascii="Times New Roman" w:hAnsi="Times New Roman" w:cs="Times New Roman"/>
          <w:sz w:val="24"/>
          <w:szCs w:val="24"/>
        </w:rPr>
        <w:t xml:space="preserve"> (uniquement par le groupe unipersonnel et de manière très supe</w:t>
      </w:r>
      <w:r w:rsidR="00F71C52" w:rsidRPr="00FB0D94">
        <w:rPr>
          <w:rFonts w:ascii="Times New Roman" w:hAnsi="Times New Roman" w:cs="Times New Roman"/>
          <w:sz w:val="24"/>
          <w:szCs w:val="24"/>
        </w:rPr>
        <w:t>rficielle pour l’orientation des</w:t>
      </w:r>
      <w:r w:rsidR="00D10276" w:rsidRPr="00FB0D94">
        <w:rPr>
          <w:rFonts w:ascii="Times New Roman" w:hAnsi="Times New Roman" w:cs="Times New Roman"/>
          <w:sz w:val="24"/>
          <w:szCs w:val="24"/>
        </w:rPr>
        <w:t xml:space="preserve"> </w:t>
      </w:r>
      <w:r w:rsidR="00F71C52" w:rsidRPr="00FB0D94">
        <w:rPr>
          <w:rFonts w:ascii="Times New Roman" w:hAnsi="Times New Roman" w:cs="Times New Roman"/>
          <w:sz w:val="24"/>
          <w:szCs w:val="24"/>
        </w:rPr>
        <w:t xml:space="preserve">transactions </w:t>
      </w:r>
      <w:r w:rsidR="00D91F99" w:rsidRPr="00FB0D94">
        <w:rPr>
          <w:rFonts w:ascii="Times New Roman" w:hAnsi="Times New Roman" w:cs="Times New Roman"/>
          <w:sz w:val="24"/>
          <w:szCs w:val="24"/>
        </w:rPr>
        <w:t xml:space="preserve">initiales </w:t>
      </w:r>
      <w:r w:rsidR="00F71C52" w:rsidRPr="00FB0D94">
        <w:rPr>
          <w:rFonts w:ascii="Times New Roman" w:hAnsi="Times New Roman" w:cs="Times New Roman"/>
          <w:sz w:val="24"/>
          <w:szCs w:val="24"/>
        </w:rPr>
        <w:t>le premier jour de l’expérience</w:t>
      </w:r>
      <w:r w:rsidR="00D10276" w:rsidRPr="00FB0D94">
        <w:rPr>
          <w:rFonts w:ascii="Times New Roman" w:hAnsi="Times New Roman" w:cs="Times New Roman"/>
          <w:sz w:val="24"/>
          <w:szCs w:val="24"/>
        </w:rPr>
        <w:t xml:space="preserve">). Dans aucun </w:t>
      </w:r>
      <w:r w:rsidR="00D10276" w:rsidRPr="00FB0D94">
        <w:rPr>
          <w:rFonts w:ascii="Times New Roman" w:hAnsi="Times New Roman" w:cs="Times New Roman"/>
          <w:sz w:val="24"/>
          <w:szCs w:val="24"/>
        </w:rPr>
        <w:lastRenderedPageBreak/>
        <w:t xml:space="preserve">groupe, il n’a été question de se référer, par exemple, à l’évolution des dividendes versés par l’entreprise ces dernières années, ni </w:t>
      </w:r>
      <w:r w:rsidR="00F71C52" w:rsidRPr="00FB0D94">
        <w:rPr>
          <w:rFonts w:ascii="Times New Roman" w:hAnsi="Times New Roman" w:cs="Times New Roman"/>
          <w:sz w:val="24"/>
          <w:szCs w:val="24"/>
        </w:rPr>
        <w:t>à celle du bénéfice par action, ni même au PER. On peut cependant s’interroger sur la pertinence de ce type de données en fonction de</w:t>
      </w:r>
      <w:r w:rsidR="00B74C52" w:rsidRPr="00FB0D94">
        <w:rPr>
          <w:rFonts w:ascii="Times New Roman" w:hAnsi="Times New Roman" w:cs="Times New Roman"/>
          <w:sz w:val="24"/>
          <w:szCs w:val="24"/>
        </w:rPr>
        <w:t xml:space="preserve"> la durée de l’expérimentation, et ce d’autant plus que</w:t>
      </w:r>
      <w:r w:rsidR="0031400D" w:rsidRPr="00FB0D94">
        <w:rPr>
          <w:rFonts w:ascii="Times New Roman" w:hAnsi="Times New Roman" w:cs="Times New Roman"/>
          <w:sz w:val="24"/>
          <w:szCs w:val="24"/>
        </w:rPr>
        <w:t>,</w:t>
      </w:r>
      <w:r w:rsidR="00B74C52" w:rsidRPr="00FB0D94">
        <w:rPr>
          <w:rFonts w:ascii="Times New Roman" w:hAnsi="Times New Roman" w:cs="Times New Roman"/>
          <w:sz w:val="24"/>
          <w:szCs w:val="24"/>
        </w:rPr>
        <w:t xml:space="preserve"> durant l’expérience</w:t>
      </w:r>
      <w:r w:rsidR="0031400D" w:rsidRPr="00FB0D94">
        <w:rPr>
          <w:rFonts w:ascii="Times New Roman" w:hAnsi="Times New Roman" w:cs="Times New Roman"/>
          <w:sz w:val="24"/>
          <w:szCs w:val="24"/>
        </w:rPr>
        <w:t>,</w:t>
      </w:r>
      <w:r w:rsidR="00B74C52" w:rsidRPr="00FB0D94">
        <w:rPr>
          <w:rFonts w:ascii="Times New Roman" w:hAnsi="Times New Roman" w:cs="Times New Roman"/>
          <w:sz w:val="24"/>
          <w:szCs w:val="24"/>
        </w:rPr>
        <w:t xml:space="preserve"> le CAC 40 s’est accru de 1,89% (seule la première journée a été caractérisée par une </w:t>
      </w:r>
      <w:r w:rsidR="00956F18" w:rsidRPr="00FB0D94">
        <w:rPr>
          <w:rFonts w:ascii="Times New Roman" w:hAnsi="Times New Roman" w:cs="Times New Roman"/>
          <w:sz w:val="24"/>
          <w:szCs w:val="24"/>
        </w:rPr>
        <w:t>chute de</w:t>
      </w:r>
      <w:r w:rsidR="00B74C52" w:rsidRPr="00FB0D94">
        <w:rPr>
          <w:rFonts w:ascii="Times New Roman" w:hAnsi="Times New Roman" w:cs="Times New Roman"/>
          <w:sz w:val="24"/>
          <w:szCs w:val="24"/>
        </w:rPr>
        <w:t xml:space="preserve"> l’indice). </w:t>
      </w:r>
      <w:r w:rsidR="00C4653D" w:rsidRPr="00FB0D94">
        <w:rPr>
          <w:rFonts w:ascii="Times New Roman" w:hAnsi="Times New Roman" w:cs="Times New Roman"/>
          <w:sz w:val="24"/>
          <w:szCs w:val="24"/>
        </w:rPr>
        <w:t>L</w:t>
      </w:r>
      <w:r w:rsidR="00095302" w:rsidRPr="00FB0D94">
        <w:rPr>
          <w:rFonts w:ascii="Times New Roman" w:hAnsi="Times New Roman" w:cs="Times New Roman"/>
          <w:sz w:val="24"/>
          <w:szCs w:val="24"/>
        </w:rPr>
        <w:t xml:space="preserve">a question </w:t>
      </w:r>
      <w:r w:rsidR="00C4653D" w:rsidRPr="00FB0D94">
        <w:rPr>
          <w:rFonts w:ascii="Times New Roman" w:hAnsi="Times New Roman" w:cs="Times New Roman"/>
          <w:sz w:val="24"/>
          <w:szCs w:val="24"/>
        </w:rPr>
        <w:t xml:space="preserve">est </w:t>
      </w:r>
      <w:r w:rsidR="00095302" w:rsidRPr="00FB0D94">
        <w:rPr>
          <w:rFonts w:ascii="Times New Roman" w:hAnsi="Times New Roman" w:cs="Times New Roman"/>
          <w:sz w:val="24"/>
          <w:szCs w:val="24"/>
        </w:rPr>
        <w:t xml:space="preserve">de savoir pourquoi les étudiants auraient mobilisé des instruments alambiqués d’analyse des champs informationnels alors qu’une stratégie de positionnements aléatoires aurait tout aussi bien fonctionné. </w:t>
      </w:r>
      <w:r w:rsidR="006972A7" w:rsidRPr="00FB0D94">
        <w:rPr>
          <w:rFonts w:ascii="Times New Roman" w:hAnsi="Times New Roman" w:cs="Times New Roman"/>
          <w:sz w:val="24"/>
          <w:szCs w:val="24"/>
        </w:rPr>
        <w:t>L</w:t>
      </w:r>
      <w:r w:rsidR="00D10276" w:rsidRPr="00FB0D94">
        <w:rPr>
          <w:rFonts w:ascii="Times New Roman" w:hAnsi="Times New Roman" w:cs="Times New Roman"/>
          <w:sz w:val="24"/>
          <w:szCs w:val="24"/>
        </w:rPr>
        <w:t xml:space="preserve">es participants </w:t>
      </w:r>
      <w:r w:rsidR="006972A7" w:rsidRPr="00FB0D94">
        <w:rPr>
          <w:rFonts w:ascii="Times New Roman" w:hAnsi="Times New Roman" w:cs="Times New Roman"/>
          <w:sz w:val="24"/>
          <w:szCs w:val="24"/>
        </w:rPr>
        <w:t xml:space="preserve">nous ont fait comprendre qu’ils étaient </w:t>
      </w:r>
      <w:r w:rsidR="00D10276" w:rsidRPr="00FB0D94">
        <w:rPr>
          <w:rFonts w:ascii="Times New Roman" w:hAnsi="Times New Roman" w:cs="Times New Roman"/>
          <w:sz w:val="24"/>
          <w:szCs w:val="24"/>
        </w:rPr>
        <w:t>perdus dans les flux informationnels et, de toutes manières, même s’ils s’y retrouvaient</w:t>
      </w:r>
      <w:r w:rsidR="006972A7" w:rsidRPr="00FB0D94">
        <w:rPr>
          <w:rFonts w:ascii="Times New Roman" w:hAnsi="Times New Roman" w:cs="Times New Roman"/>
          <w:sz w:val="24"/>
          <w:szCs w:val="24"/>
        </w:rPr>
        <w:t xml:space="preserve"> (i.e. ils comprenaient les liens de causes à effets entre l’information divulguée et l’évolution du cours de Bourse)</w:t>
      </w:r>
      <w:r w:rsidR="00D10276" w:rsidRPr="00FB0D94">
        <w:rPr>
          <w:rFonts w:ascii="Times New Roman" w:hAnsi="Times New Roman" w:cs="Times New Roman"/>
          <w:sz w:val="24"/>
          <w:szCs w:val="24"/>
        </w:rPr>
        <w:t>, ils ne pouvaient pas réellement en profiter</w:t>
      </w:r>
      <w:r w:rsidR="00D7359E" w:rsidRPr="00FB0D94">
        <w:rPr>
          <w:rFonts w:ascii="Times New Roman" w:hAnsi="Times New Roman" w:cs="Times New Roman"/>
          <w:sz w:val="24"/>
          <w:szCs w:val="24"/>
        </w:rPr>
        <w:t xml:space="preserve"> parce que d’autres acteurs </w:t>
      </w:r>
      <w:r w:rsidR="009B7091" w:rsidRPr="00FB0D94">
        <w:rPr>
          <w:rFonts w:ascii="Times New Roman" w:hAnsi="Times New Roman" w:cs="Times New Roman"/>
          <w:sz w:val="24"/>
          <w:szCs w:val="24"/>
        </w:rPr>
        <w:t xml:space="preserve">(institutionnels) </w:t>
      </w:r>
      <w:r w:rsidR="00D7359E" w:rsidRPr="00FB0D94">
        <w:rPr>
          <w:rFonts w:ascii="Times New Roman" w:hAnsi="Times New Roman" w:cs="Times New Roman"/>
          <w:sz w:val="24"/>
          <w:szCs w:val="24"/>
        </w:rPr>
        <w:t>s’étaient déjà positionnés en amont</w:t>
      </w:r>
      <w:r w:rsidR="00D10276" w:rsidRPr="00FB0D94">
        <w:rPr>
          <w:rFonts w:ascii="Times New Roman" w:hAnsi="Times New Roman" w:cs="Times New Roman"/>
          <w:sz w:val="24"/>
          <w:szCs w:val="24"/>
        </w:rPr>
        <w:t xml:space="preserve">. </w:t>
      </w:r>
      <w:r w:rsidR="003653B4">
        <w:rPr>
          <w:rFonts w:ascii="Times New Roman" w:hAnsi="Times New Roman" w:cs="Times New Roman"/>
          <w:sz w:val="24"/>
          <w:szCs w:val="24"/>
        </w:rPr>
        <w:t>D</w:t>
      </w:r>
      <w:r w:rsidR="00EC14F2">
        <w:rPr>
          <w:rFonts w:ascii="Times New Roman" w:hAnsi="Times New Roman" w:cs="Times New Roman"/>
          <w:sz w:val="24"/>
          <w:szCs w:val="24"/>
        </w:rPr>
        <w:t>ans cette logique, il s’agirait plus d’un problème d’asymétrie informationnelle que d’une inefficience informationnelle</w:t>
      </w:r>
      <w:r w:rsidR="001B7CBA">
        <w:rPr>
          <w:rFonts w:ascii="Times New Roman" w:hAnsi="Times New Roman" w:cs="Times New Roman"/>
          <w:sz w:val="24"/>
          <w:szCs w:val="24"/>
        </w:rPr>
        <w:t xml:space="preserve"> en tant que telle, comme semble l’avancer la finance comportementale</w:t>
      </w:r>
      <w:r w:rsidR="00EC14F2">
        <w:rPr>
          <w:rFonts w:ascii="Times New Roman" w:hAnsi="Times New Roman" w:cs="Times New Roman"/>
          <w:sz w:val="24"/>
          <w:szCs w:val="24"/>
        </w:rPr>
        <w:t xml:space="preserve">. </w:t>
      </w:r>
      <w:r w:rsidR="00F7315D" w:rsidRPr="00FB0D94">
        <w:rPr>
          <w:rFonts w:ascii="Times New Roman" w:hAnsi="Times New Roman" w:cs="Times New Roman"/>
          <w:sz w:val="24"/>
          <w:szCs w:val="24"/>
        </w:rPr>
        <w:t xml:space="preserve">Ce n’est pas que les étudiants ne percevaient pas l’importance des messages publics envoyés aux marchés mais ils avaient la sensation de naviguer dans une nébuleuse informationnelle dénuée de balises. </w:t>
      </w:r>
      <w:r w:rsidR="009E72A6">
        <w:rPr>
          <w:rFonts w:ascii="Times New Roman" w:hAnsi="Times New Roman" w:cs="Times New Roman"/>
          <w:sz w:val="24"/>
          <w:szCs w:val="24"/>
        </w:rPr>
        <w:t>Selon eux, à</w:t>
      </w:r>
      <w:r w:rsidR="00F7315D" w:rsidRPr="00FB0D94">
        <w:rPr>
          <w:rFonts w:ascii="Times New Roman" w:hAnsi="Times New Roman" w:cs="Times New Roman"/>
          <w:sz w:val="24"/>
          <w:szCs w:val="24"/>
        </w:rPr>
        <w:t xml:space="preserve"> force de fournir de l’information, peuvent apparaître des poches de congestion (des informations sont répétées à </w:t>
      </w:r>
      <w:r w:rsidR="009E72A6">
        <w:rPr>
          <w:rFonts w:ascii="Times New Roman" w:hAnsi="Times New Roman" w:cs="Times New Roman"/>
          <w:sz w:val="24"/>
          <w:szCs w:val="24"/>
        </w:rPr>
        <w:t xml:space="preserve">de </w:t>
      </w:r>
      <w:r w:rsidR="00F7315D" w:rsidRPr="00FB0D94">
        <w:rPr>
          <w:rFonts w:ascii="Times New Roman" w:hAnsi="Times New Roman" w:cs="Times New Roman"/>
          <w:sz w:val="24"/>
          <w:szCs w:val="24"/>
        </w:rPr>
        <w:t xml:space="preserve">multiples reprises par différents canaux) conduisant à une indigestion informationnelle. A titre illustratif, rien que Zonebourse.com (site financier à forte coloration francophone et donc le constat est certainement plus prégnant pour les sites financiers anglo-saxons) regroupe sur sa plateforme les vecteurs informationnels suivants : Reuters, AWP/AFP, Cercle Finance, AOF, Business Wire, Global </w:t>
      </w:r>
      <w:proofErr w:type="spellStart"/>
      <w:r w:rsidR="00F7315D" w:rsidRPr="00FB0D94">
        <w:rPr>
          <w:rFonts w:ascii="Times New Roman" w:hAnsi="Times New Roman" w:cs="Times New Roman"/>
          <w:sz w:val="24"/>
          <w:szCs w:val="24"/>
        </w:rPr>
        <w:t>Newswire</w:t>
      </w:r>
      <w:proofErr w:type="spellEnd"/>
      <w:r w:rsidR="00F7315D" w:rsidRPr="00FB0D94">
        <w:rPr>
          <w:rFonts w:ascii="Times New Roman" w:hAnsi="Times New Roman" w:cs="Times New Roman"/>
          <w:sz w:val="24"/>
          <w:szCs w:val="24"/>
        </w:rPr>
        <w:t xml:space="preserve">, </w:t>
      </w:r>
      <w:proofErr w:type="spellStart"/>
      <w:r w:rsidR="00F7315D" w:rsidRPr="00FB0D94">
        <w:rPr>
          <w:rFonts w:ascii="Times New Roman" w:hAnsi="Times New Roman" w:cs="Times New Roman"/>
          <w:sz w:val="24"/>
          <w:szCs w:val="24"/>
        </w:rPr>
        <w:t>Actusnews</w:t>
      </w:r>
      <w:proofErr w:type="spellEnd"/>
      <w:r w:rsidR="00F7315D" w:rsidRPr="00FB0D94">
        <w:rPr>
          <w:rFonts w:ascii="Times New Roman" w:hAnsi="Times New Roman" w:cs="Times New Roman"/>
          <w:sz w:val="24"/>
          <w:szCs w:val="24"/>
        </w:rPr>
        <w:t xml:space="preserve">, Public, EQS, </w:t>
      </w:r>
      <w:proofErr w:type="spellStart"/>
      <w:r w:rsidR="00F7315D" w:rsidRPr="00FB0D94">
        <w:rPr>
          <w:rFonts w:ascii="Times New Roman" w:hAnsi="Times New Roman" w:cs="Times New Roman"/>
          <w:sz w:val="24"/>
          <w:szCs w:val="24"/>
        </w:rPr>
        <w:t>Tensid</w:t>
      </w:r>
      <w:proofErr w:type="spellEnd"/>
      <w:r w:rsidR="00F7315D" w:rsidRPr="00FB0D94">
        <w:rPr>
          <w:rFonts w:ascii="Times New Roman" w:hAnsi="Times New Roman" w:cs="Times New Roman"/>
          <w:sz w:val="24"/>
          <w:szCs w:val="24"/>
        </w:rPr>
        <w:t xml:space="preserve"> et </w:t>
      </w:r>
      <w:proofErr w:type="spellStart"/>
      <w:r w:rsidR="00F7315D" w:rsidRPr="00FB0D94">
        <w:rPr>
          <w:rFonts w:ascii="Times New Roman" w:hAnsi="Times New Roman" w:cs="Times New Roman"/>
          <w:sz w:val="24"/>
          <w:szCs w:val="24"/>
        </w:rPr>
        <w:t>Newsfilecorp</w:t>
      </w:r>
      <w:proofErr w:type="spellEnd"/>
      <w:r w:rsidR="00F7315D" w:rsidRPr="00FB0D94">
        <w:rPr>
          <w:rFonts w:ascii="Times New Roman" w:hAnsi="Times New Roman" w:cs="Times New Roman"/>
          <w:sz w:val="24"/>
          <w:szCs w:val="24"/>
        </w:rPr>
        <w:t xml:space="preserve">, avec, dans beaucoup de cas, </w:t>
      </w:r>
      <w:r w:rsidR="00085F34" w:rsidRPr="00FB0D94">
        <w:rPr>
          <w:rFonts w:ascii="Times New Roman" w:hAnsi="Times New Roman" w:cs="Times New Roman"/>
          <w:sz w:val="24"/>
          <w:szCs w:val="24"/>
        </w:rPr>
        <w:t>des niveaux élevés de</w:t>
      </w:r>
      <w:r w:rsidR="00F7315D" w:rsidRPr="00FB0D94">
        <w:rPr>
          <w:rFonts w:ascii="Times New Roman" w:hAnsi="Times New Roman" w:cs="Times New Roman"/>
          <w:sz w:val="24"/>
          <w:szCs w:val="24"/>
        </w:rPr>
        <w:t xml:space="preserve"> similarité dans les informations fournies. </w:t>
      </w:r>
      <w:r w:rsidR="00F7315D" w:rsidRPr="00652B41">
        <w:rPr>
          <w:rFonts w:ascii="Times New Roman" w:hAnsi="Times New Roman" w:cs="Times New Roman"/>
          <w:sz w:val="24"/>
          <w:szCs w:val="24"/>
        </w:rPr>
        <w:t>Dans la logique d</w:t>
      </w:r>
      <w:r w:rsidR="009842F4" w:rsidRPr="00652B41">
        <w:rPr>
          <w:rFonts w:ascii="Times New Roman" w:hAnsi="Times New Roman" w:cs="Times New Roman"/>
          <w:sz w:val="24"/>
          <w:szCs w:val="24"/>
        </w:rPr>
        <w:t>’un</w:t>
      </w:r>
      <w:r w:rsidR="00F7315D" w:rsidRPr="00652B41">
        <w:rPr>
          <w:rFonts w:ascii="Times New Roman" w:hAnsi="Times New Roman" w:cs="Times New Roman"/>
          <w:sz w:val="24"/>
          <w:szCs w:val="24"/>
        </w:rPr>
        <w:t xml:space="preserve"> réel apport </w:t>
      </w:r>
      <w:r w:rsidR="009842F4" w:rsidRPr="00652B41">
        <w:rPr>
          <w:rFonts w:ascii="Times New Roman" w:hAnsi="Times New Roman" w:cs="Times New Roman"/>
          <w:sz w:val="24"/>
          <w:szCs w:val="24"/>
        </w:rPr>
        <w:t>de l’</w:t>
      </w:r>
      <w:r w:rsidR="00F7315D" w:rsidRPr="00652B41">
        <w:rPr>
          <w:rFonts w:ascii="Times New Roman" w:hAnsi="Times New Roman" w:cs="Times New Roman"/>
          <w:sz w:val="24"/>
          <w:szCs w:val="24"/>
        </w:rPr>
        <w:t xml:space="preserve">information, </w:t>
      </w:r>
      <w:r w:rsidR="006972A7" w:rsidRPr="00652B41">
        <w:rPr>
          <w:rFonts w:ascii="Times New Roman" w:hAnsi="Times New Roman" w:cs="Times New Roman"/>
          <w:sz w:val="24"/>
          <w:szCs w:val="24"/>
        </w:rPr>
        <w:t>les commentaires de</w:t>
      </w:r>
      <w:r w:rsidR="00F7315D" w:rsidRPr="00652B41">
        <w:rPr>
          <w:rFonts w:ascii="Times New Roman" w:hAnsi="Times New Roman" w:cs="Times New Roman"/>
          <w:sz w:val="24"/>
          <w:szCs w:val="24"/>
        </w:rPr>
        <w:t>s</w:t>
      </w:r>
      <w:r w:rsidR="006972A7" w:rsidRPr="00652B41">
        <w:rPr>
          <w:rFonts w:ascii="Times New Roman" w:hAnsi="Times New Roman" w:cs="Times New Roman"/>
          <w:sz w:val="24"/>
          <w:szCs w:val="24"/>
        </w:rPr>
        <w:t xml:space="preserve"> participants</w:t>
      </w:r>
      <w:r w:rsidR="00F7315D" w:rsidRPr="00652B41">
        <w:rPr>
          <w:rFonts w:ascii="Times New Roman" w:hAnsi="Times New Roman" w:cs="Times New Roman"/>
          <w:sz w:val="24"/>
          <w:szCs w:val="24"/>
        </w:rPr>
        <w:t xml:space="preserve"> démontrent</w:t>
      </w:r>
      <w:r w:rsidR="006972A7" w:rsidRPr="00652B41">
        <w:rPr>
          <w:rFonts w:ascii="Times New Roman" w:hAnsi="Times New Roman" w:cs="Times New Roman"/>
          <w:sz w:val="24"/>
          <w:szCs w:val="24"/>
        </w:rPr>
        <w:t xml:space="preserve"> leur étonnement eu égard à la vitesse avec laquelle les échanges s’opèrent sur les marchés</w:t>
      </w:r>
      <w:r w:rsidR="00C025B7" w:rsidRPr="00652B41">
        <w:rPr>
          <w:rFonts w:ascii="Times New Roman" w:hAnsi="Times New Roman" w:cs="Times New Roman"/>
          <w:sz w:val="24"/>
          <w:szCs w:val="24"/>
        </w:rPr>
        <w:t xml:space="preserve"> « </w:t>
      </w:r>
      <w:r w:rsidR="00F7315D" w:rsidRPr="00652B41">
        <w:rPr>
          <w:rFonts w:ascii="Times New Roman" w:hAnsi="Times New Roman" w:cs="Times New Roman"/>
          <w:i/>
          <w:sz w:val="24"/>
          <w:szCs w:val="24"/>
        </w:rPr>
        <w:t>O</w:t>
      </w:r>
      <w:r w:rsidR="00C025B7" w:rsidRPr="00652B41">
        <w:rPr>
          <w:rFonts w:ascii="Times New Roman" w:hAnsi="Times New Roman" w:cs="Times New Roman"/>
          <w:i/>
          <w:sz w:val="24"/>
          <w:szCs w:val="24"/>
        </w:rPr>
        <w:t>n ne sait pas quand vendre ou acheter, parfois on achète au bon moment mais parfois c’est l’inverse</w:t>
      </w:r>
      <w:r w:rsidR="00C970A7">
        <w:rPr>
          <w:rFonts w:ascii="Times New Roman" w:hAnsi="Times New Roman" w:cs="Times New Roman"/>
          <w:i/>
          <w:sz w:val="24"/>
          <w:szCs w:val="24"/>
        </w:rPr>
        <w:t xml:space="preserve"> </w:t>
      </w:r>
      <w:r w:rsidR="00C025B7" w:rsidRPr="00652B41">
        <w:rPr>
          <w:rFonts w:ascii="Times New Roman" w:hAnsi="Times New Roman" w:cs="Times New Roman"/>
          <w:sz w:val="24"/>
          <w:szCs w:val="24"/>
        </w:rPr>
        <w:t>» H.R., étudiant.</w:t>
      </w:r>
    </w:p>
    <w:p w14:paraId="20151FE3" w14:textId="09735A3C" w:rsidR="00652B41" w:rsidRDefault="006972A7" w:rsidP="00652B41">
      <w:pPr>
        <w:pStyle w:val="Paragraphedeliste"/>
        <w:spacing w:line="360" w:lineRule="auto"/>
        <w:ind w:left="709"/>
        <w:jc w:val="both"/>
        <w:rPr>
          <w:rFonts w:ascii="Times New Roman" w:hAnsi="Times New Roman" w:cs="Times New Roman"/>
          <w:sz w:val="24"/>
          <w:szCs w:val="24"/>
        </w:rPr>
      </w:pPr>
      <w:r w:rsidRPr="00652B41">
        <w:rPr>
          <w:rFonts w:ascii="Times New Roman" w:hAnsi="Times New Roman" w:cs="Times New Roman"/>
          <w:sz w:val="24"/>
          <w:szCs w:val="24"/>
        </w:rPr>
        <w:t xml:space="preserve">Il </w:t>
      </w:r>
      <w:r w:rsidR="00652B41" w:rsidRPr="00652B41">
        <w:rPr>
          <w:rFonts w:ascii="Times New Roman" w:hAnsi="Times New Roman" w:cs="Times New Roman"/>
          <w:sz w:val="24"/>
          <w:szCs w:val="24"/>
        </w:rPr>
        <w:t xml:space="preserve">leur </w:t>
      </w:r>
      <w:r w:rsidRPr="00652B41">
        <w:rPr>
          <w:rFonts w:ascii="Times New Roman" w:hAnsi="Times New Roman" w:cs="Times New Roman"/>
          <w:sz w:val="24"/>
          <w:szCs w:val="24"/>
        </w:rPr>
        <w:t xml:space="preserve">devenait </w:t>
      </w:r>
      <w:r w:rsidR="00F7315D" w:rsidRPr="00652B41">
        <w:rPr>
          <w:rFonts w:ascii="Times New Roman" w:hAnsi="Times New Roman" w:cs="Times New Roman"/>
          <w:sz w:val="24"/>
          <w:szCs w:val="24"/>
        </w:rPr>
        <w:t xml:space="preserve">dès lors </w:t>
      </w:r>
      <w:r w:rsidRPr="00652B41">
        <w:rPr>
          <w:rFonts w:ascii="Times New Roman" w:hAnsi="Times New Roman" w:cs="Times New Roman"/>
          <w:sz w:val="24"/>
          <w:szCs w:val="24"/>
        </w:rPr>
        <w:t xml:space="preserve">très compliqué de se référer à des éléments d’analyse qui demandaient des efforts relativement longs de construction et de maturation. </w:t>
      </w:r>
      <w:r w:rsidR="00EC4EAD" w:rsidRPr="00652B41">
        <w:rPr>
          <w:rFonts w:ascii="Times New Roman" w:hAnsi="Times New Roman" w:cs="Times New Roman"/>
          <w:sz w:val="24"/>
          <w:szCs w:val="24"/>
        </w:rPr>
        <w:t>«</w:t>
      </w:r>
      <w:r w:rsidR="00E36FC8">
        <w:rPr>
          <w:rFonts w:ascii="Times New Roman" w:hAnsi="Times New Roman" w:cs="Times New Roman"/>
          <w:sz w:val="24"/>
          <w:szCs w:val="24"/>
        </w:rPr>
        <w:t xml:space="preserve"> </w:t>
      </w:r>
      <w:r w:rsidR="000F4CF9" w:rsidRPr="00652B41">
        <w:rPr>
          <w:rFonts w:ascii="Times New Roman" w:hAnsi="Times New Roman" w:cs="Times New Roman"/>
          <w:i/>
          <w:sz w:val="24"/>
          <w:szCs w:val="24"/>
        </w:rPr>
        <w:t>J</w:t>
      </w:r>
      <w:r w:rsidR="00EC4EAD" w:rsidRPr="00652B41">
        <w:rPr>
          <w:rFonts w:ascii="Times New Roman" w:hAnsi="Times New Roman" w:cs="Times New Roman"/>
          <w:i/>
          <w:sz w:val="24"/>
          <w:szCs w:val="24"/>
        </w:rPr>
        <w:t>e misais plus sur l'instinct pour acheter ou vendre mais maintenant j'ai compris que le tra</w:t>
      </w:r>
      <w:r w:rsidR="00C60359" w:rsidRPr="00652B41">
        <w:rPr>
          <w:rFonts w:ascii="Times New Roman" w:hAnsi="Times New Roman" w:cs="Times New Roman"/>
          <w:i/>
          <w:sz w:val="24"/>
          <w:szCs w:val="24"/>
        </w:rPr>
        <w:t xml:space="preserve">ding n'est pas </w:t>
      </w:r>
      <w:r w:rsidR="00EC4EAD" w:rsidRPr="00652B41">
        <w:rPr>
          <w:rFonts w:ascii="Times New Roman" w:hAnsi="Times New Roman" w:cs="Times New Roman"/>
          <w:i/>
          <w:sz w:val="24"/>
          <w:szCs w:val="24"/>
        </w:rPr>
        <w:t>un jeu. Il faut être stratège, beaucoup suivre l'actualité pour mieux décider</w:t>
      </w:r>
      <w:r w:rsidR="00EC4EAD" w:rsidRPr="00652B41">
        <w:rPr>
          <w:rFonts w:ascii="Times New Roman" w:hAnsi="Times New Roman" w:cs="Times New Roman"/>
          <w:sz w:val="24"/>
          <w:szCs w:val="24"/>
        </w:rPr>
        <w:t> », M.M., étudiante.</w:t>
      </w:r>
    </w:p>
    <w:p w14:paraId="0456E51A" w14:textId="665481EA" w:rsidR="00E1175C" w:rsidRPr="00844F98" w:rsidRDefault="006972A7" w:rsidP="003715C7">
      <w:pPr>
        <w:pStyle w:val="Paragraphedeliste"/>
        <w:spacing w:line="360" w:lineRule="auto"/>
        <w:ind w:left="709"/>
        <w:jc w:val="both"/>
        <w:rPr>
          <w:rFonts w:ascii="Times New Roman" w:hAnsi="Times New Roman" w:cs="Times New Roman"/>
          <w:sz w:val="24"/>
          <w:szCs w:val="24"/>
        </w:rPr>
      </w:pPr>
      <w:r w:rsidRPr="00652B41">
        <w:rPr>
          <w:rFonts w:ascii="Times New Roman" w:hAnsi="Times New Roman" w:cs="Times New Roman"/>
          <w:sz w:val="24"/>
          <w:szCs w:val="24"/>
        </w:rPr>
        <w:lastRenderedPageBreak/>
        <w:t xml:space="preserve">Ils </w:t>
      </w:r>
      <w:r w:rsidR="00FA3DE3">
        <w:rPr>
          <w:rFonts w:ascii="Times New Roman" w:hAnsi="Times New Roman" w:cs="Times New Roman"/>
          <w:sz w:val="24"/>
          <w:szCs w:val="24"/>
        </w:rPr>
        <w:t>étaient contraints</w:t>
      </w:r>
      <w:r w:rsidRPr="00652B41">
        <w:rPr>
          <w:rFonts w:ascii="Times New Roman" w:hAnsi="Times New Roman" w:cs="Times New Roman"/>
          <w:sz w:val="24"/>
          <w:szCs w:val="24"/>
        </w:rPr>
        <w:t xml:space="preserve"> à s’orienter bon gré mal gré vers des techniques qu’ils improvisaient en fonction de leur propension (versus aversion) à prendre des risques. </w:t>
      </w:r>
      <w:r w:rsidR="00054189">
        <w:rPr>
          <w:rFonts w:ascii="Times New Roman" w:hAnsi="Times New Roman" w:cs="Times New Roman"/>
          <w:sz w:val="24"/>
          <w:szCs w:val="24"/>
        </w:rPr>
        <w:t>Dans l’esprit des participants, c</w:t>
      </w:r>
      <w:r w:rsidR="0054451C">
        <w:rPr>
          <w:rFonts w:ascii="Times New Roman" w:hAnsi="Times New Roman" w:cs="Times New Roman"/>
          <w:sz w:val="24"/>
          <w:szCs w:val="24"/>
        </w:rPr>
        <w:t xml:space="preserve">’était </w:t>
      </w:r>
      <w:r w:rsidRPr="00652B41">
        <w:rPr>
          <w:rFonts w:ascii="Times New Roman" w:hAnsi="Times New Roman" w:cs="Times New Roman"/>
          <w:sz w:val="24"/>
          <w:szCs w:val="24"/>
        </w:rPr>
        <w:t xml:space="preserve">donc plutôt une sorte de bon sens ordinaire qui </w:t>
      </w:r>
      <w:r w:rsidR="009842F4" w:rsidRPr="00652B41">
        <w:rPr>
          <w:rFonts w:ascii="Times New Roman" w:hAnsi="Times New Roman" w:cs="Times New Roman"/>
          <w:sz w:val="24"/>
          <w:szCs w:val="24"/>
        </w:rPr>
        <w:t>aurait prédestiné</w:t>
      </w:r>
      <w:r w:rsidRPr="00652B41">
        <w:rPr>
          <w:rFonts w:ascii="Times New Roman" w:hAnsi="Times New Roman" w:cs="Times New Roman"/>
          <w:sz w:val="24"/>
          <w:szCs w:val="24"/>
        </w:rPr>
        <w:t xml:space="preserve"> au recours à telle ou telle technique et qui aurait pris le pas sur des approches plus structurées</w:t>
      </w:r>
      <w:r w:rsidR="002E68C7">
        <w:rPr>
          <w:rFonts w:ascii="Times New Roman" w:hAnsi="Times New Roman" w:cs="Times New Roman"/>
          <w:sz w:val="24"/>
          <w:szCs w:val="24"/>
        </w:rPr>
        <w:t>. E</w:t>
      </w:r>
      <w:r w:rsidR="00B479E4">
        <w:rPr>
          <w:rFonts w:ascii="Times New Roman" w:hAnsi="Times New Roman" w:cs="Times New Roman"/>
          <w:sz w:val="24"/>
          <w:szCs w:val="24"/>
        </w:rPr>
        <w:t>n fait, il se référait</w:t>
      </w:r>
      <w:r w:rsidR="002E68C7">
        <w:rPr>
          <w:rFonts w:ascii="Times New Roman" w:hAnsi="Times New Roman" w:cs="Times New Roman"/>
          <w:sz w:val="24"/>
          <w:szCs w:val="24"/>
        </w:rPr>
        <w:t xml:space="preserve"> sans le savoir réellement</w:t>
      </w:r>
      <w:r w:rsidR="00B479E4">
        <w:rPr>
          <w:rFonts w:ascii="Times New Roman" w:hAnsi="Times New Roman" w:cs="Times New Roman"/>
          <w:sz w:val="24"/>
          <w:szCs w:val="24"/>
        </w:rPr>
        <w:t xml:space="preserve"> à la théorie des conventions</w:t>
      </w:r>
      <w:r w:rsidRPr="00652B41">
        <w:rPr>
          <w:rFonts w:ascii="Times New Roman" w:hAnsi="Times New Roman" w:cs="Times New Roman"/>
          <w:sz w:val="24"/>
          <w:szCs w:val="24"/>
        </w:rPr>
        <w:t>. En fonction de ces différents éléments liés aux outils mobilisés, nous avons eu la sensation que les participants, même si certains – à profil féminin plus prudentiel - essayaient de construire une stratégie structurée</w:t>
      </w:r>
      <w:r w:rsidR="00365601" w:rsidRPr="00652B41">
        <w:rPr>
          <w:rFonts w:ascii="Times New Roman" w:hAnsi="Times New Roman" w:cs="Times New Roman"/>
          <w:sz w:val="24"/>
          <w:szCs w:val="24"/>
        </w:rPr>
        <w:t xml:space="preserve"> </w:t>
      </w:r>
      <w:r w:rsidR="00E90AE3">
        <w:rPr>
          <w:rFonts w:ascii="Times New Roman" w:hAnsi="Times New Roman" w:cs="Times New Roman"/>
          <w:sz w:val="24"/>
          <w:szCs w:val="24"/>
        </w:rPr>
        <w:t xml:space="preserve">mêlant plusieurs perspectives d’analyse </w:t>
      </w:r>
      <w:r w:rsidR="00365601" w:rsidRPr="00652B41">
        <w:rPr>
          <w:rFonts w:ascii="Times New Roman" w:hAnsi="Times New Roman" w:cs="Times New Roman"/>
          <w:sz w:val="24"/>
          <w:szCs w:val="24"/>
        </w:rPr>
        <w:t>(</w:t>
      </w:r>
      <w:r w:rsidR="00365601" w:rsidRPr="00652B41">
        <w:rPr>
          <w:rFonts w:ascii="Times New Roman" w:hAnsi="Times New Roman" w:cs="Times New Roman"/>
          <w:i/>
          <w:sz w:val="24"/>
          <w:szCs w:val="24"/>
        </w:rPr>
        <w:t xml:space="preserve">Nous nous étions mis d’accord sur une stratégie permettant d’éviter une forte volatilité, c’est-à-dire essayer d’investir dans plusieurs secteurs afin de répartir le risque, et également garder une liquidité de 20 000€ au début. Avant de passer un ordre d’achat ou de vente, nous analysions ensemble la rentabilité de l’action et nous lisions les actualités et nous avons réalisé une fiche sur laquelle figuraient les 40 actions du CAC40 avec leur cours le plus haut et le plus bas, </w:t>
      </w:r>
      <w:r w:rsidR="00365601" w:rsidRPr="00652B41">
        <w:rPr>
          <w:rFonts w:ascii="Times New Roman" w:hAnsi="Times New Roman" w:cs="Times New Roman"/>
          <w:sz w:val="24"/>
          <w:szCs w:val="24"/>
        </w:rPr>
        <w:t>groupe 5</w:t>
      </w:r>
      <w:r w:rsidR="007405BA">
        <w:rPr>
          <w:rFonts w:ascii="Times New Roman" w:hAnsi="Times New Roman" w:cs="Times New Roman"/>
          <w:sz w:val="24"/>
          <w:szCs w:val="24"/>
        </w:rPr>
        <w:t>,</w:t>
      </w:r>
      <w:r w:rsidR="00365601" w:rsidRPr="00652B41">
        <w:rPr>
          <w:rFonts w:ascii="Times New Roman" w:hAnsi="Times New Roman" w:cs="Times New Roman"/>
          <w:sz w:val="24"/>
          <w:szCs w:val="24"/>
        </w:rPr>
        <w:t xml:space="preserve"> uniquement féminin</w:t>
      </w:r>
      <w:r w:rsidR="00365601" w:rsidRPr="00652B41">
        <w:rPr>
          <w:rFonts w:ascii="Times New Roman" w:hAnsi="Times New Roman" w:cs="Times New Roman"/>
          <w:i/>
          <w:sz w:val="24"/>
          <w:szCs w:val="24"/>
        </w:rPr>
        <w:t>)</w:t>
      </w:r>
      <w:r w:rsidRPr="00652B41">
        <w:rPr>
          <w:rFonts w:ascii="Times New Roman" w:hAnsi="Times New Roman" w:cs="Times New Roman"/>
          <w:sz w:val="24"/>
          <w:szCs w:val="24"/>
        </w:rPr>
        <w:t xml:space="preserve">, s’écartaient très rapidement des prescrits académiques </w:t>
      </w:r>
      <w:r w:rsidRPr="00116469">
        <w:rPr>
          <w:rFonts w:ascii="Times New Roman" w:hAnsi="Times New Roman" w:cs="Times New Roman"/>
          <w:sz w:val="24"/>
          <w:szCs w:val="24"/>
        </w:rPr>
        <w:t>pour s’orienter vers un processus décisionnel construit</w:t>
      </w:r>
      <w:r w:rsidR="002456BB" w:rsidRPr="00116469">
        <w:rPr>
          <w:rFonts w:ascii="Times New Roman" w:hAnsi="Times New Roman" w:cs="Times New Roman"/>
          <w:sz w:val="24"/>
          <w:szCs w:val="24"/>
        </w:rPr>
        <w:t xml:space="preserve"> dans l’intimité des groupes</w:t>
      </w:r>
      <w:r w:rsidR="00776AAA" w:rsidRPr="00116469">
        <w:rPr>
          <w:rFonts w:ascii="Times New Roman" w:hAnsi="Times New Roman" w:cs="Times New Roman"/>
          <w:sz w:val="24"/>
          <w:szCs w:val="24"/>
        </w:rPr>
        <w:t xml:space="preserve"> afin d’essayer de maximiser le</w:t>
      </w:r>
      <w:r w:rsidR="005013B5" w:rsidRPr="00116469">
        <w:rPr>
          <w:rFonts w:ascii="Times New Roman" w:hAnsi="Times New Roman" w:cs="Times New Roman"/>
          <w:sz w:val="24"/>
          <w:szCs w:val="24"/>
        </w:rPr>
        <w:t>s gains</w:t>
      </w:r>
      <w:r w:rsidRPr="00652B41">
        <w:rPr>
          <w:rFonts w:ascii="Times New Roman" w:hAnsi="Times New Roman" w:cs="Times New Roman"/>
          <w:sz w:val="24"/>
          <w:szCs w:val="24"/>
        </w:rPr>
        <w:t xml:space="preserve">. Nous avons parfois eu, durant l’évolution de l’expérience, l’impression que les étudiants – principalement masculins - faisaient leurs </w:t>
      </w:r>
      <w:r w:rsidRPr="00652B41">
        <w:rPr>
          <w:rFonts w:ascii="Times New Roman" w:hAnsi="Times New Roman" w:cs="Times New Roman"/>
          <w:i/>
          <w:sz w:val="24"/>
          <w:szCs w:val="24"/>
        </w:rPr>
        <w:t>emplettes</w:t>
      </w:r>
      <w:r w:rsidRPr="00652B41">
        <w:rPr>
          <w:rFonts w:ascii="Times New Roman" w:hAnsi="Times New Roman" w:cs="Times New Roman"/>
          <w:sz w:val="24"/>
          <w:szCs w:val="24"/>
        </w:rPr>
        <w:t xml:space="preserve"> au gré de leurs humeurs (et surtout de celles des marchés). Attirés par des prix qu’ils jugeaient momentanément attractifs</w:t>
      </w:r>
      <w:r w:rsidR="00C113B2">
        <w:rPr>
          <w:rFonts w:ascii="Times New Roman" w:hAnsi="Times New Roman" w:cs="Times New Roman"/>
          <w:sz w:val="24"/>
          <w:szCs w:val="24"/>
        </w:rPr>
        <w:t xml:space="preserve"> (parce que situé</w:t>
      </w:r>
      <w:r w:rsidR="00951825">
        <w:rPr>
          <w:rFonts w:ascii="Times New Roman" w:hAnsi="Times New Roman" w:cs="Times New Roman"/>
          <w:sz w:val="24"/>
          <w:szCs w:val="24"/>
        </w:rPr>
        <w:t>s</w:t>
      </w:r>
      <w:r w:rsidR="00C113B2">
        <w:rPr>
          <w:rFonts w:ascii="Times New Roman" w:hAnsi="Times New Roman" w:cs="Times New Roman"/>
          <w:sz w:val="24"/>
          <w:szCs w:val="24"/>
        </w:rPr>
        <w:t xml:space="preserve"> en-dessous de la convention admise par les marchés)</w:t>
      </w:r>
      <w:r w:rsidRPr="00652B41">
        <w:rPr>
          <w:rFonts w:ascii="Times New Roman" w:hAnsi="Times New Roman" w:cs="Times New Roman"/>
          <w:sz w:val="24"/>
          <w:szCs w:val="24"/>
        </w:rPr>
        <w:t xml:space="preserve">, ils profitaient de situations qu’ils considéraient comme temporaires sur certains produits pour ensuite réaliser une plus-value plus ou moins importante. </w:t>
      </w:r>
      <w:r w:rsidR="00145A51" w:rsidRPr="00652B41">
        <w:rPr>
          <w:rFonts w:ascii="Times New Roman" w:hAnsi="Times New Roman" w:cs="Times New Roman"/>
          <w:sz w:val="24"/>
          <w:szCs w:val="24"/>
        </w:rPr>
        <w:t xml:space="preserve">Dans cette optique, on peut penser qu’ils ont eu </w:t>
      </w:r>
      <w:r w:rsidR="00BF4730" w:rsidRPr="00652B41">
        <w:rPr>
          <w:rFonts w:ascii="Times New Roman" w:hAnsi="Times New Roman" w:cs="Times New Roman"/>
          <w:sz w:val="24"/>
          <w:szCs w:val="24"/>
        </w:rPr>
        <w:t>recours à</w:t>
      </w:r>
      <w:r w:rsidR="00145A51" w:rsidRPr="00652B41">
        <w:rPr>
          <w:rFonts w:ascii="Times New Roman" w:hAnsi="Times New Roman" w:cs="Times New Roman"/>
          <w:sz w:val="24"/>
          <w:szCs w:val="24"/>
        </w:rPr>
        <w:t xml:space="preserve"> la théorie des conventions, en se disant que la valeur perçue par le marché était assimilable à une norme</w:t>
      </w:r>
      <w:r w:rsidR="00AD6264" w:rsidRPr="00652B41">
        <w:rPr>
          <w:rFonts w:ascii="Times New Roman" w:hAnsi="Times New Roman" w:cs="Times New Roman"/>
          <w:sz w:val="24"/>
          <w:szCs w:val="24"/>
        </w:rPr>
        <w:t xml:space="preserve"> à laquelle il convenait de coller</w:t>
      </w:r>
      <w:r w:rsidR="00145A51" w:rsidRPr="00652B41">
        <w:rPr>
          <w:rFonts w:ascii="Times New Roman" w:hAnsi="Times New Roman" w:cs="Times New Roman"/>
          <w:sz w:val="24"/>
          <w:szCs w:val="24"/>
        </w:rPr>
        <w:t>.</w:t>
      </w:r>
      <w:r w:rsidR="00BF4730">
        <w:rPr>
          <w:rFonts w:ascii="Times New Roman" w:hAnsi="Times New Roman" w:cs="Times New Roman"/>
          <w:sz w:val="24"/>
          <w:szCs w:val="24"/>
        </w:rPr>
        <w:t xml:space="preserve"> Dans l’esprit des études conduites par </w:t>
      </w:r>
      <w:proofErr w:type="spellStart"/>
      <w:r w:rsidR="009E2D9F">
        <w:rPr>
          <w:rFonts w:ascii="Times New Roman" w:hAnsi="Times New Roman" w:cs="Times New Roman"/>
          <w:sz w:val="24"/>
          <w:szCs w:val="24"/>
        </w:rPr>
        <w:t>Orléan</w:t>
      </w:r>
      <w:proofErr w:type="spellEnd"/>
      <w:r w:rsidR="009E2D9F">
        <w:rPr>
          <w:rFonts w:ascii="Times New Roman" w:hAnsi="Times New Roman" w:cs="Times New Roman"/>
          <w:sz w:val="24"/>
          <w:szCs w:val="24"/>
        </w:rPr>
        <w:t xml:space="preserve"> A., </w:t>
      </w:r>
      <w:r w:rsidR="00C100EA" w:rsidRPr="00C100EA">
        <w:rPr>
          <w:rFonts w:ascii="Times New Roman" w:hAnsi="Times New Roman" w:cs="Times New Roman"/>
          <w:sz w:val="24"/>
          <w:szCs w:val="24"/>
        </w:rPr>
        <w:t>le</w:t>
      </w:r>
      <w:r w:rsidR="003715C7">
        <w:rPr>
          <w:rFonts w:ascii="Times New Roman" w:hAnsi="Times New Roman" w:cs="Times New Roman"/>
          <w:sz w:val="24"/>
          <w:szCs w:val="24"/>
        </w:rPr>
        <w:t xml:space="preserve">s </w:t>
      </w:r>
      <w:r w:rsidR="00C100EA" w:rsidRPr="003715C7">
        <w:rPr>
          <w:rFonts w:ascii="Times New Roman" w:hAnsi="Times New Roman" w:cs="Times New Roman"/>
          <w:sz w:val="24"/>
          <w:szCs w:val="24"/>
        </w:rPr>
        <w:t>marché</w:t>
      </w:r>
      <w:r w:rsidR="00481628">
        <w:rPr>
          <w:rFonts w:ascii="Times New Roman" w:hAnsi="Times New Roman" w:cs="Times New Roman"/>
          <w:sz w:val="24"/>
          <w:szCs w:val="24"/>
        </w:rPr>
        <w:t xml:space="preserve">s peuvent </w:t>
      </w:r>
      <w:r w:rsidR="00C736D2">
        <w:rPr>
          <w:rFonts w:ascii="Times New Roman" w:hAnsi="Times New Roman" w:cs="Times New Roman"/>
          <w:sz w:val="24"/>
          <w:szCs w:val="24"/>
        </w:rPr>
        <w:t xml:space="preserve">ainsi </w:t>
      </w:r>
      <w:r w:rsidR="00481628">
        <w:rPr>
          <w:rFonts w:ascii="Times New Roman" w:hAnsi="Times New Roman" w:cs="Times New Roman"/>
          <w:sz w:val="24"/>
          <w:szCs w:val="24"/>
        </w:rPr>
        <w:t>connaître</w:t>
      </w:r>
      <w:r w:rsidR="00C100EA" w:rsidRPr="003715C7">
        <w:rPr>
          <w:rFonts w:ascii="Times New Roman" w:hAnsi="Times New Roman" w:cs="Times New Roman"/>
          <w:sz w:val="24"/>
          <w:szCs w:val="24"/>
        </w:rPr>
        <w:t xml:space="preserve"> </w:t>
      </w:r>
      <w:r w:rsidR="00481628">
        <w:rPr>
          <w:rFonts w:ascii="Times New Roman" w:hAnsi="Times New Roman" w:cs="Times New Roman"/>
          <w:sz w:val="24"/>
          <w:szCs w:val="24"/>
        </w:rPr>
        <w:t>des</w:t>
      </w:r>
      <w:r w:rsidR="00C100EA" w:rsidRPr="003715C7">
        <w:rPr>
          <w:rFonts w:ascii="Times New Roman" w:hAnsi="Times New Roman" w:cs="Times New Roman"/>
          <w:sz w:val="24"/>
          <w:szCs w:val="24"/>
        </w:rPr>
        <w:t xml:space="preserve"> dérive</w:t>
      </w:r>
      <w:r w:rsidR="00481628">
        <w:rPr>
          <w:rFonts w:ascii="Times New Roman" w:hAnsi="Times New Roman" w:cs="Times New Roman"/>
          <w:sz w:val="24"/>
          <w:szCs w:val="24"/>
        </w:rPr>
        <w:t>s</w:t>
      </w:r>
      <w:r w:rsidR="00C100EA" w:rsidRPr="003715C7">
        <w:rPr>
          <w:rFonts w:ascii="Times New Roman" w:hAnsi="Times New Roman" w:cs="Times New Roman"/>
          <w:sz w:val="24"/>
          <w:szCs w:val="24"/>
        </w:rPr>
        <w:t xml:space="preserve"> </w:t>
      </w:r>
      <w:r w:rsidR="00481628">
        <w:rPr>
          <w:rFonts w:ascii="Times New Roman" w:hAnsi="Times New Roman" w:cs="Times New Roman"/>
          <w:sz w:val="24"/>
          <w:szCs w:val="24"/>
        </w:rPr>
        <w:t xml:space="preserve">et </w:t>
      </w:r>
      <w:r w:rsidR="00C100EA" w:rsidRPr="003715C7">
        <w:rPr>
          <w:rFonts w:ascii="Times New Roman" w:hAnsi="Times New Roman" w:cs="Times New Roman"/>
          <w:sz w:val="24"/>
          <w:szCs w:val="24"/>
        </w:rPr>
        <w:t xml:space="preserve">construire </w:t>
      </w:r>
      <w:r w:rsidR="00481628">
        <w:rPr>
          <w:rFonts w:ascii="Times New Roman" w:hAnsi="Times New Roman" w:cs="Times New Roman"/>
          <w:sz w:val="24"/>
          <w:szCs w:val="24"/>
        </w:rPr>
        <w:t>d</w:t>
      </w:r>
      <w:r w:rsidR="00082376">
        <w:rPr>
          <w:rFonts w:ascii="Times New Roman" w:hAnsi="Times New Roman" w:cs="Times New Roman"/>
          <w:sz w:val="24"/>
          <w:szCs w:val="24"/>
        </w:rPr>
        <w:t>e manière endogène</w:t>
      </w:r>
      <w:r w:rsidR="00481628">
        <w:rPr>
          <w:rFonts w:ascii="Times New Roman" w:hAnsi="Times New Roman" w:cs="Times New Roman"/>
          <w:sz w:val="24"/>
          <w:szCs w:val="24"/>
        </w:rPr>
        <w:t xml:space="preserve"> </w:t>
      </w:r>
      <w:r w:rsidR="00C100EA" w:rsidRPr="003715C7">
        <w:rPr>
          <w:rFonts w:ascii="Times New Roman" w:hAnsi="Times New Roman" w:cs="Times New Roman"/>
          <w:sz w:val="24"/>
          <w:szCs w:val="24"/>
        </w:rPr>
        <w:t>des conventions d’évaluations</w:t>
      </w:r>
      <w:r w:rsidR="003715C7">
        <w:rPr>
          <w:rFonts w:ascii="Times New Roman" w:hAnsi="Times New Roman" w:cs="Times New Roman"/>
          <w:sz w:val="24"/>
          <w:szCs w:val="24"/>
        </w:rPr>
        <w:t xml:space="preserve"> </w:t>
      </w:r>
      <w:r w:rsidR="00C100EA" w:rsidRPr="003715C7">
        <w:rPr>
          <w:rFonts w:ascii="Times New Roman" w:hAnsi="Times New Roman" w:cs="Times New Roman"/>
          <w:sz w:val="24"/>
          <w:szCs w:val="24"/>
        </w:rPr>
        <w:t>qui s’apparentent à des croyances collectives s</w:t>
      </w:r>
      <w:r w:rsidR="00E34D9B">
        <w:rPr>
          <w:rFonts w:ascii="Times New Roman" w:hAnsi="Times New Roman" w:cs="Times New Roman"/>
          <w:sz w:val="24"/>
          <w:szCs w:val="24"/>
        </w:rPr>
        <w:t>’éloignant</w:t>
      </w:r>
      <w:r w:rsidR="00C100EA" w:rsidRPr="003715C7">
        <w:rPr>
          <w:rFonts w:ascii="Times New Roman" w:hAnsi="Times New Roman" w:cs="Times New Roman"/>
          <w:sz w:val="24"/>
          <w:szCs w:val="24"/>
        </w:rPr>
        <w:t xml:space="preserve"> du prix d’efficience</w:t>
      </w:r>
      <w:r w:rsidR="00E34D9B">
        <w:rPr>
          <w:rFonts w:ascii="Times New Roman" w:hAnsi="Times New Roman" w:cs="Times New Roman"/>
          <w:sz w:val="24"/>
          <w:szCs w:val="24"/>
        </w:rPr>
        <w:t xml:space="preserve"> (</w:t>
      </w:r>
      <w:r w:rsidR="00082376">
        <w:rPr>
          <w:rFonts w:ascii="Times New Roman" w:hAnsi="Times New Roman" w:cs="Times New Roman"/>
          <w:sz w:val="24"/>
          <w:szCs w:val="24"/>
        </w:rPr>
        <w:t>Martin D., 2016).</w:t>
      </w:r>
      <w:r w:rsidR="00A1471B">
        <w:rPr>
          <w:rFonts w:ascii="Times New Roman" w:hAnsi="Times New Roman" w:cs="Times New Roman"/>
          <w:sz w:val="24"/>
          <w:szCs w:val="24"/>
        </w:rPr>
        <w:t xml:space="preserve"> </w:t>
      </w:r>
      <w:r w:rsidR="00CB63FA" w:rsidRPr="00844F98">
        <w:rPr>
          <w:rFonts w:ascii="Times New Roman" w:hAnsi="Times New Roman" w:cs="Times New Roman"/>
          <w:sz w:val="24"/>
          <w:szCs w:val="24"/>
        </w:rPr>
        <w:t xml:space="preserve">La question qui </w:t>
      </w:r>
      <w:r w:rsidR="004178AB" w:rsidRPr="00844F98">
        <w:rPr>
          <w:rFonts w:ascii="Times New Roman" w:hAnsi="Times New Roman" w:cs="Times New Roman"/>
          <w:sz w:val="24"/>
          <w:szCs w:val="24"/>
        </w:rPr>
        <w:t>demeure en suspen</w:t>
      </w:r>
      <w:r w:rsidR="00DD7A11" w:rsidRPr="00844F98">
        <w:rPr>
          <w:rFonts w:ascii="Times New Roman" w:hAnsi="Times New Roman" w:cs="Times New Roman"/>
          <w:sz w:val="24"/>
          <w:szCs w:val="24"/>
        </w:rPr>
        <w:t>s concerne la mesure avec laquelle les</w:t>
      </w:r>
      <w:r w:rsidR="000E797B" w:rsidRPr="00844F98">
        <w:rPr>
          <w:rFonts w:ascii="Times New Roman" w:hAnsi="Times New Roman" w:cs="Times New Roman"/>
          <w:sz w:val="24"/>
          <w:szCs w:val="24"/>
        </w:rPr>
        <w:t xml:space="preserve"> caractéristiques des participants </w:t>
      </w:r>
      <w:r w:rsidR="00C36F27" w:rsidRPr="00844F98">
        <w:rPr>
          <w:rFonts w:ascii="Times New Roman" w:hAnsi="Times New Roman" w:cs="Times New Roman"/>
          <w:sz w:val="24"/>
          <w:szCs w:val="24"/>
        </w:rPr>
        <w:t xml:space="preserve">- </w:t>
      </w:r>
      <w:r w:rsidR="000E797B" w:rsidRPr="00844F98">
        <w:rPr>
          <w:rFonts w:ascii="Times New Roman" w:hAnsi="Times New Roman" w:cs="Times New Roman"/>
          <w:sz w:val="24"/>
          <w:szCs w:val="24"/>
        </w:rPr>
        <w:t xml:space="preserve">une absence d’expérience dans le domaine du trading, </w:t>
      </w:r>
      <w:r w:rsidR="00D0514D" w:rsidRPr="00844F98">
        <w:rPr>
          <w:rFonts w:ascii="Times New Roman" w:hAnsi="Times New Roman" w:cs="Times New Roman"/>
          <w:sz w:val="24"/>
          <w:szCs w:val="24"/>
        </w:rPr>
        <w:t>un parcours universitaire non encore achevé</w:t>
      </w:r>
      <w:r w:rsidR="00C36F27" w:rsidRPr="00844F98">
        <w:rPr>
          <w:rFonts w:ascii="Times New Roman" w:hAnsi="Times New Roman" w:cs="Times New Roman"/>
          <w:sz w:val="24"/>
          <w:szCs w:val="24"/>
        </w:rPr>
        <w:t xml:space="preserve">, </w:t>
      </w:r>
      <w:r w:rsidR="00F0651B" w:rsidRPr="00844F98">
        <w:rPr>
          <w:rFonts w:ascii="Times New Roman" w:hAnsi="Times New Roman" w:cs="Times New Roman"/>
          <w:sz w:val="24"/>
          <w:szCs w:val="24"/>
        </w:rPr>
        <w:t>des nivea</w:t>
      </w:r>
      <w:r w:rsidR="00602A46" w:rsidRPr="00844F98">
        <w:rPr>
          <w:rFonts w:ascii="Times New Roman" w:hAnsi="Times New Roman" w:cs="Times New Roman"/>
          <w:sz w:val="24"/>
          <w:szCs w:val="24"/>
        </w:rPr>
        <w:t xml:space="preserve">ux variables de confiance </w:t>
      </w:r>
      <w:r w:rsidR="00BE0C41" w:rsidRPr="00844F98">
        <w:rPr>
          <w:rFonts w:ascii="Times New Roman" w:hAnsi="Times New Roman" w:cs="Times New Roman"/>
          <w:sz w:val="24"/>
          <w:szCs w:val="24"/>
        </w:rPr>
        <w:t xml:space="preserve">(voir, </w:t>
      </w:r>
      <w:r w:rsidR="00CE7A3B" w:rsidRPr="00844F98">
        <w:rPr>
          <w:rFonts w:ascii="Times New Roman" w:hAnsi="Times New Roman" w:cs="Times New Roman"/>
          <w:sz w:val="24"/>
          <w:szCs w:val="24"/>
        </w:rPr>
        <w:t>sur ce dernier point</w:t>
      </w:r>
      <w:r w:rsidR="00BE0C41" w:rsidRPr="00844F98">
        <w:rPr>
          <w:rFonts w:ascii="Times New Roman" w:hAnsi="Times New Roman" w:cs="Times New Roman"/>
          <w:sz w:val="24"/>
          <w:szCs w:val="24"/>
        </w:rPr>
        <w:t xml:space="preserve">, </w:t>
      </w:r>
      <w:bookmarkStart w:id="0" w:name="_Hlk62480557"/>
      <w:proofErr w:type="spellStart"/>
      <w:r w:rsidR="00D335BC" w:rsidRPr="00844F98">
        <w:rPr>
          <w:rFonts w:ascii="Times New Roman" w:hAnsi="Times New Roman" w:cs="Times New Roman"/>
          <w:sz w:val="24"/>
          <w:szCs w:val="24"/>
        </w:rPr>
        <w:t>Koebel</w:t>
      </w:r>
      <w:proofErr w:type="spellEnd"/>
      <w:r w:rsidR="00D335BC" w:rsidRPr="00844F98">
        <w:rPr>
          <w:rFonts w:ascii="Times New Roman" w:hAnsi="Times New Roman" w:cs="Times New Roman"/>
          <w:sz w:val="24"/>
          <w:szCs w:val="24"/>
        </w:rPr>
        <w:t xml:space="preserve"> B., Schmitt A., </w:t>
      </w:r>
      <w:proofErr w:type="spellStart"/>
      <w:r w:rsidR="00D335BC" w:rsidRPr="00844F98">
        <w:rPr>
          <w:rFonts w:ascii="Times New Roman" w:hAnsi="Times New Roman" w:cs="Times New Roman"/>
          <w:sz w:val="24"/>
          <w:szCs w:val="24"/>
        </w:rPr>
        <w:t>Spaeter</w:t>
      </w:r>
      <w:proofErr w:type="spellEnd"/>
      <w:r w:rsidR="00D335BC" w:rsidRPr="00844F98">
        <w:rPr>
          <w:rFonts w:ascii="Times New Roman" w:hAnsi="Times New Roman" w:cs="Times New Roman"/>
          <w:sz w:val="24"/>
          <w:szCs w:val="24"/>
        </w:rPr>
        <w:t xml:space="preserve"> S.</w:t>
      </w:r>
      <w:r w:rsidR="00CE7A3B" w:rsidRPr="00844F98">
        <w:rPr>
          <w:rFonts w:ascii="Times New Roman" w:hAnsi="Times New Roman" w:cs="Times New Roman"/>
          <w:sz w:val="24"/>
          <w:szCs w:val="24"/>
        </w:rPr>
        <w:t xml:space="preserve"> (2016)</w:t>
      </w:r>
      <w:bookmarkEnd w:id="0"/>
      <w:r w:rsidR="00CE7A3B" w:rsidRPr="00844F98">
        <w:rPr>
          <w:rFonts w:ascii="Times New Roman" w:hAnsi="Times New Roman" w:cs="Times New Roman"/>
          <w:sz w:val="24"/>
          <w:szCs w:val="24"/>
        </w:rPr>
        <w:t>)</w:t>
      </w:r>
      <w:r w:rsidR="00D335BC" w:rsidRPr="00844F98">
        <w:rPr>
          <w:rFonts w:ascii="Times New Roman" w:hAnsi="Times New Roman" w:cs="Times New Roman"/>
          <w:sz w:val="24"/>
          <w:szCs w:val="24"/>
        </w:rPr>
        <w:t xml:space="preserve"> </w:t>
      </w:r>
      <w:r w:rsidR="00D41C23" w:rsidRPr="00844F98">
        <w:rPr>
          <w:rFonts w:ascii="Times New Roman" w:hAnsi="Times New Roman" w:cs="Times New Roman"/>
          <w:sz w:val="24"/>
          <w:szCs w:val="24"/>
        </w:rPr>
        <w:t>–</w:t>
      </w:r>
      <w:r w:rsidR="00602A46" w:rsidRPr="00844F98">
        <w:rPr>
          <w:rFonts w:ascii="Times New Roman" w:hAnsi="Times New Roman" w:cs="Times New Roman"/>
          <w:sz w:val="24"/>
          <w:szCs w:val="24"/>
        </w:rPr>
        <w:t xml:space="preserve"> </w:t>
      </w:r>
      <w:r w:rsidR="00005F1E" w:rsidRPr="00844F98">
        <w:rPr>
          <w:rFonts w:ascii="Times New Roman" w:hAnsi="Times New Roman" w:cs="Times New Roman"/>
          <w:sz w:val="24"/>
          <w:szCs w:val="24"/>
        </w:rPr>
        <w:t>n</w:t>
      </w:r>
      <w:r w:rsidR="00D41C23" w:rsidRPr="00844F98">
        <w:rPr>
          <w:rFonts w:ascii="Times New Roman" w:hAnsi="Times New Roman" w:cs="Times New Roman"/>
          <w:sz w:val="24"/>
          <w:szCs w:val="24"/>
        </w:rPr>
        <w:t>’auraient</w:t>
      </w:r>
      <w:r w:rsidR="00005F1E" w:rsidRPr="00844F98">
        <w:rPr>
          <w:rFonts w:ascii="Times New Roman" w:hAnsi="Times New Roman" w:cs="Times New Roman"/>
          <w:sz w:val="24"/>
          <w:szCs w:val="24"/>
        </w:rPr>
        <w:t xml:space="preserve"> pas </w:t>
      </w:r>
      <w:r w:rsidR="00A523E4" w:rsidRPr="00844F98">
        <w:rPr>
          <w:rFonts w:ascii="Times New Roman" w:hAnsi="Times New Roman" w:cs="Times New Roman"/>
          <w:sz w:val="24"/>
          <w:szCs w:val="24"/>
        </w:rPr>
        <w:t xml:space="preserve">conditionné </w:t>
      </w:r>
      <w:r w:rsidR="00005F1E" w:rsidRPr="00844F98">
        <w:rPr>
          <w:rFonts w:ascii="Times New Roman" w:hAnsi="Times New Roman" w:cs="Times New Roman"/>
          <w:sz w:val="24"/>
          <w:szCs w:val="24"/>
        </w:rPr>
        <w:t xml:space="preserve">les résultats au contexte au sein duquel s’est inscrite l’expérience. </w:t>
      </w:r>
      <w:r w:rsidR="000D5766" w:rsidRPr="00844F98">
        <w:rPr>
          <w:rFonts w:ascii="Times New Roman" w:hAnsi="Times New Roman" w:cs="Times New Roman"/>
          <w:sz w:val="24"/>
          <w:szCs w:val="24"/>
        </w:rPr>
        <w:t>En d’autres termes, on pourrait se demander si les résultats obtenus</w:t>
      </w:r>
      <w:r w:rsidR="00872199" w:rsidRPr="00844F98">
        <w:rPr>
          <w:rFonts w:ascii="Times New Roman" w:hAnsi="Times New Roman" w:cs="Times New Roman"/>
          <w:sz w:val="24"/>
          <w:szCs w:val="24"/>
        </w:rPr>
        <w:t xml:space="preserve"> sont </w:t>
      </w:r>
      <w:r w:rsidR="00741848" w:rsidRPr="00844F98">
        <w:rPr>
          <w:rFonts w:ascii="Times New Roman" w:hAnsi="Times New Roman" w:cs="Times New Roman"/>
          <w:sz w:val="24"/>
          <w:szCs w:val="24"/>
        </w:rPr>
        <w:t xml:space="preserve">bel et bien </w:t>
      </w:r>
      <w:r w:rsidR="00872199" w:rsidRPr="00844F98">
        <w:rPr>
          <w:rFonts w:ascii="Times New Roman" w:hAnsi="Times New Roman" w:cs="Times New Roman"/>
          <w:sz w:val="24"/>
          <w:szCs w:val="24"/>
        </w:rPr>
        <w:t>représentatifs</w:t>
      </w:r>
      <w:r w:rsidR="00591264" w:rsidRPr="00844F98">
        <w:rPr>
          <w:rFonts w:ascii="Times New Roman" w:hAnsi="Times New Roman" w:cs="Times New Roman"/>
          <w:sz w:val="24"/>
          <w:szCs w:val="24"/>
        </w:rPr>
        <w:t xml:space="preserve"> des comportements des acteurs de marché.</w:t>
      </w:r>
      <w:r w:rsidR="006040B8" w:rsidRPr="00844F98">
        <w:rPr>
          <w:rFonts w:ascii="Times New Roman" w:hAnsi="Times New Roman" w:cs="Times New Roman"/>
          <w:sz w:val="24"/>
          <w:szCs w:val="24"/>
        </w:rPr>
        <w:t xml:space="preserve"> </w:t>
      </w:r>
      <w:r w:rsidR="00C852F2">
        <w:rPr>
          <w:rFonts w:ascii="Times New Roman" w:hAnsi="Times New Roman" w:cs="Times New Roman"/>
          <w:sz w:val="24"/>
          <w:szCs w:val="24"/>
        </w:rPr>
        <w:t xml:space="preserve">A cette remarque, </w:t>
      </w:r>
      <w:r w:rsidR="00C852F2">
        <w:rPr>
          <w:rFonts w:ascii="Times New Roman" w:hAnsi="Times New Roman" w:cs="Times New Roman"/>
          <w:sz w:val="24"/>
          <w:szCs w:val="24"/>
        </w:rPr>
        <w:lastRenderedPageBreak/>
        <w:t>nous avançons</w:t>
      </w:r>
      <w:r w:rsidR="00E67172">
        <w:rPr>
          <w:rFonts w:ascii="Times New Roman" w:hAnsi="Times New Roman" w:cs="Times New Roman"/>
          <w:sz w:val="24"/>
          <w:szCs w:val="24"/>
        </w:rPr>
        <w:t>, premièrement,</w:t>
      </w:r>
      <w:r w:rsidR="00C852F2">
        <w:rPr>
          <w:rFonts w:ascii="Times New Roman" w:hAnsi="Times New Roman" w:cs="Times New Roman"/>
          <w:sz w:val="24"/>
          <w:szCs w:val="24"/>
        </w:rPr>
        <w:t xml:space="preserve"> que la</w:t>
      </w:r>
      <w:r w:rsidR="00E9499F">
        <w:rPr>
          <w:rFonts w:ascii="Times New Roman" w:hAnsi="Times New Roman" w:cs="Times New Roman"/>
          <w:sz w:val="24"/>
          <w:szCs w:val="24"/>
        </w:rPr>
        <w:t xml:space="preserve"> durée de l’expérience a permis aux participants d’intégrer certains codes du trading</w:t>
      </w:r>
      <w:r w:rsidR="00E67172">
        <w:rPr>
          <w:rFonts w:ascii="Times New Roman" w:hAnsi="Times New Roman" w:cs="Times New Roman"/>
          <w:sz w:val="24"/>
          <w:szCs w:val="24"/>
        </w:rPr>
        <w:t xml:space="preserve"> et donc, au fur et à mesure du temps, ils se sont </w:t>
      </w:r>
      <w:r w:rsidR="00693C8B">
        <w:rPr>
          <w:rFonts w:ascii="Times New Roman" w:hAnsi="Times New Roman" w:cs="Times New Roman"/>
          <w:sz w:val="24"/>
          <w:szCs w:val="24"/>
        </w:rPr>
        <w:t>sociabilisés à certaines routines.</w:t>
      </w:r>
      <w:r w:rsidR="00C852F2">
        <w:rPr>
          <w:rFonts w:ascii="Times New Roman" w:hAnsi="Times New Roman" w:cs="Times New Roman"/>
          <w:sz w:val="24"/>
          <w:szCs w:val="24"/>
        </w:rPr>
        <w:t xml:space="preserve"> </w:t>
      </w:r>
    </w:p>
    <w:p w14:paraId="30350A34" w14:textId="77777777" w:rsidR="00CA7B82" w:rsidRDefault="00693C8B" w:rsidP="00FB0D94">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Deuxièmement</w:t>
      </w:r>
      <w:r w:rsidR="0075327D">
        <w:rPr>
          <w:rFonts w:ascii="Times New Roman" w:hAnsi="Times New Roman" w:cs="Times New Roman"/>
          <w:sz w:val="24"/>
          <w:szCs w:val="24"/>
        </w:rPr>
        <w:t>, l</w:t>
      </w:r>
      <w:r w:rsidR="006972A7" w:rsidRPr="00FB0D94">
        <w:rPr>
          <w:rFonts w:ascii="Times New Roman" w:hAnsi="Times New Roman" w:cs="Times New Roman"/>
          <w:sz w:val="24"/>
          <w:szCs w:val="24"/>
        </w:rPr>
        <w:t xml:space="preserve">es </w:t>
      </w:r>
      <w:r w:rsidR="00E1175C" w:rsidRPr="00FB0D94">
        <w:rPr>
          <w:rFonts w:ascii="Times New Roman" w:hAnsi="Times New Roman" w:cs="Times New Roman"/>
          <w:sz w:val="24"/>
          <w:szCs w:val="24"/>
        </w:rPr>
        <w:t xml:space="preserve">différents </w:t>
      </w:r>
      <w:r w:rsidR="00213628">
        <w:rPr>
          <w:rFonts w:ascii="Times New Roman" w:hAnsi="Times New Roman" w:cs="Times New Roman"/>
          <w:sz w:val="24"/>
          <w:szCs w:val="24"/>
        </w:rPr>
        <w:t xml:space="preserve">résultats obtenus semblent </w:t>
      </w:r>
      <w:r w:rsidR="006972A7" w:rsidRPr="00FB0D94">
        <w:rPr>
          <w:rFonts w:ascii="Times New Roman" w:hAnsi="Times New Roman" w:cs="Times New Roman"/>
          <w:sz w:val="24"/>
          <w:szCs w:val="24"/>
        </w:rPr>
        <w:t>corrobore</w:t>
      </w:r>
      <w:r w:rsidR="00213628">
        <w:rPr>
          <w:rFonts w:ascii="Times New Roman" w:hAnsi="Times New Roman" w:cs="Times New Roman"/>
          <w:sz w:val="24"/>
          <w:szCs w:val="24"/>
        </w:rPr>
        <w:t>r</w:t>
      </w:r>
      <w:r w:rsidR="006972A7" w:rsidRPr="00FB0D94">
        <w:rPr>
          <w:rFonts w:ascii="Times New Roman" w:hAnsi="Times New Roman" w:cs="Times New Roman"/>
          <w:sz w:val="24"/>
          <w:szCs w:val="24"/>
        </w:rPr>
        <w:t xml:space="preserve"> les conclusions apportées par </w:t>
      </w:r>
      <w:proofErr w:type="spellStart"/>
      <w:r w:rsidR="006972A7" w:rsidRPr="00FB0D94">
        <w:rPr>
          <w:rFonts w:ascii="Times New Roman" w:hAnsi="Times New Roman" w:cs="Times New Roman"/>
          <w:sz w:val="24"/>
          <w:szCs w:val="24"/>
        </w:rPr>
        <w:t>Godechot</w:t>
      </w:r>
      <w:proofErr w:type="spellEnd"/>
      <w:r w:rsidR="006972A7" w:rsidRPr="00FB0D94">
        <w:rPr>
          <w:rFonts w:ascii="Times New Roman" w:hAnsi="Times New Roman" w:cs="Times New Roman"/>
          <w:sz w:val="24"/>
          <w:szCs w:val="24"/>
        </w:rPr>
        <w:t xml:space="preserve"> O. (2001)</w:t>
      </w:r>
      <w:r w:rsidR="00213628">
        <w:rPr>
          <w:rFonts w:ascii="Times New Roman" w:hAnsi="Times New Roman" w:cs="Times New Roman"/>
          <w:sz w:val="24"/>
          <w:szCs w:val="24"/>
        </w:rPr>
        <w:t xml:space="preserve">, </w:t>
      </w:r>
      <w:r w:rsidR="006972A7" w:rsidRPr="00FB0D94">
        <w:rPr>
          <w:rFonts w:ascii="Times New Roman" w:hAnsi="Times New Roman" w:cs="Times New Roman"/>
          <w:sz w:val="24"/>
          <w:szCs w:val="24"/>
        </w:rPr>
        <w:t>relative</w:t>
      </w:r>
      <w:r w:rsidR="002E0172" w:rsidRPr="00FB0D94">
        <w:rPr>
          <w:rFonts w:ascii="Times New Roman" w:hAnsi="Times New Roman" w:cs="Times New Roman"/>
          <w:sz w:val="24"/>
          <w:szCs w:val="24"/>
        </w:rPr>
        <w:t>s</w:t>
      </w:r>
      <w:r w:rsidR="006972A7" w:rsidRPr="00FB0D94">
        <w:rPr>
          <w:rFonts w:ascii="Times New Roman" w:hAnsi="Times New Roman" w:cs="Times New Roman"/>
          <w:sz w:val="24"/>
          <w:szCs w:val="24"/>
        </w:rPr>
        <w:t xml:space="preserve"> à la sociologie des traders. Selon cet auteur, ceux-ci ne poussent pas très loin leurs analyses pour prendre des décisions et possèdent, dans certains cas, une vision très grégaire des marchés : l’instinct, l’intuition et les mouvements moutonniers semblent jouer un rôle plus important que ne l’avance la théorie financière classique. </w:t>
      </w:r>
    </w:p>
    <w:p w14:paraId="149FC7AD" w14:textId="66EE046A" w:rsidR="00663981" w:rsidRPr="00FB0D94" w:rsidRDefault="00CA7B82" w:rsidP="00FB0D94">
      <w:pPr>
        <w:spacing w:line="360" w:lineRule="auto"/>
        <w:ind w:left="708"/>
        <w:jc w:val="both"/>
        <w:rPr>
          <w:rFonts w:ascii="Times New Roman" w:hAnsi="Times New Roman" w:cs="Times New Roman"/>
          <w:sz w:val="24"/>
          <w:szCs w:val="24"/>
        </w:rPr>
      </w:pPr>
      <w:r w:rsidRPr="00CA7B82">
        <w:rPr>
          <w:rFonts w:ascii="Times New Roman" w:hAnsi="Times New Roman" w:cs="Times New Roman"/>
          <w:sz w:val="24"/>
          <w:szCs w:val="24"/>
        </w:rPr>
        <w:t>Les commentaires des étudiants mettent largement en évidence le poids des émotions dans le processus de prise de décisions et le choix des techniques associées.</w:t>
      </w:r>
      <w:r w:rsidRPr="00CA7B82">
        <w:rPr>
          <w:rFonts w:ascii="Times New Roman" w:hAnsi="Times New Roman" w:cs="Times New Roman"/>
          <w:sz w:val="24"/>
          <w:szCs w:val="24"/>
        </w:rPr>
        <w:t xml:space="preserve"> </w:t>
      </w:r>
      <w:r w:rsidR="00B97346" w:rsidRPr="00FB0D94">
        <w:rPr>
          <w:rFonts w:ascii="Times New Roman" w:hAnsi="Times New Roman" w:cs="Times New Roman"/>
          <w:sz w:val="24"/>
          <w:szCs w:val="24"/>
        </w:rPr>
        <w:t xml:space="preserve">« </w:t>
      </w:r>
      <w:r w:rsidR="00B97346" w:rsidRPr="00FB0D94">
        <w:rPr>
          <w:rFonts w:ascii="Times New Roman" w:hAnsi="Times New Roman" w:cs="Times New Roman"/>
          <w:i/>
          <w:sz w:val="24"/>
          <w:szCs w:val="24"/>
        </w:rPr>
        <w:t>Durant la semaine</w:t>
      </w:r>
      <w:r w:rsidR="00212E8D" w:rsidRPr="00FB0D94">
        <w:rPr>
          <w:rFonts w:ascii="Times New Roman" w:hAnsi="Times New Roman" w:cs="Times New Roman"/>
          <w:i/>
          <w:sz w:val="24"/>
          <w:szCs w:val="24"/>
        </w:rPr>
        <w:t>,</w:t>
      </w:r>
      <w:r w:rsidR="00B97346" w:rsidRPr="00FB0D94">
        <w:rPr>
          <w:rFonts w:ascii="Times New Roman" w:hAnsi="Times New Roman" w:cs="Times New Roman"/>
          <w:i/>
          <w:sz w:val="24"/>
          <w:szCs w:val="24"/>
        </w:rPr>
        <w:t xml:space="preserve"> m</w:t>
      </w:r>
      <w:r w:rsidR="00212E8D" w:rsidRPr="00FB0D94">
        <w:rPr>
          <w:rFonts w:ascii="Times New Roman" w:hAnsi="Times New Roman" w:cs="Times New Roman"/>
          <w:i/>
          <w:sz w:val="24"/>
          <w:szCs w:val="24"/>
        </w:rPr>
        <w:t>e</w:t>
      </w:r>
      <w:r w:rsidR="00B97346" w:rsidRPr="00FB0D94">
        <w:rPr>
          <w:rFonts w:ascii="Times New Roman" w:hAnsi="Times New Roman" w:cs="Times New Roman"/>
          <w:i/>
          <w:sz w:val="24"/>
          <w:szCs w:val="24"/>
        </w:rPr>
        <w:t xml:space="preserve">s émotions ont quelques fois pris le pas sur ma rationalité dans la mesure où j’ai été amené à décider d’un achat ou d’une vente </w:t>
      </w:r>
      <w:r w:rsidR="0040343E" w:rsidRPr="00FB0D94">
        <w:rPr>
          <w:rFonts w:ascii="Times New Roman" w:hAnsi="Times New Roman" w:cs="Times New Roman"/>
          <w:i/>
          <w:sz w:val="24"/>
          <w:szCs w:val="24"/>
        </w:rPr>
        <w:t>à la suite du</w:t>
      </w:r>
      <w:r w:rsidR="00B97346" w:rsidRPr="00FB0D94">
        <w:rPr>
          <w:rFonts w:ascii="Times New Roman" w:hAnsi="Times New Roman" w:cs="Times New Roman"/>
          <w:i/>
          <w:sz w:val="24"/>
          <w:szCs w:val="24"/>
        </w:rPr>
        <w:t xml:space="preserve"> fait que je me trouvais dans un état d’euphorie ou de perplexité</w:t>
      </w:r>
      <w:r w:rsidR="00B97346" w:rsidRPr="00FB0D94">
        <w:rPr>
          <w:rFonts w:ascii="Times New Roman" w:hAnsi="Times New Roman" w:cs="Times New Roman"/>
          <w:sz w:val="24"/>
          <w:szCs w:val="24"/>
        </w:rPr>
        <w:t xml:space="preserve"> ».,</w:t>
      </w:r>
      <w:r w:rsidR="000F4CF9" w:rsidRPr="00FB0D94">
        <w:rPr>
          <w:rFonts w:ascii="Times New Roman" w:hAnsi="Times New Roman" w:cs="Times New Roman"/>
          <w:sz w:val="24"/>
          <w:szCs w:val="24"/>
        </w:rPr>
        <w:t xml:space="preserve"> A.D., étudiant</w:t>
      </w:r>
      <w:r w:rsidR="00B97346" w:rsidRPr="00FB0D94">
        <w:rPr>
          <w:rFonts w:ascii="Times New Roman" w:hAnsi="Times New Roman" w:cs="Times New Roman"/>
          <w:sz w:val="24"/>
          <w:szCs w:val="24"/>
        </w:rPr>
        <w:t xml:space="preserve">. </w:t>
      </w:r>
      <w:r w:rsidR="006972A7" w:rsidRPr="00FB0D94">
        <w:rPr>
          <w:rFonts w:ascii="Times New Roman" w:hAnsi="Times New Roman" w:cs="Times New Roman"/>
          <w:sz w:val="24"/>
          <w:szCs w:val="24"/>
        </w:rPr>
        <w:t>Ces constatations renforcent également l’idée de la dualité des personnalités des intervenants sur les marchés boursiers. A cet égard, Kabbaj T. (2011) démontre un ruissèlement d’une rationalité parfaite avant d’ouvrir une position vers un état plus fortement marqué par l’impulsivité lorsque celle-ci est ouverte</w:t>
      </w:r>
      <w:r w:rsidR="00FD4805" w:rsidRPr="00FB0D94">
        <w:rPr>
          <w:rFonts w:ascii="Times New Roman" w:hAnsi="Times New Roman" w:cs="Times New Roman"/>
          <w:sz w:val="24"/>
          <w:szCs w:val="24"/>
        </w:rPr>
        <w:t>,</w:t>
      </w:r>
      <w:r w:rsidR="006972A7" w:rsidRPr="00FB0D94">
        <w:rPr>
          <w:rFonts w:ascii="Times New Roman" w:hAnsi="Times New Roman" w:cs="Times New Roman"/>
          <w:sz w:val="24"/>
          <w:szCs w:val="24"/>
        </w:rPr>
        <w:t xml:space="preserve"> du fait de la montée de l’adrénaline. </w:t>
      </w:r>
    </w:p>
    <w:p w14:paraId="6582110F" w14:textId="77777777" w:rsidR="00296075" w:rsidRDefault="00001800" w:rsidP="00296075">
      <w:pPr>
        <w:pStyle w:val="Paragraphedeliste"/>
        <w:spacing w:line="360" w:lineRule="auto"/>
        <w:ind w:left="709"/>
        <w:jc w:val="both"/>
        <w:rPr>
          <w:rFonts w:ascii="Times New Roman" w:hAnsi="Times New Roman" w:cs="Times New Roman"/>
          <w:sz w:val="24"/>
          <w:szCs w:val="24"/>
        </w:rPr>
      </w:pPr>
      <w:r w:rsidRPr="00FB0D94">
        <w:rPr>
          <w:rFonts w:ascii="Times New Roman" w:hAnsi="Times New Roman" w:cs="Times New Roman"/>
          <w:sz w:val="24"/>
          <w:szCs w:val="24"/>
        </w:rPr>
        <w:t>« </w:t>
      </w:r>
      <w:r w:rsidRPr="00FB0D94">
        <w:rPr>
          <w:rFonts w:ascii="Times New Roman" w:hAnsi="Times New Roman" w:cs="Times New Roman"/>
          <w:i/>
          <w:sz w:val="24"/>
          <w:szCs w:val="24"/>
        </w:rPr>
        <w:t>Je pense qu’à certains moments les émotions et surtout l’envie de voir croître le portefeuille de manière rapide prenaient le pas sur des décisions mûrement réfléchies</w:t>
      </w:r>
      <w:r w:rsidRPr="00FB0D94">
        <w:rPr>
          <w:rFonts w:ascii="Times New Roman" w:hAnsi="Times New Roman" w:cs="Times New Roman"/>
          <w:sz w:val="24"/>
          <w:szCs w:val="24"/>
        </w:rPr>
        <w:t> »</w:t>
      </w:r>
      <w:r w:rsidR="00CE2196" w:rsidRPr="00FB0D94">
        <w:rPr>
          <w:rFonts w:ascii="Times New Roman" w:hAnsi="Times New Roman" w:cs="Times New Roman"/>
          <w:sz w:val="24"/>
          <w:szCs w:val="24"/>
        </w:rPr>
        <w:t>, A.F., étudiant</w:t>
      </w:r>
      <w:r w:rsidR="00575C59" w:rsidRPr="00FB0D94">
        <w:rPr>
          <w:rFonts w:ascii="Times New Roman" w:hAnsi="Times New Roman" w:cs="Times New Roman"/>
          <w:sz w:val="24"/>
          <w:szCs w:val="24"/>
        </w:rPr>
        <w:t>.</w:t>
      </w:r>
    </w:p>
    <w:p w14:paraId="5630EA73" w14:textId="026E88C8" w:rsidR="00F7315D" w:rsidRPr="00296075" w:rsidRDefault="00BB36FC" w:rsidP="00296075">
      <w:pPr>
        <w:pStyle w:val="Paragraphedeliste"/>
        <w:spacing w:line="360" w:lineRule="auto"/>
        <w:ind w:left="709"/>
        <w:jc w:val="both"/>
        <w:rPr>
          <w:rFonts w:ascii="Times New Roman" w:hAnsi="Times New Roman" w:cs="Times New Roman"/>
          <w:sz w:val="24"/>
          <w:szCs w:val="24"/>
        </w:rPr>
      </w:pPr>
      <w:r w:rsidRPr="00FB0D94">
        <w:rPr>
          <w:rFonts w:ascii="Times New Roman" w:hAnsi="Times New Roman" w:cs="Times New Roman"/>
          <w:i/>
          <w:color w:val="000000"/>
          <w:sz w:val="24"/>
          <w:szCs w:val="24"/>
        </w:rPr>
        <w:t>« L’émotion et le stress prenaient le dessus sur des décisions peut-être parfois non réfléchies : le cours monte « vite on achète », le cours descend « vite on vend »</w:t>
      </w:r>
      <w:r w:rsidR="009B0BF1" w:rsidRPr="00FB0D94">
        <w:rPr>
          <w:rFonts w:ascii="Times New Roman" w:hAnsi="Times New Roman" w:cs="Times New Roman"/>
          <w:i/>
          <w:color w:val="000000"/>
          <w:sz w:val="24"/>
          <w:szCs w:val="24"/>
        </w:rPr>
        <w:t> »</w:t>
      </w:r>
      <w:r w:rsidRPr="00FB0D94">
        <w:rPr>
          <w:rFonts w:ascii="Times New Roman" w:hAnsi="Times New Roman" w:cs="Times New Roman"/>
          <w:i/>
          <w:color w:val="000000"/>
          <w:sz w:val="24"/>
          <w:szCs w:val="24"/>
        </w:rPr>
        <w:t>.</w:t>
      </w:r>
      <w:r w:rsidRPr="00FB0D94">
        <w:rPr>
          <w:rFonts w:ascii="Times New Roman" w:hAnsi="Times New Roman" w:cs="Times New Roman"/>
          <w:color w:val="000000"/>
          <w:sz w:val="24"/>
          <w:szCs w:val="24"/>
        </w:rPr>
        <w:t>, S.L., étudiante</w:t>
      </w:r>
      <w:r w:rsidR="009B0BF1" w:rsidRPr="00FB0D94">
        <w:rPr>
          <w:rFonts w:ascii="Times New Roman" w:hAnsi="Times New Roman" w:cs="Times New Roman"/>
          <w:color w:val="000000"/>
          <w:sz w:val="24"/>
          <w:szCs w:val="24"/>
        </w:rPr>
        <w:t>.</w:t>
      </w:r>
    </w:p>
    <w:p w14:paraId="4DACDF4D" w14:textId="77777777" w:rsidR="00575C59" w:rsidRPr="00FB0D94" w:rsidRDefault="00C76664" w:rsidP="00296075">
      <w:pPr>
        <w:pStyle w:val="NormalWeb"/>
        <w:spacing w:before="0" w:beforeAutospacing="0" w:after="0" w:afterAutospacing="0" w:line="360" w:lineRule="auto"/>
        <w:ind w:left="708"/>
        <w:jc w:val="both"/>
      </w:pPr>
      <w:r w:rsidRPr="00FB0D94">
        <w:rPr>
          <w:i/>
        </w:rPr>
        <w:t xml:space="preserve">« Plusieurs fois, mes émotions ont pris le pas sur ma rationalité. Dans plusieurs cas, j'ai pu le constater de manière consciente. En fin de journée lorsque j'étais plus fatigué, j'avais tendance à acheter ou revendre des actions plus sur un coup de tête que de manière réfléchie. Aussi, après avoir perdu de l'argent sur nos actions plusieurs fois, j'ai eu tendance à être plus impulsif dans les achats ou les reventes d'actions. J'ai aussi pu remarquer que j'investissais beaucoup plus par "instinct" les derniers jours de la semaine qu'au début de celle-ci », </w:t>
      </w:r>
      <w:r w:rsidRPr="00FB0D94">
        <w:t xml:space="preserve">I.B. </w:t>
      </w:r>
      <w:r w:rsidR="000F4CF9" w:rsidRPr="00FB0D94">
        <w:t>étudiant</w:t>
      </w:r>
      <w:r w:rsidRPr="00FB0D94">
        <w:t>.</w:t>
      </w:r>
    </w:p>
    <w:p w14:paraId="1E75345D" w14:textId="78D10559" w:rsidR="002313FE" w:rsidRPr="00FB0D94" w:rsidRDefault="00662EB4" w:rsidP="002313FE">
      <w:pPr>
        <w:spacing w:line="360" w:lineRule="auto"/>
        <w:ind w:left="708"/>
        <w:jc w:val="both"/>
        <w:rPr>
          <w:rFonts w:ascii="Times New Roman" w:hAnsi="Times New Roman" w:cs="Times New Roman"/>
          <w:sz w:val="24"/>
          <w:szCs w:val="24"/>
        </w:rPr>
      </w:pPr>
      <w:r w:rsidRPr="00FB0D94">
        <w:rPr>
          <w:rFonts w:ascii="Times New Roman" w:hAnsi="Times New Roman" w:cs="Times New Roman"/>
          <w:sz w:val="24"/>
          <w:szCs w:val="24"/>
        </w:rPr>
        <w:lastRenderedPageBreak/>
        <w:t>En ligne avec le tab</w:t>
      </w:r>
      <w:r w:rsidR="00BB33F9" w:rsidRPr="00FB0D94">
        <w:rPr>
          <w:rFonts w:ascii="Times New Roman" w:hAnsi="Times New Roman" w:cs="Times New Roman"/>
          <w:sz w:val="24"/>
          <w:szCs w:val="24"/>
        </w:rPr>
        <w:t xml:space="preserve">leau 1 </w:t>
      </w:r>
      <w:r w:rsidR="006831C5">
        <w:rPr>
          <w:rFonts w:ascii="Times New Roman" w:hAnsi="Times New Roman" w:cs="Times New Roman"/>
          <w:sz w:val="24"/>
          <w:szCs w:val="24"/>
        </w:rPr>
        <w:t>présent</w:t>
      </w:r>
      <w:r w:rsidR="00BB33F9" w:rsidRPr="00FB0D94">
        <w:rPr>
          <w:rFonts w:ascii="Times New Roman" w:hAnsi="Times New Roman" w:cs="Times New Roman"/>
          <w:sz w:val="24"/>
          <w:szCs w:val="24"/>
        </w:rPr>
        <w:t>é ci-dessous, c</w:t>
      </w:r>
      <w:r w:rsidR="0092589B" w:rsidRPr="00FB0D94">
        <w:rPr>
          <w:rFonts w:ascii="Times New Roman" w:hAnsi="Times New Roman" w:cs="Times New Roman"/>
          <w:sz w:val="24"/>
          <w:szCs w:val="24"/>
        </w:rPr>
        <w:t xml:space="preserve">es observations </w:t>
      </w:r>
      <w:r w:rsidR="00F7315D" w:rsidRPr="00FB0D94">
        <w:rPr>
          <w:rFonts w:ascii="Times New Roman" w:hAnsi="Times New Roman" w:cs="Times New Roman"/>
          <w:sz w:val="24"/>
          <w:szCs w:val="24"/>
        </w:rPr>
        <w:t xml:space="preserve">mettent l’accent sur les comportements instinctifs </w:t>
      </w:r>
      <w:r w:rsidR="00BB33F9" w:rsidRPr="00FB0D94">
        <w:rPr>
          <w:rFonts w:ascii="Times New Roman" w:hAnsi="Times New Roman" w:cs="Times New Roman"/>
          <w:sz w:val="24"/>
          <w:szCs w:val="24"/>
        </w:rPr>
        <w:t xml:space="preserve">et </w:t>
      </w:r>
      <w:r w:rsidR="00F11966" w:rsidRPr="00FB0D94">
        <w:rPr>
          <w:rFonts w:ascii="Times New Roman" w:hAnsi="Times New Roman" w:cs="Times New Roman"/>
          <w:sz w:val="24"/>
          <w:szCs w:val="24"/>
        </w:rPr>
        <w:t>peuve</w:t>
      </w:r>
      <w:r w:rsidR="0092589B" w:rsidRPr="00FB0D94">
        <w:rPr>
          <w:rFonts w:ascii="Times New Roman" w:hAnsi="Times New Roman" w:cs="Times New Roman"/>
          <w:sz w:val="24"/>
          <w:szCs w:val="24"/>
        </w:rPr>
        <w:t xml:space="preserve">nt </w:t>
      </w:r>
      <w:r w:rsidR="00F11966" w:rsidRPr="00FB0D94">
        <w:rPr>
          <w:rFonts w:ascii="Times New Roman" w:hAnsi="Times New Roman" w:cs="Times New Roman"/>
          <w:sz w:val="24"/>
          <w:szCs w:val="24"/>
        </w:rPr>
        <w:t>être corroborées par l’</w:t>
      </w:r>
      <w:r w:rsidR="0092589B" w:rsidRPr="00FB0D94">
        <w:rPr>
          <w:rFonts w:ascii="Times New Roman" w:hAnsi="Times New Roman" w:cs="Times New Roman"/>
          <w:sz w:val="24"/>
          <w:szCs w:val="24"/>
        </w:rPr>
        <w:t xml:space="preserve">évolution sensible des horizons de placement, avec une forte augmentation des opérations assimilables à du </w:t>
      </w:r>
      <w:proofErr w:type="spellStart"/>
      <w:r w:rsidR="0092589B" w:rsidRPr="00FB0D94">
        <w:rPr>
          <w:rFonts w:ascii="Times New Roman" w:hAnsi="Times New Roman" w:cs="Times New Roman"/>
          <w:sz w:val="24"/>
          <w:szCs w:val="24"/>
        </w:rPr>
        <w:t>scalping</w:t>
      </w:r>
      <w:proofErr w:type="spellEnd"/>
      <w:r w:rsidR="0092589B" w:rsidRPr="00FB0D94">
        <w:rPr>
          <w:rFonts w:ascii="Times New Roman" w:hAnsi="Times New Roman" w:cs="Times New Roman"/>
          <w:sz w:val="24"/>
          <w:szCs w:val="24"/>
        </w:rPr>
        <w:t xml:space="preserve"> trading (</w:t>
      </w:r>
      <w:r w:rsidR="004E454B" w:rsidRPr="00FB0D94">
        <w:rPr>
          <w:rFonts w:ascii="Times New Roman" w:hAnsi="Times New Roman" w:cs="Times New Roman"/>
          <w:sz w:val="24"/>
          <w:szCs w:val="24"/>
        </w:rPr>
        <w:t>forte intensité des allers et retours sur un même titre</w:t>
      </w:r>
      <w:r w:rsidR="009821EC" w:rsidRPr="00FB0D94">
        <w:rPr>
          <w:rFonts w:ascii="Times New Roman" w:hAnsi="Times New Roman" w:cs="Times New Roman"/>
          <w:sz w:val="24"/>
          <w:szCs w:val="24"/>
        </w:rPr>
        <w:t>,</w:t>
      </w:r>
      <w:r w:rsidR="004E454B" w:rsidRPr="00FB0D94">
        <w:rPr>
          <w:rFonts w:ascii="Times New Roman" w:hAnsi="Times New Roman" w:cs="Times New Roman"/>
          <w:sz w:val="24"/>
          <w:szCs w:val="24"/>
        </w:rPr>
        <w:t xml:space="preserve"> avec un </w:t>
      </w:r>
      <w:r w:rsidR="0077523E" w:rsidRPr="00FB0D94">
        <w:rPr>
          <w:rFonts w:ascii="Times New Roman" w:hAnsi="Times New Roman" w:cs="Times New Roman"/>
          <w:sz w:val="24"/>
          <w:szCs w:val="24"/>
        </w:rPr>
        <w:t xml:space="preserve">temps de possession </w:t>
      </w:r>
      <w:r w:rsidR="009B0BF1" w:rsidRPr="00FB0D94">
        <w:rPr>
          <w:rFonts w:ascii="Times New Roman" w:hAnsi="Times New Roman" w:cs="Times New Roman"/>
          <w:sz w:val="24"/>
          <w:szCs w:val="24"/>
        </w:rPr>
        <w:t xml:space="preserve">inférieur à 15 minutes) et un délaissement du </w:t>
      </w:r>
      <w:proofErr w:type="spellStart"/>
      <w:r w:rsidR="009B0BF1" w:rsidRPr="00FB0D94">
        <w:rPr>
          <w:rFonts w:ascii="Times New Roman" w:hAnsi="Times New Roman" w:cs="Times New Roman"/>
          <w:sz w:val="24"/>
          <w:szCs w:val="24"/>
        </w:rPr>
        <w:t>day</w:t>
      </w:r>
      <w:proofErr w:type="spellEnd"/>
      <w:r w:rsidR="009B0BF1" w:rsidRPr="00FB0D94">
        <w:rPr>
          <w:rFonts w:ascii="Times New Roman" w:hAnsi="Times New Roman" w:cs="Times New Roman"/>
          <w:sz w:val="24"/>
          <w:szCs w:val="24"/>
        </w:rPr>
        <w:t xml:space="preserve"> </w:t>
      </w:r>
      <w:r w:rsidR="00F11966" w:rsidRPr="00FB0D94">
        <w:rPr>
          <w:rFonts w:ascii="Times New Roman" w:hAnsi="Times New Roman" w:cs="Times New Roman"/>
          <w:sz w:val="24"/>
          <w:szCs w:val="24"/>
        </w:rPr>
        <w:t xml:space="preserve">(horizon de placement endéans la journée) </w:t>
      </w:r>
      <w:r w:rsidR="009B0BF1" w:rsidRPr="00FB0D94">
        <w:rPr>
          <w:rFonts w:ascii="Times New Roman" w:hAnsi="Times New Roman" w:cs="Times New Roman"/>
          <w:sz w:val="24"/>
          <w:szCs w:val="24"/>
        </w:rPr>
        <w:t>et du swing trading</w:t>
      </w:r>
      <w:r w:rsidR="00F11966" w:rsidRPr="00FB0D94">
        <w:rPr>
          <w:rFonts w:ascii="Times New Roman" w:hAnsi="Times New Roman" w:cs="Times New Roman"/>
          <w:sz w:val="24"/>
          <w:szCs w:val="24"/>
        </w:rPr>
        <w:t xml:space="preserve"> (horizon de placement dépassant la journée)</w:t>
      </w:r>
      <w:r w:rsidR="009B0BF1" w:rsidRPr="00FB0D94">
        <w:rPr>
          <w:rFonts w:ascii="Times New Roman" w:hAnsi="Times New Roman" w:cs="Times New Roman"/>
          <w:sz w:val="24"/>
          <w:szCs w:val="24"/>
        </w:rPr>
        <w:t>.</w:t>
      </w:r>
      <w:r w:rsidR="00F11966" w:rsidRPr="00FB0D94">
        <w:rPr>
          <w:rFonts w:ascii="Times New Roman" w:hAnsi="Times New Roman" w:cs="Times New Roman"/>
          <w:sz w:val="24"/>
          <w:szCs w:val="24"/>
        </w:rPr>
        <w:t xml:space="preserve"> </w:t>
      </w:r>
      <w:r w:rsidR="00FF41C3" w:rsidRPr="00FB0D94">
        <w:rPr>
          <w:rFonts w:ascii="Times New Roman" w:hAnsi="Times New Roman" w:cs="Times New Roman"/>
          <w:sz w:val="24"/>
          <w:szCs w:val="24"/>
        </w:rPr>
        <w:t xml:space="preserve">Dans notre esprit, le </w:t>
      </w:r>
      <w:proofErr w:type="spellStart"/>
      <w:r w:rsidR="00FF41C3" w:rsidRPr="00FB0D94">
        <w:rPr>
          <w:rFonts w:ascii="Times New Roman" w:hAnsi="Times New Roman" w:cs="Times New Roman"/>
          <w:sz w:val="24"/>
          <w:szCs w:val="24"/>
        </w:rPr>
        <w:t>scalping</w:t>
      </w:r>
      <w:proofErr w:type="spellEnd"/>
      <w:r w:rsidR="00FF41C3" w:rsidRPr="00FB0D94">
        <w:rPr>
          <w:rFonts w:ascii="Times New Roman" w:hAnsi="Times New Roman" w:cs="Times New Roman"/>
          <w:sz w:val="24"/>
          <w:szCs w:val="24"/>
        </w:rPr>
        <w:t xml:space="preserve"> trading constitue une proxy </w:t>
      </w:r>
      <w:r w:rsidR="00AF7F43" w:rsidRPr="00FB0D94">
        <w:rPr>
          <w:rFonts w:ascii="Times New Roman" w:hAnsi="Times New Roman" w:cs="Times New Roman"/>
          <w:sz w:val="24"/>
          <w:szCs w:val="24"/>
        </w:rPr>
        <w:t xml:space="preserve">d’un comportement orienté vers la prise de risque </w:t>
      </w:r>
      <w:r w:rsidR="0034389E" w:rsidRPr="00FB0D94">
        <w:rPr>
          <w:rFonts w:ascii="Times New Roman" w:hAnsi="Times New Roman" w:cs="Times New Roman"/>
          <w:sz w:val="24"/>
          <w:szCs w:val="24"/>
        </w:rPr>
        <w:t>et vers des schémas de prises de décisions</w:t>
      </w:r>
      <w:r w:rsidR="004A57AF" w:rsidRPr="00FB0D94">
        <w:rPr>
          <w:rFonts w:ascii="Times New Roman" w:hAnsi="Times New Roman" w:cs="Times New Roman"/>
          <w:sz w:val="24"/>
          <w:szCs w:val="24"/>
        </w:rPr>
        <w:t xml:space="preserve"> peu structurés. Le recours à ce type de trading </w:t>
      </w:r>
      <w:r w:rsidR="009B0BF1" w:rsidRPr="00FB0D94">
        <w:rPr>
          <w:rFonts w:ascii="Times New Roman" w:hAnsi="Times New Roman" w:cs="Times New Roman"/>
          <w:sz w:val="24"/>
          <w:szCs w:val="24"/>
        </w:rPr>
        <w:t xml:space="preserve">est plus </w:t>
      </w:r>
      <w:r w:rsidR="007D1FB2" w:rsidRPr="00FB0D94">
        <w:rPr>
          <w:rFonts w:ascii="Times New Roman" w:hAnsi="Times New Roman" w:cs="Times New Roman"/>
          <w:sz w:val="24"/>
          <w:szCs w:val="24"/>
        </w:rPr>
        <w:t>présent</w:t>
      </w:r>
      <w:r w:rsidR="009B0BF1" w:rsidRPr="00FB0D94">
        <w:rPr>
          <w:rFonts w:ascii="Times New Roman" w:hAnsi="Times New Roman" w:cs="Times New Roman"/>
          <w:sz w:val="24"/>
          <w:szCs w:val="24"/>
        </w:rPr>
        <w:t xml:space="preserve"> dans les deux derniers jours de l’expérience et </w:t>
      </w:r>
      <w:r w:rsidR="00DD77AD" w:rsidRPr="00FB0D94">
        <w:rPr>
          <w:rFonts w:ascii="Times New Roman" w:hAnsi="Times New Roman" w:cs="Times New Roman"/>
          <w:sz w:val="24"/>
          <w:szCs w:val="24"/>
        </w:rPr>
        <w:t xml:space="preserve">également plus marqué </w:t>
      </w:r>
      <w:r w:rsidR="009B0BF1" w:rsidRPr="00FB0D94">
        <w:rPr>
          <w:rFonts w:ascii="Times New Roman" w:hAnsi="Times New Roman" w:cs="Times New Roman"/>
          <w:sz w:val="24"/>
          <w:szCs w:val="24"/>
        </w:rPr>
        <w:t>au sein des groupes uniquement masculins.</w:t>
      </w:r>
    </w:p>
    <w:p w14:paraId="50854E25" w14:textId="77777777" w:rsidR="0005107A" w:rsidRPr="00BA45AC" w:rsidRDefault="0005107A" w:rsidP="0005107A">
      <w:pPr>
        <w:overflowPunct w:val="0"/>
        <w:autoSpaceDE w:val="0"/>
        <w:autoSpaceDN w:val="0"/>
        <w:adjustRightInd w:val="0"/>
        <w:spacing w:after="0" w:line="264" w:lineRule="auto"/>
        <w:ind w:firstLine="708"/>
        <w:jc w:val="both"/>
        <w:textAlignment w:val="baseline"/>
        <w:rPr>
          <w:rFonts w:ascii="Times New Roman" w:eastAsia="Times New Roman" w:hAnsi="Times New Roman" w:cs="Times New Roman"/>
          <w:sz w:val="26"/>
          <w:szCs w:val="26"/>
          <w:u w:val="single"/>
          <w:lang w:val="fr-FR" w:eastAsia="fr-FR"/>
        </w:rPr>
      </w:pPr>
      <w:r w:rsidRPr="00BA45AC">
        <w:rPr>
          <w:rFonts w:ascii="Times New Roman" w:eastAsia="Times New Roman" w:hAnsi="Times New Roman" w:cs="Times New Roman"/>
          <w:sz w:val="26"/>
          <w:szCs w:val="26"/>
          <w:u w:val="single"/>
          <w:lang w:val="fr-FR" w:eastAsia="fr-FR"/>
        </w:rPr>
        <w:t xml:space="preserve">Tableau 1 : pourcentage de transactions assimilables à du </w:t>
      </w:r>
      <w:proofErr w:type="spellStart"/>
      <w:r w:rsidRPr="00BA45AC">
        <w:rPr>
          <w:rFonts w:ascii="Times New Roman" w:eastAsia="Times New Roman" w:hAnsi="Times New Roman" w:cs="Times New Roman"/>
          <w:sz w:val="26"/>
          <w:szCs w:val="26"/>
          <w:u w:val="single"/>
          <w:lang w:val="fr-FR" w:eastAsia="fr-FR"/>
        </w:rPr>
        <w:t>scalping</w:t>
      </w:r>
      <w:proofErr w:type="spellEnd"/>
      <w:r w:rsidRPr="00BA45AC">
        <w:rPr>
          <w:rFonts w:ascii="Times New Roman" w:eastAsia="Times New Roman" w:hAnsi="Times New Roman" w:cs="Times New Roman"/>
          <w:sz w:val="26"/>
          <w:szCs w:val="26"/>
          <w:u w:val="single"/>
          <w:lang w:val="fr-FR" w:eastAsia="fr-FR"/>
        </w:rPr>
        <w:t xml:space="preserve"> trading</w:t>
      </w:r>
    </w:p>
    <w:tbl>
      <w:tblPr>
        <w:tblStyle w:val="Grilledutableau1"/>
        <w:tblpPr w:leftFromText="141" w:rightFromText="141" w:vertAnchor="text" w:horzAnchor="margin" w:tblpX="704" w:tblpY="125"/>
        <w:tblW w:w="8075" w:type="dxa"/>
        <w:tblLook w:val="04A0" w:firstRow="1" w:lastRow="0" w:firstColumn="1" w:lastColumn="0" w:noHBand="0" w:noVBand="1"/>
      </w:tblPr>
      <w:tblGrid>
        <w:gridCol w:w="2312"/>
        <w:gridCol w:w="1085"/>
        <w:gridCol w:w="993"/>
        <w:gridCol w:w="1275"/>
        <w:gridCol w:w="1134"/>
        <w:gridCol w:w="1276"/>
      </w:tblGrid>
      <w:tr w:rsidR="0005107A" w:rsidRPr="0005107A" w14:paraId="3A499CF4" w14:textId="77777777" w:rsidTr="0077523E">
        <w:trPr>
          <w:trHeight w:val="280"/>
        </w:trPr>
        <w:tc>
          <w:tcPr>
            <w:tcW w:w="2312" w:type="dxa"/>
            <w:shd w:val="clear" w:color="auto" w:fill="auto"/>
          </w:tcPr>
          <w:p w14:paraId="2513D3C9" w14:textId="77777777" w:rsidR="0005107A" w:rsidRPr="00296075" w:rsidRDefault="0005107A" w:rsidP="0005107A">
            <w:pPr>
              <w:overflowPunct w:val="0"/>
              <w:autoSpaceDE w:val="0"/>
              <w:autoSpaceDN w:val="0"/>
              <w:adjustRightInd w:val="0"/>
              <w:spacing w:line="264" w:lineRule="auto"/>
              <w:textAlignment w:val="baseline"/>
              <w:rPr>
                <w:rFonts w:ascii="Times New Roman" w:hAnsi="Times New Roman" w:cs="Times New Roman"/>
              </w:rPr>
            </w:pPr>
            <w:r w:rsidRPr="00296075">
              <w:rPr>
                <w:rFonts w:ascii="Times New Roman" w:hAnsi="Times New Roman" w:cs="Times New Roman"/>
              </w:rPr>
              <w:t>% des transactions inférieures à 15 minutes</w:t>
            </w:r>
          </w:p>
        </w:tc>
        <w:tc>
          <w:tcPr>
            <w:tcW w:w="1085" w:type="dxa"/>
            <w:shd w:val="clear" w:color="auto" w:fill="auto"/>
          </w:tcPr>
          <w:p w14:paraId="04B0808B"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Jour 1</w:t>
            </w:r>
          </w:p>
        </w:tc>
        <w:tc>
          <w:tcPr>
            <w:tcW w:w="993" w:type="dxa"/>
            <w:shd w:val="clear" w:color="auto" w:fill="auto"/>
          </w:tcPr>
          <w:p w14:paraId="024002A8"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Jour 2</w:t>
            </w:r>
          </w:p>
        </w:tc>
        <w:tc>
          <w:tcPr>
            <w:tcW w:w="1275" w:type="dxa"/>
            <w:shd w:val="clear" w:color="auto" w:fill="auto"/>
          </w:tcPr>
          <w:p w14:paraId="6CB2964F"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Jour 3</w:t>
            </w:r>
          </w:p>
        </w:tc>
        <w:tc>
          <w:tcPr>
            <w:tcW w:w="1134" w:type="dxa"/>
            <w:shd w:val="clear" w:color="auto" w:fill="auto"/>
          </w:tcPr>
          <w:p w14:paraId="1A3D4625"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Jour 4</w:t>
            </w:r>
          </w:p>
        </w:tc>
        <w:tc>
          <w:tcPr>
            <w:tcW w:w="1276" w:type="dxa"/>
            <w:shd w:val="clear" w:color="auto" w:fill="auto"/>
          </w:tcPr>
          <w:p w14:paraId="3BB8C425"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Jour 5</w:t>
            </w:r>
          </w:p>
        </w:tc>
      </w:tr>
      <w:tr w:rsidR="0005107A" w:rsidRPr="0005107A" w14:paraId="6247118B" w14:textId="77777777" w:rsidTr="0077523E">
        <w:trPr>
          <w:trHeight w:val="280"/>
        </w:trPr>
        <w:tc>
          <w:tcPr>
            <w:tcW w:w="2312" w:type="dxa"/>
            <w:shd w:val="clear" w:color="auto" w:fill="auto"/>
          </w:tcPr>
          <w:p w14:paraId="35170A7E" w14:textId="77777777" w:rsidR="0005107A" w:rsidRPr="00296075" w:rsidRDefault="0005107A" w:rsidP="0005107A">
            <w:pPr>
              <w:overflowPunct w:val="0"/>
              <w:autoSpaceDE w:val="0"/>
              <w:autoSpaceDN w:val="0"/>
              <w:adjustRightInd w:val="0"/>
              <w:spacing w:line="264" w:lineRule="auto"/>
              <w:jc w:val="both"/>
              <w:textAlignment w:val="baseline"/>
              <w:rPr>
                <w:rFonts w:ascii="Times New Roman" w:hAnsi="Times New Roman" w:cs="Times New Roman"/>
              </w:rPr>
            </w:pPr>
            <w:r w:rsidRPr="00296075">
              <w:rPr>
                <w:rFonts w:ascii="Times New Roman" w:hAnsi="Times New Roman" w:cs="Times New Roman"/>
              </w:rPr>
              <w:t>C1 (masculin)</w:t>
            </w:r>
          </w:p>
        </w:tc>
        <w:tc>
          <w:tcPr>
            <w:tcW w:w="1085" w:type="dxa"/>
            <w:shd w:val="clear" w:color="auto" w:fill="auto"/>
          </w:tcPr>
          <w:p w14:paraId="4FFA530C"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0,0000</w:t>
            </w:r>
          </w:p>
        </w:tc>
        <w:tc>
          <w:tcPr>
            <w:tcW w:w="993" w:type="dxa"/>
            <w:shd w:val="clear" w:color="auto" w:fill="auto"/>
          </w:tcPr>
          <w:p w14:paraId="5150D3F1"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0,2069</w:t>
            </w:r>
          </w:p>
        </w:tc>
        <w:tc>
          <w:tcPr>
            <w:tcW w:w="1275" w:type="dxa"/>
            <w:shd w:val="clear" w:color="auto" w:fill="auto"/>
          </w:tcPr>
          <w:p w14:paraId="24DFA390"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0,1071</w:t>
            </w:r>
          </w:p>
        </w:tc>
        <w:tc>
          <w:tcPr>
            <w:tcW w:w="1134" w:type="dxa"/>
            <w:shd w:val="clear" w:color="auto" w:fill="auto"/>
          </w:tcPr>
          <w:p w14:paraId="32928B14"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0,2609</w:t>
            </w:r>
          </w:p>
        </w:tc>
        <w:tc>
          <w:tcPr>
            <w:tcW w:w="1276" w:type="dxa"/>
            <w:shd w:val="clear" w:color="auto" w:fill="auto"/>
          </w:tcPr>
          <w:p w14:paraId="3AEE47D9"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0,1714</w:t>
            </w:r>
          </w:p>
        </w:tc>
      </w:tr>
      <w:tr w:rsidR="0005107A" w:rsidRPr="0005107A" w14:paraId="57EB2B46" w14:textId="77777777" w:rsidTr="0077523E">
        <w:trPr>
          <w:trHeight w:val="280"/>
        </w:trPr>
        <w:tc>
          <w:tcPr>
            <w:tcW w:w="2312" w:type="dxa"/>
            <w:shd w:val="clear" w:color="auto" w:fill="auto"/>
          </w:tcPr>
          <w:p w14:paraId="5B78E6CC" w14:textId="77777777" w:rsidR="0005107A" w:rsidRPr="00296075" w:rsidRDefault="0005107A" w:rsidP="0005107A">
            <w:pPr>
              <w:overflowPunct w:val="0"/>
              <w:autoSpaceDE w:val="0"/>
              <w:autoSpaceDN w:val="0"/>
              <w:adjustRightInd w:val="0"/>
              <w:spacing w:line="264" w:lineRule="auto"/>
              <w:jc w:val="both"/>
              <w:textAlignment w:val="baseline"/>
              <w:rPr>
                <w:rFonts w:ascii="Times New Roman" w:hAnsi="Times New Roman" w:cs="Times New Roman"/>
              </w:rPr>
            </w:pPr>
            <w:r w:rsidRPr="00296075">
              <w:rPr>
                <w:rFonts w:ascii="Times New Roman" w:hAnsi="Times New Roman" w:cs="Times New Roman"/>
              </w:rPr>
              <w:t>C2 (masculin)</w:t>
            </w:r>
          </w:p>
        </w:tc>
        <w:tc>
          <w:tcPr>
            <w:tcW w:w="1085" w:type="dxa"/>
            <w:shd w:val="clear" w:color="auto" w:fill="auto"/>
          </w:tcPr>
          <w:p w14:paraId="483B1021"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0,0000</w:t>
            </w:r>
          </w:p>
        </w:tc>
        <w:tc>
          <w:tcPr>
            <w:tcW w:w="993" w:type="dxa"/>
            <w:shd w:val="clear" w:color="auto" w:fill="auto"/>
          </w:tcPr>
          <w:p w14:paraId="1CE68AAC"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0,3043</w:t>
            </w:r>
          </w:p>
        </w:tc>
        <w:tc>
          <w:tcPr>
            <w:tcW w:w="1275" w:type="dxa"/>
            <w:shd w:val="clear" w:color="auto" w:fill="auto"/>
          </w:tcPr>
          <w:p w14:paraId="5362A34D"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0,2963</w:t>
            </w:r>
          </w:p>
        </w:tc>
        <w:tc>
          <w:tcPr>
            <w:tcW w:w="1134" w:type="dxa"/>
            <w:shd w:val="clear" w:color="auto" w:fill="auto"/>
          </w:tcPr>
          <w:p w14:paraId="0A1FB15E"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0,4658</w:t>
            </w:r>
          </w:p>
        </w:tc>
        <w:tc>
          <w:tcPr>
            <w:tcW w:w="1276" w:type="dxa"/>
            <w:shd w:val="clear" w:color="auto" w:fill="auto"/>
          </w:tcPr>
          <w:p w14:paraId="7CE4284E"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b/>
                <w:bCs/>
              </w:rPr>
            </w:pPr>
            <w:r w:rsidRPr="00296075">
              <w:rPr>
                <w:rFonts w:ascii="Times New Roman" w:hAnsi="Times New Roman" w:cs="Times New Roman"/>
                <w:b/>
                <w:bCs/>
              </w:rPr>
              <w:t>0,5306</w:t>
            </w:r>
          </w:p>
        </w:tc>
      </w:tr>
      <w:tr w:rsidR="0005107A" w:rsidRPr="0005107A" w14:paraId="7FCFDA29" w14:textId="77777777" w:rsidTr="0077523E">
        <w:trPr>
          <w:trHeight w:val="280"/>
        </w:trPr>
        <w:tc>
          <w:tcPr>
            <w:tcW w:w="2312" w:type="dxa"/>
            <w:shd w:val="clear" w:color="auto" w:fill="auto"/>
          </w:tcPr>
          <w:p w14:paraId="73E80ED8" w14:textId="77777777" w:rsidR="0005107A" w:rsidRPr="00296075" w:rsidRDefault="0005107A" w:rsidP="0005107A">
            <w:pPr>
              <w:overflowPunct w:val="0"/>
              <w:autoSpaceDE w:val="0"/>
              <w:autoSpaceDN w:val="0"/>
              <w:adjustRightInd w:val="0"/>
              <w:spacing w:line="264" w:lineRule="auto"/>
              <w:jc w:val="both"/>
              <w:textAlignment w:val="baseline"/>
              <w:rPr>
                <w:rFonts w:ascii="Times New Roman" w:hAnsi="Times New Roman" w:cs="Times New Roman"/>
              </w:rPr>
            </w:pPr>
            <w:r w:rsidRPr="00296075">
              <w:rPr>
                <w:rFonts w:ascii="Times New Roman" w:hAnsi="Times New Roman" w:cs="Times New Roman"/>
              </w:rPr>
              <w:t>C3 (masculin)</w:t>
            </w:r>
          </w:p>
        </w:tc>
        <w:tc>
          <w:tcPr>
            <w:tcW w:w="1085" w:type="dxa"/>
            <w:shd w:val="clear" w:color="auto" w:fill="auto"/>
          </w:tcPr>
          <w:p w14:paraId="288E5C52"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0,0000</w:t>
            </w:r>
          </w:p>
        </w:tc>
        <w:tc>
          <w:tcPr>
            <w:tcW w:w="993" w:type="dxa"/>
            <w:shd w:val="clear" w:color="auto" w:fill="auto"/>
          </w:tcPr>
          <w:p w14:paraId="78788655"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0,4571</w:t>
            </w:r>
          </w:p>
        </w:tc>
        <w:tc>
          <w:tcPr>
            <w:tcW w:w="1275" w:type="dxa"/>
            <w:shd w:val="clear" w:color="auto" w:fill="auto"/>
          </w:tcPr>
          <w:p w14:paraId="42C67532"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0,3243</w:t>
            </w:r>
          </w:p>
        </w:tc>
        <w:tc>
          <w:tcPr>
            <w:tcW w:w="1134" w:type="dxa"/>
            <w:shd w:val="clear" w:color="auto" w:fill="auto"/>
          </w:tcPr>
          <w:p w14:paraId="528AE4FE"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b/>
                <w:bCs/>
              </w:rPr>
            </w:pPr>
            <w:r w:rsidRPr="00296075">
              <w:rPr>
                <w:rFonts w:ascii="Times New Roman" w:hAnsi="Times New Roman" w:cs="Times New Roman"/>
                <w:b/>
                <w:bCs/>
              </w:rPr>
              <w:t>0,6286</w:t>
            </w:r>
          </w:p>
        </w:tc>
        <w:tc>
          <w:tcPr>
            <w:tcW w:w="1276" w:type="dxa"/>
            <w:shd w:val="clear" w:color="auto" w:fill="auto"/>
          </w:tcPr>
          <w:p w14:paraId="357FB858"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b/>
                <w:bCs/>
              </w:rPr>
            </w:pPr>
            <w:r w:rsidRPr="00296075">
              <w:rPr>
                <w:rFonts w:ascii="Times New Roman" w:hAnsi="Times New Roman" w:cs="Times New Roman"/>
                <w:b/>
                <w:bCs/>
              </w:rPr>
              <w:t>0,7931</w:t>
            </w:r>
          </w:p>
        </w:tc>
      </w:tr>
      <w:tr w:rsidR="0005107A" w:rsidRPr="0005107A" w14:paraId="22EDC53A" w14:textId="77777777" w:rsidTr="0077523E">
        <w:trPr>
          <w:trHeight w:val="280"/>
        </w:trPr>
        <w:tc>
          <w:tcPr>
            <w:tcW w:w="2312" w:type="dxa"/>
            <w:shd w:val="clear" w:color="auto" w:fill="auto"/>
          </w:tcPr>
          <w:p w14:paraId="63F1610F" w14:textId="77777777" w:rsidR="0005107A" w:rsidRPr="00296075" w:rsidRDefault="0005107A" w:rsidP="0005107A">
            <w:pPr>
              <w:overflowPunct w:val="0"/>
              <w:autoSpaceDE w:val="0"/>
              <w:autoSpaceDN w:val="0"/>
              <w:adjustRightInd w:val="0"/>
              <w:spacing w:line="264" w:lineRule="auto"/>
              <w:jc w:val="both"/>
              <w:textAlignment w:val="baseline"/>
              <w:rPr>
                <w:rFonts w:ascii="Times New Roman" w:hAnsi="Times New Roman" w:cs="Times New Roman"/>
              </w:rPr>
            </w:pPr>
            <w:r w:rsidRPr="00296075">
              <w:rPr>
                <w:rFonts w:ascii="Times New Roman" w:hAnsi="Times New Roman" w:cs="Times New Roman"/>
              </w:rPr>
              <w:t>C4 (masculin)</w:t>
            </w:r>
          </w:p>
        </w:tc>
        <w:tc>
          <w:tcPr>
            <w:tcW w:w="1085" w:type="dxa"/>
            <w:shd w:val="clear" w:color="auto" w:fill="auto"/>
          </w:tcPr>
          <w:p w14:paraId="3E257A8E"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0,0476</w:t>
            </w:r>
          </w:p>
        </w:tc>
        <w:tc>
          <w:tcPr>
            <w:tcW w:w="993" w:type="dxa"/>
            <w:shd w:val="clear" w:color="auto" w:fill="auto"/>
          </w:tcPr>
          <w:p w14:paraId="3EDB67F6"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0,0000</w:t>
            </w:r>
          </w:p>
        </w:tc>
        <w:tc>
          <w:tcPr>
            <w:tcW w:w="1275" w:type="dxa"/>
            <w:shd w:val="clear" w:color="auto" w:fill="auto"/>
          </w:tcPr>
          <w:p w14:paraId="0230220F"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0,0000</w:t>
            </w:r>
          </w:p>
        </w:tc>
        <w:tc>
          <w:tcPr>
            <w:tcW w:w="1134" w:type="dxa"/>
            <w:shd w:val="clear" w:color="auto" w:fill="auto"/>
          </w:tcPr>
          <w:p w14:paraId="0B975D30"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0,0000</w:t>
            </w:r>
          </w:p>
        </w:tc>
        <w:tc>
          <w:tcPr>
            <w:tcW w:w="1276" w:type="dxa"/>
            <w:shd w:val="clear" w:color="auto" w:fill="auto"/>
          </w:tcPr>
          <w:p w14:paraId="48DEB5B5"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0,4000</w:t>
            </w:r>
          </w:p>
        </w:tc>
      </w:tr>
      <w:tr w:rsidR="0005107A" w:rsidRPr="0005107A" w14:paraId="732D9147" w14:textId="77777777" w:rsidTr="0077523E">
        <w:trPr>
          <w:trHeight w:val="280"/>
        </w:trPr>
        <w:tc>
          <w:tcPr>
            <w:tcW w:w="2312" w:type="dxa"/>
            <w:shd w:val="clear" w:color="auto" w:fill="auto"/>
          </w:tcPr>
          <w:p w14:paraId="16B3FC84" w14:textId="77777777" w:rsidR="0005107A" w:rsidRPr="00296075" w:rsidRDefault="0005107A" w:rsidP="0005107A">
            <w:pPr>
              <w:overflowPunct w:val="0"/>
              <w:autoSpaceDE w:val="0"/>
              <w:autoSpaceDN w:val="0"/>
              <w:adjustRightInd w:val="0"/>
              <w:spacing w:line="264" w:lineRule="auto"/>
              <w:jc w:val="both"/>
              <w:textAlignment w:val="baseline"/>
              <w:rPr>
                <w:rFonts w:ascii="Times New Roman" w:hAnsi="Times New Roman" w:cs="Times New Roman"/>
              </w:rPr>
            </w:pPr>
            <w:r w:rsidRPr="00296075">
              <w:rPr>
                <w:rFonts w:ascii="Times New Roman" w:hAnsi="Times New Roman" w:cs="Times New Roman"/>
              </w:rPr>
              <w:t>C5 (féminin)</w:t>
            </w:r>
          </w:p>
        </w:tc>
        <w:tc>
          <w:tcPr>
            <w:tcW w:w="1085" w:type="dxa"/>
            <w:shd w:val="clear" w:color="auto" w:fill="auto"/>
          </w:tcPr>
          <w:p w14:paraId="11EB2182"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0,0000</w:t>
            </w:r>
          </w:p>
        </w:tc>
        <w:tc>
          <w:tcPr>
            <w:tcW w:w="993" w:type="dxa"/>
            <w:shd w:val="clear" w:color="auto" w:fill="auto"/>
          </w:tcPr>
          <w:p w14:paraId="04712BA2"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0,0000</w:t>
            </w:r>
          </w:p>
        </w:tc>
        <w:tc>
          <w:tcPr>
            <w:tcW w:w="1275" w:type="dxa"/>
            <w:shd w:val="clear" w:color="auto" w:fill="auto"/>
          </w:tcPr>
          <w:p w14:paraId="04A38A32"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0,0000</w:t>
            </w:r>
          </w:p>
        </w:tc>
        <w:tc>
          <w:tcPr>
            <w:tcW w:w="1134" w:type="dxa"/>
            <w:shd w:val="clear" w:color="auto" w:fill="auto"/>
          </w:tcPr>
          <w:p w14:paraId="10F95751"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0,2857</w:t>
            </w:r>
          </w:p>
        </w:tc>
        <w:tc>
          <w:tcPr>
            <w:tcW w:w="1276" w:type="dxa"/>
            <w:shd w:val="clear" w:color="auto" w:fill="auto"/>
          </w:tcPr>
          <w:p w14:paraId="489765EA"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0,0000</w:t>
            </w:r>
          </w:p>
        </w:tc>
      </w:tr>
      <w:tr w:rsidR="0005107A" w:rsidRPr="0005107A" w14:paraId="7E09F1F4" w14:textId="77777777" w:rsidTr="0077523E">
        <w:trPr>
          <w:trHeight w:val="280"/>
        </w:trPr>
        <w:tc>
          <w:tcPr>
            <w:tcW w:w="2312" w:type="dxa"/>
            <w:shd w:val="clear" w:color="auto" w:fill="auto"/>
          </w:tcPr>
          <w:p w14:paraId="362B57BD" w14:textId="77777777" w:rsidR="0005107A" w:rsidRPr="00296075" w:rsidRDefault="0005107A" w:rsidP="0005107A">
            <w:pPr>
              <w:overflowPunct w:val="0"/>
              <w:autoSpaceDE w:val="0"/>
              <w:autoSpaceDN w:val="0"/>
              <w:adjustRightInd w:val="0"/>
              <w:spacing w:line="264" w:lineRule="auto"/>
              <w:jc w:val="both"/>
              <w:textAlignment w:val="baseline"/>
              <w:rPr>
                <w:rFonts w:ascii="Times New Roman" w:hAnsi="Times New Roman" w:cs="Times New Roman"/>
              </w:rPr>
            </w:pPr>
            <w:r w:rsidRPr="00296075">
              <w:rPr>
                <w:rFonts w:ascii="Times New Roman" w:hAnsi="Times New Roman" w:cs="Times New Roman"/>
              </w:rPr>
              <w:t>C6 (mixte)</w:t>
            </w:r>
          </w:p>
        </w:tc>
        <w:tc>
          <w:tcPr>
            <w:tcW w:w="1085" w:type="dxa"/>
            <w:shd w:val="clear" w:color="auto" w:fill="auto"/>
          </w:tcPr>
          <w:p w14:paraId="37D1CCBF"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0,1053</w:t>
            </w:r>
          </w:p>
        </w:tc>
        <w:tc>
          <w:tcPr>
            <w:tcW w:w="993" w:type="dxa"/>
            <w:shd w:val="clear" w:color="auto" w:fill="auto"/>
          </w:tcPr>
          <w:p w14:paraId="06A8821F"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0,1875</w:t>
            </w:r>
          </w:p>
        </w:tc>
        <w:tc>
          <w:tcPr>
            <w:tcW w:w="1275" w:type="dxa"/>
            <w:shd w:val="clear" w:color="auto" w:fill="auto"/>
          </w:tcPr>
          <w:p w14:paraId="0994A4B9"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b/>
                <w:bCs/>
              </w:rPr>
            </w:pPr>
            <w:r w:rsidRPr="00296075">
              <w:rPr>
                <w:rFonts w:ascii="Times New Roman" w:hAnsi="Times New Roman" w:cs="Times New Roman"/>
                <w:b/>
                <w:bCs/>
              </w:rPr>
              <w:t>0,6364</w:t>
            </w:r>
          </w:p>
        </w:tc>
        <w:tc>
          <w:tcPr>
            <w:tcW w:w="1134" w:type="dxa"/>
            <w:shd w:val="clear" w:color="auto" w:fill="auto"/>
          </w:tcPr>
          <w:p w14:paraId="26800F4C"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b/>
                <w:bCs/>
              </w:rPr>
            </w:pPr>
            <w:r w:rsidRPr="00296075">
              <w:rPr>
                <w:rFonts w:ascii="Times New Roman" w:hAnsi="Times New Roman" w:cs="Times New Roman"/>
                <w:b/>
                <w:bCs/>
              </w:rPr>
              <w:t>0,5185</w:t>
            </w:r>
          </w:p>
        </w:tc>
        <w:tc>
          <w:tcPr>
            <w:tcW w:w="1276" w:type="dxa"/>
            <w:shd w:val="clear" w:color="auto" w:fill="auto"/>
          </w:tcPr>
          <w:p w14:paraId="19D79208"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0,3125</w:t>
            </w:r>
          </w:p>
        </w:tc>
      </w:tr>
      <w:tr w:rsidR="0005107A" w:rsidRPr="0005107A" w14:paraId="1C3CF5E3" w14:textId="77777777" w:rsidTr="0077523E">
        <w:trPr>
          <w:trHeight w:val="280"/>
        </w:trPr>
        <w:tc>
          <w:tcPr>
            <w:tcW w:w="2312" w:type="dxa"/>
            <w:shd w:val="clear" w:color="auto" w:fill="auto"/>
          </w:tcPr>
          <w:p w14:paraId="5E940E8E" w14:textId="77777777" w:rsidR="0005107A" w:rsidRPr="00296075" w:rsidRDefault="0005107A" w:rsidP="0005107A">
            <w:pPr>
              <w:overflowPunct w:val="0"/>
              <w:autoSpaceDE w:val="0"/>
              <w:autoSpaceDN w:val="0"/>
              <w:adjustRightInd w:val="0"/>
              <w:spacing w:line="264" w:lineRule="auto"/>
              <w:jc w:val="both"/>
              <w:textAlignment w:val="baseline"/>
              <w:rPr>
                <w:rFonts w:ascii="Times New Roman" w:hAnsi="Times New Roman" w:cs="Times New Roman"/>
              </w:rPr>
            </w:pPr>
            <w:r w:rsidRPr="00296075">
              <w:rPr>
                <w:rFonts w:ascii="Times New Roman" w:hAnsi="Times New Roman" w:cs="Times New Roman"/>
              </w:rPr>
              <w:t>C7 (mixte)</w:t>
            </w:r>
          </w:p>
        </w:tc>
        <w:tc>
          <w:tcPr>
            <w:tcW w:w="1085" w:type="dxa"/>
            <w:shd w:val="clear" w:color="auto" w:fill="auto"/>
          </w:tcPr>
          <w:p w14:paraId="70FF5398"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0,0000</w:t>
            </w:r>
          </w:p>
        </w:tc>
        <w:tc>
          <w:tcPr>
            <w:tcW w:w="993" w:type="dxa"/>
            <w:shd w:val="clear" w:color="auto" w:fill="auto"/>
          </w:tcPr>
          <w:p w14:paraId="0E36F1A5"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0,0000</w:t>
            </w:r>
          </w:p>
        </w:tc>
        <w:tc>
          <w:tcPr>
            <w:tcW w:w="1275" w:type="dxa"/>
            <w:shd w:val="clear" w:color="auto" w:fill="auto"/>
          </w:tcPr>
          <w:p w14:paraId="6CE1117E"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0,2069</w:t>
            </w:r>
          </w:p>
        </w:tc>
        <w:tc>
          <w:tcPr>
            <w:tcW w:w="1134" w:type="dxa"/>
            <w:shd w:val="clear" w:color="auto" w:fill="auto"/>
          </w:tcPr>
          <w:p w14:paraId="116904B7"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0,1538</w:t>
            </w:r>
          </w:p>
        </w:tc>
        <w:tc>
          <w:tcPr>
            <w:tcW w:w="1276" w:type="dxa"/>
            <w:shd w:val="clear" w:color="auto" w:fill="auto"/>
          </w:tcPr>
          <w:p w14:paraId="04E6905D"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b/>
              </w:rPr>
            </w:pPr>
            <w:r w:rsidRPr="00296075">
              <w:rPr>
                <w:rFonts w:ascii="Times New Roman" w:hAnsi="Times New Roman" w:cs="Times New Roman"/>
                <w:b/>
              </w:rPr>
              <w:t>0,5517</w:t>
            </w:r>
          </w:p>
        </w:tc>
      </w:tr>
      <w:tr w:rsidR="0005107A" w:rsidRPr="0005107A" w14:paraId="19A95315" w14:textId="77777777" w:rsidTr="0077523E">
        <w:trPr>
          <w:trHeight w:val="280"/>
        </w:trPr>
        <w:tc>
          <w:tcPr>
            <w:tcW w:w="2312" w:type="dxa"/>
            <w:shd w:val="clear" w:color="auto" w:fill="auto"/>
          </w:tcPr>
          <w:p w14:paraId="69B1BE7C" w14:textId="77777777" w:rsidR="0005107A" w:rsidRPr="00296075" w:rsidRDefault="0005107A" w:rsidP="0005107A">
            <w:pPr>
              <w:overflowPunct w:val="0"/>
              <w:autoSpaceDE w:val="0"/>
              <w:autoSpaceDN w:val="0"/>
              <w:adjustRightInd w:val="0"/>
              <w:spacing w:line="264" w:lineRule="auto"/>
              <w:jc w:val="both"/>
              <w:textAlignment w:val="baseline"/>
              <w:rPr>
                <w:rFonts w:ascii="Times New Roman" w:hAnsi="Times New Roman" w:cs="Times New Roman"/>
              </w:rPr>
            </w:pPr>
            <w:r w:rsidRPr="00296075">
              <w:rPr>
                <w:rFonts w:ascii="Times New Roman" w:hAnsi="Times New Roman" w:cs="Times New Roman"/>
              </w:rPr>
              <w:t>C8 (masculin, isolé)</w:t>
            </w:r>
          </w:p>
        </w:tc>
        <w:tc>
          <w:tcPr>
            <w:tcW w:w="1085" w:type="dxa"/>
            <w:shd w:val="clear" w:color="auto" w:fill="auto"/>
          </w:tcPr>
          <w:p w14:paraId="62E57DA7"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0,0000</w:t>
            </w:r>
          </w:p>
        </w:tc>
        <w:tc>
          <w:tcPr>
            <w:tcW w:w="993" w:type="dxa"/>
            <w:shd w:val="clear" w:color="auto" w:fill="auto"/>
          </w:tcPr>
          <w:p w14:paraId="19124B02"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0,0000</w:t>
            </w:r>
          </w:p>
        </w:tc>
        <w:tc>
          <w:tcPr>
            <w:tcW w:w="1275" w:type="dxa"/>
            <w:shd w:val="clear" w:color="auto" w:fill="auto"/>
          </w:tcPr>
          <w:p w14:paraId="6DD44F4F"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0,0625</w:t>
            </w:r>
          </w:p>
        </w:tc>
        <w:tc>
          <w:tcPr>
            <w:tcW w:w="1134" w:type="dxa"/>
            <w:shd w:val="clear" w:color="auto" w:fill="auto"/>
          </w:tcPr>
          <w:p w14:paraId="04F383C3"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0,0000</w:t>
            </w:r>
          </w:p>
        </w:tc>
        <w:tc>
          <w:tcPr>
            <w:tcW w:w="1276" w:type="dxa"/>
            <w:shd w:val="clear" w:color="auto" w:fill="auto"/>
          </w:tcPr>
          <w:p w14:paraId="0D127F46" w14:textId="77777777" w:rsidR="0005107A" w:rsidRPr="00296075" w:rsidRDefault="0005107A" w:rsidP="0005107A">
            <w:pPr>
              <w:overflowPunct w:val="0"/>
              <w:autoSpaceDE w:val="0"/>
              <w:autoSpaceDN w:val="0"/>
              <w:adjustRightInd w:val="0"/>
              <w:spacing w:line="264" w:lineRule="auto"/>
              <w:jc w:val="center"/>
              <w:textAlignment w:val="baseline"/>
              <w:rPr>
                <w:rFonts w:ascii="Times New Roman" w:hAnsi="Times New Roman" w:cs="Times New Roman"/>
              </w:rPr>
            </w:pPr>
            <w:r w:rsidRPr="00296075">
              <w:rPr>
                <w:rFonts w:ascii="Times New Roman" w:hAnsi="Times New Roman" w:cs="Times New Roman"/>
              </w:rPr>
              <w:t>0,0000</w:t>
            </w:r>
          </w:p>
        </w:tc>
      </w:tr>
    </w:tbl>
    <w:p w14:paraId="0FE51E61" w14:textId="77777777" w:rsidR="0005107A" w:rsidRPr="0005107A" w:rsidRDefault="0005107A" w:rsidP="0005107A">
      <w:pPr>
        <w:overflowPunct w:val="0"/>
        <w:autoSpaceDE w:val="0"/>
        <w:autoSpaceDN w:val="0"/>
        <w:adjustRightInd w:val="0"/>
        <w:spacing w:after="0" w:line="264" w:lineRule="auto"/>
        <w:jc w:val="both"/>
        <w:textAlignment w:val="baseline"/>
        <w:rPr>
          <w:rFonts w:ascii="Calibri" w:eastAsia="Times New Roman" w:hAnsi="Calibri" w:cs="Calibri"/>
          <w:sz w:val="26"/>
          <w:szCs w:val="26"/>
          <w:lang w:val="fr-FR" w:eastAsia="fr-FR"/>
        </w:rPr>
      </w:pPr>
    </w:p>
    <w:p w14:paraId="63CB293B" w14:textId="77777777" w:rsidR="0005107A" w:rsidRDefault="0005107A" w:rsidP="00C7030B">
      <w:pPr>
        <w:spacing w:line="240" w:lineRule="auto"/>
        <w:ind w:left="708"/>
        <w:jc w:val="both"/>
        <w:rPr>
          <w:sz w:val="26"/>
          <w:szCs w:val="26"/>
        </w:rPr>
      </w:pPr>
    </w:p>
    <w:p w14:paraId="03F9ACE8" w14:textId="47D3CF08" w:rsidR="008E786B" w:rsidRPr="006261A9" w:rsidRDefault="002813B5" w:rsidP="002313FE">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L</w:t>
      </w:r>
      <w:r w:rsidR="006972A7" w:rsidRPr="006261A9">
        <w:rPr>
          <w:rFonts w:ascii="Times New Roman" w:hAnsi="Times New Roman" w:cs="Times New Roman"/>
          <w:sz w:val="24"/>
          <w:szCs w:val="24"/>
        </w:rPr>
        <w:t>es participants</w:t>
      </w:r>
      <w:r w:rsidR="00D10276" w:rsidRPr="006261A9">
        <w:rPr>
          <w:rFonts w:ascii="Times New Roman" w:hAnsi="Times New Roman" w:cs="Times New Roman"/>
          <w:sz w:val="24"/>
          <w:szCs w:val="24"/>
        </w:rPr>
        <w:t xml:space="preserve"> se sont </w:t>
      </w:r>
      <w:r>
        <w:rPr>
          <w:rFonts w:ascii="Times New Roman" w:hAnsi="Times New Roman" w:cs="Times New Roman"/>
          <w:sz w:val="24"/>
          <w:szCs w:val="24"/>
        </w:rPr>
        <w:t xml:space="preserve">donc </w:t>
      </w:r>
      <w:r w:rsidR="00D10276" w:rsidRPr="006261A9">
        <w:rPr>
          <w:rFonts w:ascii="Times New Roman" w:hAnsi="Times New Roman" w:cs="Times New Roman"/>
          <w:sz w:val="24"/>
          <w:szCs w:val="24"/>
        </w:rPr>
        <w:t>globalement retranchés derrière des techniques peu sophistiquées de prises de décisions</w:t>
      </w:r>
      <w:r w:rsidR="002C244C">
        <w:rPr>
          <w:rFonts w:ascii="Times New Roman" w:hAnsi="Times New Roman" w:cs="Times New Roman"/>
          <w:sz w:val="24"/>
          <w:szCs w:val="24"/>
        </w:rPr>
        <w:t xml:space="preserve"> et ont multiplié les opérations ce</w:t>
      </w:r>
      <w:r w:rsidR="00D10276" w:rsidRPr="006261A9">
        <w:rPr>
          <w:rFonts w:ascii="Times New Roman" w:hAnsi="Times New Roman" w:cs="Times New Roman"/>
          <w:sz w:val="24"/>
          <w:szCs w:val="24"/>
        </w:rPr>
        <w:t xml:space="preserve">, </w:t>
      </w:r>
      <w:r w:rsidR="00F71C52" w:rsidRPr="006261A9">
        <w:rPr>
          <w:rFonts w:ascii="Times New Roman" w:hAnsi="Times New Roman" w:cs="Times New Roman"/>
          <w:sz w:val="24"/>
          <w:szCs w:val="24"/>
        </w:rPr>
        <w:t xml:space="preserve">qui, </w:t>
      </w:r>
      <w:r w:rsidR="00D10276" w:rsidRPr="006261A9">
        <w:rPr>
          <w:rFonts w:ascii="Times New Roman" w:hAnsi="Times New Roman" w:cs="Times New Roman"/>
          <w:sz w:val="24"/>
          <w:szCs w:val="24"/>
        </w:rPr>
        <w:t>à l’épreuve des faits, semble</w:t>
      </w:r>
      <w:r w:rsidR="00F71C52" w:rsidRPr="006261A9">
        <w:rPr>
          <w:rFonts w:ascii="Times New Roman" w:hAnsi="Times New Roman" w:cs="Times New Roman"/>
          <w:sz w:val="24"/>
          <w:szCs w:val="24"/>
        </w:rPr>
        <w:t xml:space="preserve"> avoir </w:t>
      </w:r>
      <w:r w:rsidR="00447F94" w:rsidRPr="006261A9">
        <w:rPr>
          <w:rFonts w:ascii="Times New Roman" w:hAnsi="Times New Roman" w:cs="Times New Roman"/>
          <w:sz w:val="24"/>
          <w:szCs w:val="24"/>
        </w:rPr>
        <w:t xml:space="preserve">globalement </w:t>
      </w:r>
      <w:r w:rsidR="00F71C52" w:rsidRPr="006261A9">
        <w:rPr>
          <w:rFonts w:ascii="Times New Roman" w:hAnsi="Times New Roman" w:cs="Times New Roman"/>
          <w:sz w:val="24"/>
          <w:szCs w:val="24"/>
        </w:rPr>
        <w:t>porté leur</w:t>
      </w:r>
      <w:r w:rsidR="00D10276" w:rsidRPr="006261A9">
        <w:rPr>
          <w:rFonts w:ascii="Times New Roman" w:hAnsi="Times New Roman" w:cs="Times New Roman"/>
          <w:sz w:val="24"/>
          <w:szCs w:val="24"/>
        </w:rPr>
        <w:t>s fruits en termes de gains financiers</w:t>
      </w:r>
      <w:r w:rsidR="00617AF5" w:rsidRPr="006261A9">
        <w:rPr>
          <w:rFonts w:ascii="Times New Roman" w:hAnsi="Times New Roman" w:cs="Times New Roman"/>
          <w:sz w:val="24"/>
          <w:szCs w:val="24"/>
        </w:rPr>
        <w:t xml:space="preserve"> (parce que la configuration générale des marchés était très positive durant l’expérimentation)</w:t>
      </w:r>
      <w:r w:rsidR="00D10276" w:rsidRPr="006261A9">
        <w:rPr>
          <w:rFonts w:ascii="Times New Roman" w:hAnsi="Times New Roman" w:cs="Times New Roman"/>
          <w:sz w:val="24"/>
          <w:szCs w:val="24"/>
        </w:rPr>
        <w:t xml:space="preserve">. </w:t>
      </w:r>
      <w:r w:rsidR="003544ED">
        <w:rPr>
          <w:rFonts w:ascii="Times New Roman" w:hAnsi="Times New Roman" w:cs="Times New Roman"/>
          <w:sz w:val="24"/>
          <w:szCs w:val="24"/>
        </w:rPr>
        <w:t>L’</w:t>
      </w:r>
      <w:r w:rsidR="00862A7A">
        <w:rPr>
          <w:rFonts w:ascii="Times New Roman" w:hAnsi="Times New Roman" w:cs="Times New Roman"/>
          <w:sz w:val="24"/>
          <w:szCs w:val="24"/>
        </w:rPr>
        <w:t>argument de l’</w:t>
      </w:r>
      <w:r w:rsidR="003544ED">
        <w:rPr>
          <w:rFonts w:ascii="Times New Roman" w:hAnsi="Times New Roman" w:cs="Times New Roman"/>
          <w:sz w:val="24"/>
          <w:szCs w:val="24"/>
        </w:rPr>
        <w:t xml:space="preserve">excitation émotionnelle, en que facteur de dégradation de la performance, doit donc </w:t>
      </w:r>
      <w:r w:rsidR="00862A7A">
        <w:rPr>
          <w:rFonts w:ascii="Times New Roman" w:hAnsi="Times New Roman" w:cs="Times New Roman"/>
          <w:sz w:val="24"/>
          <w:szCs w:val="24"/>
        </w:rPr>
        <w:t>être relativisé</w:t>
      </w:r>
      <w:r w:rsidR="007721BC">
        <w:rPr>
          <w:rFonts w:ascii="Times New Roman" w:hAnsi="Times New Roman" w:cs="Times New Roman"/>
          <w:sz w:val="24"/>
          <w:szCs w:val="24"/>
        </w:rPr>
        <w:t xml:space="preserve"> (</w:t>
      </w:r>
      <w:proofErr w:type="spellStart"/>
      <w:r w:rsidR="007721BC">
        <w:rPr>
          <w:rFonts w:ascii="Times New Roman" w:hAnsi="Times New Roman" w:cs="Times New Roman"/>
          <w:sz w:val="24"/>
          <w:szCs w:val="24"/>
        </w:rPr>
        <w:t>Schunk</w:t>
      </w:r>
      <w:proofErr w:type="spellEnd"/>
      <w:r w:rsidR="00924409">
        <w:rPr>
          <w:rFonts w:ascii="Times New Roman" w:hAnsi="Times New Roman" w:cs="Times New Roman"/>
          <w:sz w:val="24"/>
          <w:szCs w:val="24"/>
        </w:rPr>
        <w:t xml:space="preserve"> D., </w:t>
      </w:r>
      <w:proofErr w:type="spellStart"/>
      <w:r w:rsidR="00924409">
        <w:rPr>
          <w:rFonts w:ascii="Times New Roman" w:hAnsi="Times New Roman" w:cs="Times New Roman"/>
          <w:sz w:val="24"/>
          <w:szCs w:val="24"/>
        </w:rPr>
        <w:t>Betsch</w:t>
      </w:r>
      <w:proofErr w:type="spellEnd"/>
      <w:r w:rsidR="00924409">
        <w:rPr>
          <w:rFonts w:ascii="Times New Roman" w:hAnsi="Times New Roman" w:cs="Times New Roman"/>
          <w:sz w:val="24"/>
          <w:szCs w:val="24"/>
        </w:rPr>
        <w:t xml:space="preserve"> C., 2006). </w:t>
      </w:r>
      <w:r w:rsidR="008B6C61">
        <w:rPr>
          <w:rFonts w:ascii="Times New Roman" w:hAnsi="Times New Roman" w:cs="Times New Roman"/>
          <w:sz w:val="24"/>
          <w:szCs w:val="24"/>
        </w:rPr>
        <w:t>Les propos démontrent</w:t>
      </w:r>
      <w:r w:rsidR="00F71C52" w:rsidRPr="006261A9">
        <w:rPr>
          <w:rFonts w:ascii="Times New Roman" w:hAnsi="Times New Roman" w:cs="Times New Roman"/>
          <w:sz w:val="24"/>
          <w:szCs w:val="24"/>
        </w:rPr>
        <w:t xml:space="preserve"> qu</w:t>
      </w:r>
      <w:r w:rsidR="005B41F0">
        <w:rPr>
          <w:rFonts w:ascii="Times New Roman" w:hAnsi="Times New Roman" w:cs="Times New Roman"/>
          <w:sz w:val="24"/>
          <w:szCs w:val="24"/>
        </w:rPr>
        <w:t xml:space="preserve">e, selon eux, </w:t>
      </w:r>
      <w:r w:rsidR="00F71C52" w:rsidRPr="006261A9">
        <w:rPr>
          <w:rFonts w:ascii="Times New Roman" w:hAnsi="Times New Roman" w:cs="Times New Roman"/>
          <w:sz w:val="24"/>
          <w:szCs w:val="24"/>
        </w:rPr>
        <w:t>il n’était</w:t>
      </w:r>
      <w:r w:rsidR="007C227A" w:rsidRPr="006261A9">
        <w:rPr>
          <w:rFonts w:ascii="Times New Roman" w:hAnsi="Times New Roman" w:cs="Times New Roman"/>
          <w:sz w:val="24"/>
          <w:szCs w:val="24"/>
        </w:rPr>
        <w:t xml:space="preserve"> pas nécessaire</w:t>
      </w:r>
      <w:r w:rsidR="00D10276" w:rsidRPr="006261A9">
        <w:rPr>
          <w:rFonts w:ascii="Times New Roman" w:hAnsi="Times New Roman" w:cs="Times New Roman"/>
          <w:sz w:val="24"/>
          <w:szCs w:val="24"/>
        </w:rPr>
        <w:t xml:space="preserve"> de suivre un parcours universitaire </w:t>
      </w:r>
      <w:r w:rsidR="008F0936" w:rsidRPr="006261A9">
        <w:rPr>
          <w:rFonts w:ascii="Times New Roman" w:hAnsi="Times New Roman" w:cs="Times New Roman"/>
          <w:sz w:val="24"/>
          <w:szCs w:val="24"/>
        </w:rPr>
        <w:t>poussé dans le domaine financier</w:t>
      </w:r>
      <w:r w:rsidR="00166D37" w:rsidRPr="006261A9">
        <w:rPr>
          <w:rFonts w:ascii="Times New Roman" w:hAnsi="Times New Roman" w:cs="Times New Roman"/>
          <w:sz w:val="24"/>
          <w:szCs w:val="24"/>
        </w:rPr>
        <w:t xml:space="preserve"> </w:t>
      </w:r>
      <w:r w:rsidR="00D10276" w:rsidRPr="006261A9">
        <w:rPr>
          <w:rFonts w:ascii="Times New Roman" w:hAnsi="Times New Roman" w:cs="Times New Roman"/>
          <w:sz w:val="24"/>
          <w:szCs w:val="24"/>
        </w:rPr>
        <w:t>pour recourir à ces méthodes d’analyse</w:t>
      </w:r>
      <w:r w:rsidR="00C4566C" w:rsidRPr="006261A9">
        <w:rPr>
          <w:rFonts w:ascii="Times New Roman" w:hAnsi="Times New Roman" w:cs="Times New Roman"/>
          <w:sz w:val="24"/>
          <w:szCs w:val="24"/>
        </w:rPr>
        <w:t>,</w:t>
      </w:r>
      <w:r w:rsidR="00D10276" w:rsidRPr="006261A9">
        <w:rPr>
          <w:rFonts w:ascii="Times New Roman" w:hAnsi="Times New Roman" w:cs="Times New Roman"/>
          <w:sz w:val="24"/>
          <w:szCs w:val="24"/>
        </w:rPr>
        <w:t xml:space="preserve"> qui</w:t>
      </w:r>
      <w:r w:rsidR="005B41F0">
        <w:rPr>
          <w:rFonts w:ascii="Times New Roman" w:hAnsi="Times New Roman" w:cs="Times New Roman"/>
          <w:sz w:val="24"/>
          <w:szCs w:val="24"/>
        </w:rPr>
        <w:t xml:space="preserve">, dans leur esprit, </w:t>
      </w:r>
      <w:r w:rsidR="00D10276" w:rsidRPr="006261A9">
        <w:rPr>
          <w:rFonts w:ascii="Times New Roman" w:hAnsi="Times New Roman" w:cs="Times New Roman"/>
          <w:sz w:val="24"/>
          <w:szCs w:val="24"/>
        </w:rPr>
        <w:t xml:space="preserve">proviennent </w:t>
      </w:r>
      <w:r w:rsidR="00C4566C" w:rsidRPr="006261A9">
        <w:rPr>
          <w:rFonts w:ascii="Times New Roman" w:hAnsi="Times New Roman" w:cs="Times New Roman"/>
          <w:sz w:val="24"/>
          <w:szCs w:val="24"/>
        </w:rPr>
        <w:t xml:space="preserve">le plus souvent </w:t>
      </w:r>
      <w:r w:rsidR="00D10276" w:rsidRPr="006261A9">
        <w:rPr>
          <w:rFonts w:ascii="Times New Roman" w:hAnsi="Times New Roman" w:cs="Times New Roman"/>
          <w:sz w:val="24"/>
          <w:szCs w:val="24"/>
        </w:rPr>
        <w:t>du simple bon sens commun</w:t>
      </w:r>
      <w:r w:rsidR="005B41F0">
        <w:rPr>
          <w:rFonts w:ascii="Times New Roman" w:hAnsi="Times New Roman" w:cs="Times New Roman"/>
          <w:sz w:val="24"/>
          <w:szCs w:val="24"/>
        </w:rPr>
        <w:t xml:space="preserve"> (même si elles sont en fait </w:t>
      </w:r>
      <w:r w:rsidR="00B3118A">
        <w:rPr>
          <w:rFonts w:ascii="Times New Roman" w:hAnsi="Times New Roman" w:cs="Times New Roman"/>
          <w:sz w:val="24"/>
          <w:szCs w:val="24"/>
        </w:rPr>
        <w:t>empruntées à</w:t>
      </w:r>
      <w:r w:rsidR="005B41F0">
        <w:rPr>
          <w:rFonts w:ascii="Times New Roman" w:hAnsi="Times New Roman" w:cs="Times New Roman"/>
          <w:sz w:val="24"/>
          <w:szCs w:val="24"/>
        </w:rPr>
        <w:t xml:space="preserve"> la théorie des conventions)</w:t>
      </w:r>
      <w:r w:rsidR="00D10276" w:rsidRPr="006261A9">
        <w:rPr>
          <w:rFonts w:ascii="Times New Roman" w:hAnsi="Times New Roman" w:cs="Times New Roman"/>
          <w:sz w:val="24"/>
          <w:szCs w:val="24"/>
        </w:rPr>
        <w:t xml:space="preserve">. De manière synthétique, nous obtenons la configuration générale suivante pour le développement des stratégies de placements des étudiants sur base quotidienne. </w:t>
      </w:r>
    </w:p>
    <w:p w14:paraId="1C6AE60C" w14:textId="77777777" w:rsidR="00715326" w:rsidRPr="00C7030B" w:rsidRDefault="00715326" w:rsidP="00C7030B">
      <w:pPr>
        <w:spacing w:line="240" w:lineRule="auto"/>
        <w:ind w:left="708"/>
        <w:jc w:val="both"/>
        <w:rPr>
          <w:sz w:val="26"/>
          <w:szCs w:val="26"/>
        </w:rPr>
      </w:pPr>
      <w:r>
        <w:rPr>
          <w:noProof/>
          <w:sz w:val="26"/>
          <w:szCs w:val="26"/>
          <w:lang w:eastAsia="fr-BE"/>
        </w:rPr>
        <w:lastRenderedPageBreak/>
        <w:drawing>
          <wp:inline distT="0" distB="0" distL="0" distR="0" wp14:anchorId="0A693BAB" wp14:editId="7600CD12">
            <wp:extent cx="5219700" cy="5181600"/>
            <wp:effectExtent l="38100" t="0" r="38100" b="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C0822D1" w14:textId="02897424" w:rsidR="002938C3" w:rsidRPr="00FB0D94" w:rsidRDefault="009A2E1E" w:rsidP="00FB0D94">
      <w:p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En ce qui concerne </w:t>
      </w:r>
      <w:r w:rsidR="00226A2D" w:rsidRPr="00FB0D94">
        <w:rPr>
          <w:rFonts w:ascii="Times New Roman" w:hAnsi="Times New Roman" w:cs="Times New Roman"/>
          <w:sz w:val="24"/>
          <w:szCs w:val="24"/>
        </w:rPr>
        <w:t xml:space="preserve">l’effet de l’environnement </w:t>
      </w:r>
      <w:r w:rsidR="006972A7" w:rsidRPr="00FB0D94">
        <w:rPr>
          <w:rFonts w:ascii="Times New Roman" w:hAnsi="Times New Roman" w:cs="Times New Roman"/>
          <w:sz w:val="24"/>
          <w:szCs w:val="24"/>
        </w:rPr>
        <w:t>sur le choix des techniques de prises de décisions</w:t>
      </w:r>
      <w:r w:rsidR="007D1E95">
        <w:rPr>
          <w:rFonts w:ascii="Times New Roman" w:hAnsi="Times New Roman" w:cs="Times New Roman"/>
          <w:sz w:val="24"/>
          <w:szCs w:val="24"/>
        </w:rPr>
        <w:t xml:space="preserve">, </w:t>
      </w:r>
      <w:r w:rsidR="00226A2D" w:rsidRPr="00FB0D94">
        <w:rPr>
          <w:rFonts w:ascii="Times New Roman" w:hAnsi="Times New Roman" w:cs="Times New Roman"/>
          <w:sz w:val="24"/>
          <w:szCs w:val="24"/>
        </w:rPr>
        <w:t>l’influence d</w:t>
      </w:r>
      <w:r w:rsidR="00C632F7">
        <w:rPr>
          <w:rFonts w:ascii="Times New Roman" w:hAnsi="Times New Roman" w:cs="Times New Roman"/>
          <w:sz w:val="24"/>
          <w:szCs w:val="24"/>
        </w:rPr>
        <w:t>’</w:t>
      </w:r>
      <w:r w:rsidR="00226A2D" w:rsidRPr="00FB0D94">
        <w:rPr>
          <w:rFonts w:ascii="Times New Roman" w:hAnsi="Times New Roman" w:cs="Times New Roman"/>
          <w:sz w:val="24"/>
          <w:szCs w:val="24"/>
        </w:rPr>
        <w:t>acteurs logés dans un espace ouvert sur une longue période temp</w:t>
      </w:r>
      <w:r w:rsidR="006972A7" w:rsidRPr="00FB0D94">
        <w:rPr>
          <w:rFonts w:ascii="Times New Roman" w:hAnsi="Times New Roman" w:cs="Times New Roman"/>
          <w:sz w:val="24"/>
          <w:szCs w:val="24"/>
        </w:rPr>
        <w:t>orelle</w:t>
      </w:r>
      <w:r w:rsidR="009B6209">
        <w:rPr>
          <w:rFonts w:ascii="Times New Roman" w:hAnsi="Times New Roman" w:cs="Times New Roman"/>
          <w:sz w:val="24"/>
          <w:szCs w:val="24"/>
        </w:rPr>
        <w:t xml:space="preserve"> </w:t>
      </w:r>
      <w:r w:rsidR="00DB11D9">
        <w:rPr>
          <w:rFonts w:ascii="Times New Roman" w:hAnsi="Times New Roman" w:cs="Times New Roman"/>
          <w:sz w:val="24"/>
          <w:szCs w:val="24"/>
        </w:rPr>
        <w:t>a été observée. Par les</w:t>
      </w:r>
      <w:r w:rsidR="009B6209">
        <w:rPr>
          <w:rFonts w:ascii="Times New Roman" w:hAnsi="Times New Roman" w:cs="Times New Roman"/>
          <w:sz w:val="24"/>
          <w:szCs w:val="24"/>
        </w:rPr>
        <w:t xml:space="preserve"> interactions sociales induites</w:t>
      </w:r>
      <w:r w:rsidR="006972A7" w:rsidRPr="00FB0D94">
        <w:rPr>
          <w:rFonts w:ascii="Times New Roman" w:hAnsi="Times New Roman" w:cs="Times New Roman"/>
          <w:sz w:val="24"/>
          <w:szCs w:val="24"/>
        </w:rPr>
        <w:t xml:space="preserve">, </w:t>
      </w:r>
      <w:r w:rsidR="00F76EA5">
        <w:rPr>
          <w:rFonts w:ascii="Times New Roman" w:hAnsi="Times New Roman" w:cs="Times New Roman"/>
          <w:sz w:val="24"/>
          <w:szCs w:val="24"/>
        </w:rPr>
        <w:t>les personnes</w:t>
      </w:r>
      <w:r w:rsidR="00226A2D" w:rsidRPr="00FB0D94">
        <w:rPr>
          <w:rFonts w:ascii="Times New Roman" w:hAnsi="Times New Roman" w:cs="Times New Roman"/>
          <w:sz w:val="24"/>
          <w:szCs w:val="24"/>
        </w:rPr>
        <w:t xml:space="preserve"> </w:t>
      </w:r>
      <w:r w:rsidR="000F5FBF">
        <w:rPr>
          <w:rFonts w:ascii="Times New Roman" w:hAnsi="Times New Roman" w:cs="Times New Roman"/>
          <w:sz w:val="24"/>
          <w:szCs w:val="24"/>
        </w:rPr>
        <w:t>ont été</w:t>
      </w:r>
      <w:r w:rsidR="00226A2D" w:rsidRPr="00FB0D94">
        <w:rPr>
          <w:rFonts w:ascii="Times New Roman" w:hAnsi="Times New Roman" w:cs="Times New Roman"/>
          <w:sz w:val="24"/>
          <w:szCs w:val="24"/>
        </w:rPr>
        <w:t xml:space="preserve"> amené</w:t>
      </w:r>
      <w:r w:rsidR="006972A7" w:rsidRPr="00FB0D94">
        <w:rPr>
          <w:rFonts w:ascii="Times New Roman" w:hAnsi="Times New Roman" w:cs="Times New Roman"/>
          <w:sz w:val="24"/>
          <w:szCs w:val="24"/>
        </w:rPr>
        <w:t>e</w:t>
      </w:r>
      <w:r w:rsidR="00226A2D" w:rsidRPr="00FB0D94">
        <w:rPr>
          <w:rFonts w:ascii="Times New Roman" w:hAnsi="Times New Roman" w:cs="Times New Roman"/>
          <w:sz w:val="24"/>
          <w:szCs w:val="24"/>
        </w:rPr>
        <w:t>s de manière quasiment naturelle à partager des informati</w:t>
      </w:r>
      <w:r w:rsidR="00C54EFF" w:rsidRPr="00FB0D94">
        <w:rPr>
          <w:rFonts w:ascii="Times New Roman" w:hAnsi="Times New Roman" w:cs="Times New Roman"/>
          <w:sz w:val="24"/>
          <w:szCs w:val="24"/>
        </w:rPr>
        <w:t>ons</w:t>
      </w:r>
      <w:r w:rsidR="004C3E41" w:rsidRPr="00FB0D94">
        <w:rPr>
          <w:rFonts w:ascii="Times New Roman" w:hAnsi="Times New Roman" w:cs="Times New Roman"/>
          <w:sz w:val="24"/>
          <w:szCs w:val="24"/>
        </w:rPr>
        <w:t xml:space="preserve"> et à</w:t>
      </w:r>
      <w:r w:rsidR="00536E0C" w:rsidRPr="00FB0D94">
        <w:rPr>
          <w:rFonts w:ascii="Times New Roman" w:hAnsi="Times New Roman" w:cs="Times New Roman"/>
          <w:sz w:val="24"/>
          <w:szCs w:val="24"/>
        </w:rPr>
        <w:t xml:space="preserve"> réaliser</w:t>
      </w:r>
      <w:r w:rsidR="006972A7" w:rsidRPr="00FB0D94">
        <w:rPr>
          <w:rFonts w:ascii="Times New Roman" w:hAnsi="Times New Roman" w:cs="Times New Roman"/>
          <w:sz w:val="24"/>
          <w:szCs w:val="24"/>
        </w:rPr>
        <w:t xml:space="preserve"> des benchmarks sur l’opérationnalité de telle ou telle technique</w:t>
      </w:r>
      <w:r w:rsidR="00226A2D" w:rsidRPr="00FB0D94">
        <w:rPr>
          <w:rFonts w:ascii="Times New Roman" w:hAnsi="Times New Roman" w:cs="Times New Roman"/>
          <w:sz w:val="24"/>
          <w:szCs w:val="24"/>
        </w:rPr>
        <w:t>. Les conséquences ne sont pas anodines : certains groupes ont sens</w:t>
      </w:r>
      <w:r w:rsidR="008E786B" w:rsidRPr="00FB0D94">
        <w:rPr>
          <w:rFonts w:ascii="Times New Roman" w:hAnsi="Times New Roman" w:cs="Times New Roman"/>
          <w:sz w:val="24"/>
          <w:szCs w:val="24"/>
        </w:rPr>
        <w:t>iblement révisé leurs techniques de prises de décision</w:t>
      </w:r>
      <w:r w:rsidR="00226A2D" w:rsidRPr="00FB0D94">
        <w:rPr>
          <w:rFonts w:ascii="Times New Roman" w:hAnsi="Times New Roman" w:cs="Times New Roman"/>
          <w:sz w:val="24"/>
          <w:szCs w:val="24"/>
        </w:rPr>
        <w:t xml:space="preserve"> en prenant appui sur ce qui était réalisé par les autres couples. </w:t>
      </w:r>
      <w:r w:rsidR="00C025B7" w:rsidRPr="00FB0D94">
        <w:rPr>
          <w:rFonts w:ascii="Times New Roman" w:hAnsi="Times New Roman" w:cs="Times New Roman"/>
          <w:sz w:val="24"/>
          <w:szCs w:val="24"/>
        </w:rPr>
        <w:t xml:space="preserve">A titre illustratif, </w:t>
      </w:r>
      <w:r w:rsidR="0005052A" w:rsidRPr="00FB0D94">
        <w:rPr>
          <w:rFonts w:ascii="Times New Roman" w:hAnsi="Times New Roman" w:cs="Times New Roman"/>
          <w:sz w:val="24"/>
          <w:szCs w:val="24"/>
        </w:rPr>
        <w:t xml:space="preserve">premièrement, </w:t>
      </w:r>
      <w:r w:rsidR="00C025B7" w:rsidRPr="00FB0D94">
        <w:rPr>
          <w:rFonts w:ascii="Times New Roman" w:hAnsi="Times New Roman" w:cs="Times New Roman"/>
          <w:sz w:val="24"/>
          <w:szCs w:val="24"/>
        </w:rPr>
        <w:t xml:space="preserve">la première stratégie retenue par le couple 7 </w:t>
      </w:r>
      <w:r w:rsidR="007B297C" w:rsidRPr="00FB0D94">
        <w:rPr>
          <w:rFonts w:ascii="Times New Roman" w:hAnsi="Times New Roman" w:cs="Times New Roman"/>
          <w:sz w:val="24"/>
          <w:szCs w:val="24"/>
        </w:rPr>
        <w:t>(</w:t>
      </w:r>
      <w:r w:rsidR="0041177C" w:rsidRPr="00FB0D94">
        <w:rPr>
          <w:rFonts w:ascii="Times New Roman" w:hAnsi="Times New Roman" w:cs="Times New Roman"/>
          <w:sz w:val="24"/>
          <w:szCs w:val="24"/>
        </w:rPr>
        <w:t xml:space="preserve">groupe </w:t>
      </w:r>
      <w:r w:rsidR="007B297C" w:rsidRPr="00FB0D94">
        <w:rPr>
          <w:rFonts w:ascii="Times New Roman" w:hAnsi="Times New Roman" w:cs="Times New Roman"/>
          <w:sz w:val="24"/>
          <w:szCs w:val="24"/>
        </w:rPr>
        <w:t>mixte)</w:t>
      </w:r>
      <w:r w:rsidR="00C025B7" w:rsidRPr="00FB0D94">
        <w:rPr>
          <w:rFonts w:ascii="Times New Roman" w:hAnsi="Times New Roman" w:cs="Times New Roman"/>
          <w:sz w:val="24"/>
          <w:szCs w:val="24"/>
        </w:rPr>
        <w:t xml:space="preserve"> négociée entre les deux parties du binôme présentait des contours prudentiels mais n’était pas suivie de gains financiers comparables à ceux de</w:t>
      </w:r>
      <w:r w:rsidR="009926B4">
        <w:rPr>
          <w:rFonts w:ascii="Times New Roman" w:hAnsi="Times New Roman" w:cs="Times New Roman"/>
          <w:sz w:val="24"/>
          <w:szCs w:val="24"/>
        </w:rPr>
        <w:t>s</w:t>
      </w:r>
      <w:r w:rsidR="00C025B7" w:rsidRPr="00FB0D94">
        <w:rPr>
          <w:rFonts w:ascii="Times New Roman" w:hAnsi="Times New Roman" w:cs="Times New Roman"/>
          <w:sz w:val="24"/>
          <w:szCs w:val="24"/>
        </w:rPr>
        <w:t xml:space="preserve"> couples qui</w:t>
      </w:r>
      <w:r w:rsidR="00E76334" w:rsidRPr="00FB0D94">
        <w:rPr>
          <w:rFonts w:ascii="Times New Roman" w:hAnsi="Times New Roman" w:cs="Times New Roman"/>
          <w:sz w:val="24"/>
          <w:szCs w:val="24"/>
        </w:rPr>
        <w:t xml:space="preserve"> </w:t>
      </w:r>
      <w:r w:rsidR="00C025B7" w:rsidRPr="00FB0D94">
        <w:rPr>
          <w:rFonts w:ascii="Times New Roman" w:hAnsi="Times New Roman" w:cs="Times New Roman"/>
          <w:sz w:val="24"/>
          <w:szCs w:val="24"/>
        </w:rPr>
        <w:t xml:space="preserve">avaient retenu une perspective de placements beaucoup moins conservatrice. On peut penser que le revirement initié dans le courant de la semaine </w:t>
      </w:r>
      <w:r w:rsidR="006821CC" w:rsidRPr="00FB0D94">
        <w:rPr>
          <w:rFonts w:ascii="Times New Roman" w:hAnsi="Times New Roman" w:cs="Times New Roman"/>
          <w:sz w:val="24"/>
          <w:szCs w:val="24"/>
        </w:rPr>
        <w:t xml:space="preserve">(durant la dernière journée, 55% des opérations correspondaient à du </w:t>
      </w:r>
      <w:proofErr w:type="spellStart"/>
      <w:r w:rsidR="006821CC" w:rsidRPr="00FB0D94">
        <w:rPr>
          <w:rFonts w:ascii="Times New Roman" w:hAnsi="Times New Roman" w:cs="Times New Roman"/>
          <w:sz w:val="24"/>
          <w:szCs w:val="24"/>
        </w:rPr>
        <w:t>scalping</w:t>
      </w:r>
      <w:proofErr w:type="spellEnd"/>
      <w:r w:rsidR="006821CC" w:rsidRPr="00FB0D94">
        <w:rPr>
          <w:rFonts w:ascii="Times New Roman" w:hAnsi="Times New Roman" w:cs="Times New Roman"/>
          <w:sz w:val="24"/>
          <w:szCs w:val="24"/>
        </w:rPr>
        <w:t xml:space="preserve"> trading) </w:t>
      </w:r>
      <w:r w:rsidR="00C025B7" w:rsidRPr="00FB0D94">
        <w:rPr>
          <w:rFonts w:ascii="Times New Roman" w:hAnsi="Times New Roman" w:cs="Times New Roman"/>
          <w:sz w:val="24"/>
          <w:szCs w:val="24"/>
        </w:rPr>
        <w:t>visait à</w:t>
      </w:r>
      <w:r w:rsidR="00AD0EEA">
        <w:rPr>
          <w:rFonts w:ascii="Times New Roman" w:hAnsi="Times New Roman" w:cs="Times New Roman"/>
          <w:sz w:val="24"/>
          <w:szCs w:val="24"/>
        </w:rPr>
        <w:t xml:space="preserve"> procéder à des opérations</w:t>
      </w:r>
      <w:r w:rsidR="003F7A18">
        <w:rPr>
          <w:rFonts w:ascii="Times New Roman" w:hAnsi="Times New Roman" w:cs="Times New Roman"/>
          <w:sz w:val="24"/>
          <w:szCs w:val="24"/>
        </w:rPr>
        <w:t xml:space="preserve"> pour obtenir des résultats</w:t>
      </w:r>
      <w:r w:rsidR="00C025B7" w:rsidRPr="00FB0D94">
        <w:rPr>
          <w:rFonts w:ascii="Times New Roman" w:hAnsi="Times New Roman" w:cs="Times New Roman"/>
          <w:sz w:val="24"/>
          <w:szCs w:val="24"/>
        </w:rPr>
        <w:t xml:space="preserve"> aussi b</w:t>
      </w:r>
      <w:r w:rsidR="003F7A18">
        <w:rPr>
          <w:rFonts w:ascii="Times New Roman" w:hAnsi="Times New Roman" w:cs="Times New Roman"/>
          <w:sz w:val="24"/>
          <w:szCs w:val="24"/>
        </w:rPr>
        <w:t>ons</w:t>
      </w:r>
      <w:r w:rsidR="00C025B7" w:rsidRPr="00FB0D94">
        <w:rPr>
          <w:rFonts w:ascii="Times New Roman" w:hAnsi="Times New Roman" w:cs="Times New Roman"/>
          <w:sz w:val="24"/>
          <w:szCs w:val="24"/>
        </w:rPr>
        <w:t xml:space="preserve"> que les autres parce que, dans l’esprit de certains </w:t>
      </w:r>
      <w:r w:rsidR="00C025B7" w:rsidRPr="00FB0D94">
        <w:rPr>
          <w:rFonts w:ascii="Times New Roman" w:hAnsi="Times New Roman" w:cs="Times New Roman"/>
          <w:sz w:val="24"/>
          <w:szCs w:val="24"/>
        </w:rPr>
        <w:lastRenderedPageBreak/>
        <w:t>étudiants, il y avait un</w:t>
      </w:r>
      <w:r w:rsidR="00712AE9" w:rsidRPr="00FB0D94">
        <w:rPr>
          <w:rFonts w:ascii="Times New Roman" w:hAnsi="Times New Roman" w:cs="Times New Roman"/>
          <w:sz w:val="24"/>
          <w:szCs w:val="24"/>
        </w:rPr>
        <w:t>e sorte de</w:t>
      </w:r>
      <w:r w:rsidR="00C025B7" w:rsidRPr="00FB0D94">
        <w:rPr>
          <w:rFonts w:ascii="Times New Roman" w:hAnsi="Times New Roman" w:cs="Times New Roman"/>
          <w:sz w:val="24"/>
          <w:szCs w:val="24"/>
        </w:rPr>
        <w:t xml:space="preserve"> classement </w:t>
      </w:r>
      <w:r w:rsidR="00712AE9" w:rsidRPr="00FB0D94">
        <w:rPr>
          <w:rFonts w:ascii="Times New Roman" w:hAnsi="Times New Roman" w:cs="Times New Roman"/>
          <w:sz w:val="24"/>
          <w:szCs w:val="24"/>
        </w:rPr>
        <w:t xml:space="preserve">(généré par les résultats scolaires au sein du parcours universitaire) </w:t>
      </w:r>
      <w:r w:rsidR="00C025B7" w:rsidRPr="00FB0D94">
        <w:rPr>
          <w:rFonts w:ascii="Times New Roman" w:hAnsi="Times New Roman" w:cs="Times New Roman"/>
          <w:sz w:val="24"/>
          <w:szCs w:val="24"/>
        </w:rPr>
        <w:t xml:space="preserve">et </w:t>
      </w:r>
      <w:r w:rsidR="005E0A3A">
        <w:rPr>
          <w:rFonts w:ascii="Times New Roman" w:hAnsi="Times New Roman" w:cs="Times New Roman"/>
          <w:sz w:val="24"/>
          <w:szCs w:val="24"/>
        </w:rPr>
        <w:t>d</w:t>
      </w:r>
      <w:r w:rsidR="00C025B7" w:rsidRPr="00FB0D94">
        <w:rPr>
          <w:rFonts w:ascii="Times New Roman" w:hAnsi="Times New Roman" w:cs="Times New Roman"/>
          <w:sz w:val="24"/>
          <w:szCs w:val="24"/>
        </w:rPr>
        <w:t>e compétition fo</w:t>
      </w:r>
      <w:r w:rsidR="00396777" w:rsidRPr="00FB0D94">
        <w:rPr>
          <w:rFonts w:ascii="Times New Roman" w:hAnsi="Times New Roman" w:cs="Times New Roman"/>
          <w:sz w:val="24"/>
          <w:szCs w:val="24"/>
        </w:rPr>
        <w:t xml:space="preserve">rcément induite par celui-ci. </w:t>
      </w:r>
      <w:r w:rsidR="0005052A" w:rsidRPr="00FB0D94">
        <w:rPr>
          <w:rFonts w:ascii="Times New Roman" w:hAnsi="Times New Roman" w:cs="Times New Roman"/>
          <w:sz w:val="24"/>
          <w:szCs w:val="24"/>
        </w:rPr>
        <w:t xml:space="preserve">Deuxièmement, les personnes du groupe 5 (uniquement féminin), nous </w:t>
      </w:r>
      <w:r w:rsidR="005E0A3A">
        <w:rPr>
          <w:rFonts w:ascii="Times New Roman" w:hAnsi="Times New Roman" w:cs="Times New Roman"/>
          <w:sz w:val="24"/>
          <w:szCs w:val="24"/>
        </w:rPr>
        <w:t xml:space="preserve">ont </w:t>
      </w:r>
      <w:r w:rsidR="0005052A" w:rsidRPr="00FB0D94">
        <w:rPr>
          <w:rFonts w:ascii="Times New Roman" w:hAnsi="Times New Roman" w:cs="Times New Roman"/>
          <w:sz w:val="24"/>
          <w:szCs w:val="24"/>
        </w:rPr>
        <w:t>relat</w:t>
      </w:r>
      <w:r w:rsidR="005E0A3A">
        <w:rPr>
          <w:rFonts w:ascii="Times New Roman" w:hAnsi="Times New Roman" w:cs="Times New Roman"/>
          <w:sz w:val="24"/>
          <w:szCs w:val="24"/>
        </w:rPr>
        <w:t>é</w:t>
      </w:r>
      <w:r w:rsidR="0005052A" w:rsidRPr="00FB0D94">
        <w:rPr>
          <w:rFonts w:ascii="Times New Roman" w:hAnsi="Times New Roman" w:cs="Times New Roman"/>
          <w:sz w:val="24"/>
          <w:szCs w:val="24"/>
        </w:rPr>
        <w:t xml:space="preserve"> une volonté initiale de diversification des placements et de positionnement </w:t>
      </w:r>
      <w:r w:rsidR="00D943BF">
        <w:rPr>
          <w:rFonts w:ascii="Times New Roman" w:hAnsi="Times New Roman" w:cs="Times New Roman"/>
          <w:sz w:val="24"/>
          <w:szCs w:val="24"/>
        </w:rPr>
        <w:t>sur du</w:t>
      </w:r>
      <w:r w:rsidR="0005052A" w:rsidRPr="00FB0D94">
        <w:rPr>
          <w:rFonts w:ascii="Times New Roman" w:hAnsi="Times New Roman" w:cs="Times New Roman"/>
          <w:sz w:val="24"/>
          <w:szCs w:val="24"/>
        </w:rPr>
        <w:t xml:space="preserve"> long terme. Cependant, émoustillées par la spéculation et l’espérance de gains associés à celle</w:t>
      </w:r>
      <w:r w:rsidR="002938C3" w:rsidRPr="00FB0D94">
        <w:rPr>
          <w:rFonts w:ascii="Times New Roman" w:hAnsi="Times New Roman" w:cs="Times New Roman"/>
          <w:sz w:val="24"/>
          <w:szCs w:val="24"/>
        </w:rPr>
        <w:t>s</w:t>
      </w:r>
      <w:r w:rsidR="0005052A" w:rsidRPr="00FB0D94">
        <w:rPr>
          <w:rFonts w:ascii="Times New Roman" w:hAnsi="Times New Roman" w:cs="Times New Roman"/>
          <w:sz w:val="24"/>
          <w:szCs w:val="24"/>
        </w:rPr>
        <w:t>-ci</w:t>
      </w:r>
      <w:r w:rsidR="00396777" w:rsidRPr="00FB0D94">
        <w:rPr>
          <w:rFonts w:ascii="Times New Roman" w:hAnsi="Times New Roman" w:cs="Times New Roman"/>
          <w:sz w:val="24"/>
          <w:szCs w:val="24"/>
        </w:rPr>
        <w:t xml:space="preserve"> (observés au sein des autres groupes)</w:t>
      </w:r>
      <w:r w:rsidR="0005052A" w:rsidRPr="00FB0D94">
        <w:rPr>
          <w:rFonts w:ascii="Times New Roman" w:hAnsi="Times New Roman" w:cs="Times New Roman"/>
          <w:sz w:val="24"/>
          <w:szCs w:val="24"/>
        </w:rPr>
        <w:t>, des opérations plus risquées ont été envisagées</w:t>
      </w:r>
      <w:r w:rsidR="001D72B4" w:rsidRPr="00FB0D94">
        <w:rPr>
          <w:rFonts w:ascii="Times New Roman" w:hAnsi="Times New Roman" w:cs="Times New Roman"/>
          <w:sz w:val="24"/>
          <w:szCs w:val="24"/>
        </w:rPr>
        <w:t xml:space="preserve"> à partir du quatrième jour</w:t>
      </w:r>
      <w:r w:rsidR="0005052A" w:rsidRPr="00FB0D94">
        <w:rPr>
          <w:rFonts w:ascii="Times New Roman" w:hAnsi="Times New Roman" w:cs="Times New Roman"/>
          <w:sz w:val="24"/>
          <w:szCs w:val="24"/>
        </w:rPr>
        <w:t xml:space="preserve">. </w:t>
      </w:r>
    </w:p>
    <w:p w14:paraId="6F2C7833" w14:textId="7AECA646" w:rsidR="005B4412" w:rsidRPr="00FB0D94" w:rsidRDefault="00226A2D" w:rsidP="00FB0D94">
      <w:pPr>
        <w:spacing w:line="360" w:lineRule="auto"/>
        <w:ind w:left="709"/>
        <w:jc w:val="both"/>
        <w:rPr>
          <w:rFonts w:ascii="Times New Roman" w:hAnsi="Times New Roman" w:cs="Times New Roman"/>
          <w:sz w:val="24"/>
          <w:szCs w:val="24"/>
        </w:rPr>
      </w:pPr>
      <w:r w:rsidRPr="00FB0D94">
        <w:rPr>
          <w:rFonts w:ascii="Times New Roman" w:hAnsi="Times New Roman" w:cs="Times New Roman"/>
          <w:sz w:val="24"/>
          <w:szCs w:val="24"/>
        </w:rPr>
        <w:t xml:space="preserve">Cet effet de l’environnement a </w:t>
      </w:r>
      <w:r w:rsidR="00960B9A" w:rsidRPr="00FB0D94">
        <w:rPr>
          <w:rFonts w:ascii="Times New Roman" w:hAnsi="Times New Roman" w:cs="Times New Roman"/>
          <w:sz w:val="24"/>
          <w:szCs w:val="24"/>
        </w:rPr>
        <w:t xml:space="preserve">également </w:t>
      </w:r>
      <w:r w:rsidRPr="00FB0D94">
        <w:rPr>
          <w:rFonts w:ascii="Times New Roman" w:hAnsi="Times New Roman" w:cs="Times New Roman"/>
          <w:sz w:val="24"/>
          <w:szCs w:val="24"/>
        </w:rPr>
        <w:t>pu être repér</w:t>
      </w:r>
      <w:r w:rsidR="00960B9A" w:rsidRPr="00FB0D94">
        <w:rPr>
          <w:rFonts w:ascii="Times New Roman" w:hAnsi="Times New Roman" w:cs="Times New Roman"/>
          <w:sz w:val="24"/>
          <w:szCs w:val="24"/>
        </w:rPr>
        <w:t>é</w:t>
      </w:r>
      <w:r w:rsidRPr="00FB0D94">
        <w:rPr>
          <w:rFonts w:ascii="Times New Roman" w:hAnsi="Times New Roman" w:cs="Times New Roman"/>
          <w:sz w:val="24"/>
          <w:szCs w:val="24"/>
        </w:rPr>
        <w:t xml:space="preserve"> </w:t>
      </w:r>
      <w:r w:rsidR="0090788C">
        <w:rPr>
          <w:rFonts w:ascii="Times New Roman" w:hAnsi="Times New Roman" w:cs="Times New Roman"/>
          <w:sz w:val="24"/>
          <w:szCs w:val="24"/>
        </w:rPr>
        <w:t xml:space="preserve">jusque </w:t>
      </w:r>
      <w:r w:rsidR="004D2016" w:rsidRPr="00FB0D94">
        <w:rPr>
          <w:rFonts w:ascii="Times New Roman" w:hAnsi="Times New Roman" w:cs="Times New Roman"/>
          <w:sz w:val="24"/>
          <w:szCs w:val="24"/>
        </w:rPr>
        <w:t xml:space="preserve">dans l’intimité </w:t>
      </w:r>
      <w:r w:rsidRPr="00FB0D94">
        <w:rPr>
          <w:rFonts w:ascii="Times New Roman" w:hAnsi="Times New Roman" w:cs="Times New Roman"/>
          <w:sz w:val="24"/>
          <w:szCs w:val="24"/>
        </w:rPr>
        <w:t>des groupes, avec des personnalités enclines à la prise de risques qui prenaient le pas sur d’autres à orientatio</w:t>
      </w:r>
      <w:r w:rsidR="002339A7" w:rsidRPr="00FB0D94">
        <w:rPr>
          <w:rFonts w:ascii="Times New Roman" w:hAnsi="Times New Roman" w:cs="Times New Roman"/>
          <w:sz w:val="24"/>
          <w:szCs w:val="24"/>
        </w:rPr>
        <w:t>n plus prudentielle</w:t>
      </w:r>
      <w:r w:rsidR="009F6AF4" w:rsidRPr="00FB0D94">
        <w:rPr>
          <w:rFonts w:ascii="Times New Roman" w:hAnsi="Times New Roman" w:cs="Times New Roman"/>
          <w:sz w:val="24"/>
          <w:szCs w:val="24"/>
        </w:rPr>
        <w:t xml:space="preserve">. </w:t>
      </w:r>
    </w:p>
    <w:p w14:paraId="180C3949" w14:textId="1DA2BB16" w:rsidR="009F6AF4" w:rsidRPr="00FB0D94" w:rsidRDefault="009F6AF4" w:rsidP="00FB0D94">
      <w:pPr>
        <w:spacing w:line="360" w:lineRule="auto"/>
        <w:ind w:left="709"/>
        <w:jc w:val="both"/>
        <w:rPr>
          <w:rFonts w:ascii="Times New Roman" w:hAnsi="Times New Roman" w:cs="Times New Roman"/>
          <w:sz w:val="24"/>
          <w:szCs w:val="24"/>
        </w:rPr>
      </w:pPr>
      <w:r w:rsidRPr="00FB0D94">
        <w:rPr>
          <w:rFonts w:ascii="Times New Roman" w:hAnsi="Times New Roman" w:cs="Times New Roman"/>
          <w:sz w:val="24"/>
          <w:szCs w:val="24"/>
        </w:rPr>
        <w:t>«</w:t>
      </w:r>
      <w:r w:rsidR="0095741F">
        <w:rPr>
          <w:rFonts w:ascii="Times New Roman" w:hAnsi="Times New Roman" w:cs="Times New Roman"/>
          <w:sz w:val="24"/>
          <w:szCs w:val="24"/>
        </w:rPr>
        <w:t xml:space="preserve"> </w:t>
      </w:r>
      <w:r w:rsidRPr="00FB0D94">
        <w:rPr>
          <w:rFonts w:ascii="Times New Roman" w:hAnsi="Times New Roman" w:cs="Times New Roman"/>
          <w:i/>
          <w:color w:val="000000"/>
          <w:sz w:val="24"/>
          <w:szCs w:val="24"/>
        </w:rPr>
        <w:t xml:space="preserve">J’aurais personnellement préféré travailler seule. J’ai en principe facile à m’adapter aux personnes mais j’ai eu du mal à me faire à mon </w:t>
      </w:r>
      <w:r w:rsidR="000224B1" w:rsidRPr="00FB0D94">
        <w:rPr>
          <w:rFonts w:ascii="Times New Roman" w:hAnsi="Times New Roman" w:cs="Times New Roman"/>
          <w:i/>
          <w:color w:val="000000"/>
          <w:sz w:val="24"/>
          <w:szCs w:val="24"/>
        </w:rPr>
        <w:t>partenaire</w:t>
      </w:r>
      <w:r w:rsidRPr="00FB0D94">
        <w:rPr>
          <w:rFonts w:ascii="Times New Roman" w:hAnsi="Times New Roman" w:cs="Times New Roman"/>
          <w:i/>
          <w:color w:val="000000"/>
          <w:sz w:val="24"/>
          <w:szCs w:val="24"/>
        </w:rPr>
        <w:t>. Plusieurs décisions irrationnelles ont été pris</w:t>
      </w:r>
      <w:r w:rsidR="00FD06E3" w:rsidRPr="00FB0D94">
        <w:rPr>
          <w:rFonts w:ascii="Times New Roman" w:hAnsi="Times New Roman" w:cs="Times New Roman"/>
          <w:i/>
          <w:color w:val="000000"/>
          <w:sz w:val="24"/>
          <w:szCs w:val="24"/>
        </w:rPr>
        <w:t>es</w:t>
      </w:r>
      <w:r w:rsidRPr="00FB0D94">
        <w:rPr>
          <w:rFonts w:ascii="Times New Roman" w:hAnsi="Times New Roman" w:cs="Times New Roman"/>
          <w:i/>
          <w:color w:val="000000"/>
          <w:sz w:val="24"/>
          <w:szCs w:val="24"/>
        </w:rPr>
        <w:t xml:space="preserve"> sans que je ne sois d’accord pour autant. Tous les deux</w:t>
      </w:r>
      <w:r w:rsidR="00D001A1">
        <w:rPr>
          <w:rFonts w:ascii="Times New Roman" w:hAnsi="Times New Roman" w:cs="Times New Roman"/>
          <w:i/>
          <w:color w:val="000000"/>
          <w:sz w:val="24"/>
          <w:szCs w:val="24"/>
        </w:rPr>
        <w:t>,</w:t>
      </w:r>
      <w:r w:rsidRPr="00FB0D94">
        <w:rPr>
          <w:rFonts w:ascii="Times New Roman" w:hAnsi="Times New Roman" w:cs="Times New Roman"/>
          <w:i/>
          <w:color w:val="000000"/>
          <w:sz w:val="24"/>
          <w:szCs w:val="24"/>
        </w:rPr>
        <w:t xml:space="preserve"> sans expérience dans la bourse, aucune stratégie n’avait été mise en place avant le début de l’expérience. Le but pour moi n’était pas de faire de l’argent mais d’abord de me familiariser avec le monde boursier et ensuite tenter de comprendre comme celui-ci fonctionne. Mon </w:t>
      </w:r>
      <w:r w:rsidR="00FD06E3" w:rsidRPr="00FB0D94">
        <w:rPr>
          <w:rFonts w:ascii="Times New Roman" w:hAnsi="Times New Roman" w:cs="Times New Roman"/>
          <w:i/>
          <w:color w:val="000000"/>
          <w:sz w:val="24"/>
          <w:szCs w:val="24"/>
        </w:rPr>
        <w:t>partenair</w:t>
      </w:r>
      <w:r w:rsidRPr="00FB0D94">
        <w:rPr>
          <w:rFonts w:ascii="Times New Roman" w:hAnsi="Times New Roman" w:cs="Times New Roman"/>
          <w:i/>
          <w:color w:val="000000"/>
          <w:sz w:val="24"/>
          <w:szCs w:val="24"/>
        </w:rPr>
        <w:t>e n’avait</w:t>
      </w:r>
      <w:r w:rsidR="00E015F4" w:rsidRPr="00FB0D94">
        <w:rPr>
          <w:rFonts w:ascii="Times New Roman" w:hAnsi="Times New Roman" w:cs="Times New Roman"/>
          <w:i/>
          <w:color w:val="000000"/>
          <w:sz w:val="24"/>
          <w:szCs w:val="24"/>
        </w:rPr>
        <w:t xml:space="preserve"> pas</w:t>
      </w:r>
      <w:r w:rsidRPr="00FB0D94">
        <w:rPr>
          <w:rFonts w:ascii="Times New Roman" w:hAnsi="Times New Roman" w:cs="Times New Roman"/>
          <w:i/>
          <w:color w:val="000000"/>
          <w:sz w:val="24"/>
          <w:szCs w:val="24"/>
        </w:rPr>
        <w:t xml:space="preserve"> - </w:t>
      </w:r>
      <w:r w:rsidR="00E015F4" w:rsidRPr="00FB0D94">
        <w:rPr>
          <w:rFonts w:ascii="Times New Roman" w:hAnsi="Times New Roman" w:cs="Times New Roman"/>
          <w:i/>
          <w:color w:val="000000"/>
          <w:sz w:val="24"/>
          <w:szCs w:val="24"/>
        </w:rPr>
        <w:t>je pense -</w:t>
      </w:r>
      <w:r w:rsidRPr="00FB0D94">
        <w:rPr>
          <w:rFonts w:ascii="Times New Roman" w:hAnsi="Times New Roman" w:cs="Times New Roman"/>
          <w:i/>
          <w:color w:val="000000"/>
          <w:sz w:val="24"/>
          <w:szCs w:val="24"/>
        </w:rPr>
        <w:t xml:space="preserve"> la même vision de l’expérience</w:t>
      </w:r>
      <w:r w:rsidRPr="00FB0D94">
        <w:rPr>
          <w:rFonts w:ascii="Times New Roman" w:hAnsi="Times New Roman" w:cs="Times New Roman"/>
          <w:color w:val="000000"/>
          <w:sz w:val="24"/>
          <w:szCs w:val="24"/>
        </w:rPr>
        <w:t> »</w:t>
      </w:r>
      <w:r w:rsidR="002339A7" w:rsidRPr="00FB0D94">
        <w:rPr>
          <w:rFonts w:ascii="Times New Roman" w:hAnsi="Times New Roman" w:cs="Times New Roman"/>
          <w:sz w:val="24"/>
          <w:szCs w:val="24"/>
        </w:rPr>
        <w:t xml:space="preserve">. </w:t>
      </w:r>
      <w:r w:rsidRPr="00FB0D94">
        <w:rPr>
          <w:rFonts w:ascii="Times New Roman" w:hAnsi="Times New Roman" w:cs="Times New Roman"/>
          <w:sz w:val="24"/>
          <w:szCs w:val="24"/>
        </w:rPr>
        <w:t xml:space="preserve">S.L., étudiante, groupe mixte. </w:t>
      </w:r>
    </w:p>
    <w:p w14:paraId="16473DB0" w14:textId="229D18F1" w:rsidR="009A2E1E" w:rsidRDefault="00226A2D" w:rsidP="00D6543A">
      <w:pPr>
        <w:spacing w:line="360" w:lineRule="auto"/>
        <w:ind w:left="709"/>
        <w:jc w:val="both"/>
        <w:rPr>
          <w:rFonts w:ascii="Times New Roman" w:hAnsi="Times New Roman" w:cs="Times New Roman"/>
          <w:sz w:val="24"/>
          <w:szCs w:val="24"/>
        </w:rPr>
      </w:pPr>
      <w:r w:rsidRPr="00FB0D94">
        <w:rPr>
          <w:rFonts w:ascii="Times New Roman" w:hAnsi="Times New Roman" w:cs="Times New Roman"/>
          <w:sz w:val="24"/>
          <w:szCs w:val="24"/>
        </w:rPr>
        <w:t>A cet égard, et en référence à C</w:t>
      </w:r>
      <w:r w:rsidR="00CD3C99" w:rsidRPr="00FB0D94">
        <w:rPr>
          <w:rFonts w:ascii="Times New Roman" w:hAnsi="Times New Roman" w:cs="Times New Roman"/>
          <w:sz w:val="24"/>
          <w:szCs w:val="24"/>
        </w:rPr>
        <w:t xml:space="preserve">laudon P. et Weber M. (2009), </w:t>
      </w:r>
      <w:r w:rsidR="00180150" w:rsidRPr="00FB0D94">
        <w:rPr>
          <w:rFonts w:ascii="Times New Roman" w:hAnsi="Times New Roman" w:cs="Times New Roman"/>
          <w:sz w:val="24"/>
          <w:szCs w:val="24"/>
        </w:rPr>
        <w:t xml:space="preserve">les </w:t>
      </w:r>
      <w:r w:rsidR="001F5D07" w:rsidRPr="00FB0D94">
        <w:rPr>
          <w:rFonts w:ascii="Times New Roman" w:hAnsi="Times New Roman" w:cs="Times New Roman"/>
          <w:sz w:val="24"/>
          <w:szCs w:val="24"/>
        </w:rPr>
        <w:t xml:space="preserve">éléments que nous avons récoltés tendent à démontrer </w:t>
      </w:r>
      <w:r w:rsidRPr="00FB0D94">
        <w:rPr>
          <w:rFonts w:ascii="Times New Roman" w:hAnsi="Times New Roman" w:cs="Times New Roman"/>
          <w:sz w:val="24"/>
          <w:szCs w:val="24"/>
        </w:rPr>
        <w:t>que les participants navigu</w:t>
      </w:r>
      <w:r w:rsidR="00CD3C99" w:rsidRPr="00FB0D94">
        <w:rPr>
          <w:rFonts w:ascii="Times New Roman" w:hAnsi="Times New Roman" w:cs="Times New Roman"/>
          <w:sz w:val="24"/>
          <w:szCs w:val="24"/>
        </w:rPr>
        <w:t>ai</w:t>
      </w:r>
      <w:r w:rsidRPr="00FB0D94">
        <w:rPr>
          <w:rFonts w:ascii="Times New Roman" w:hAnsi="Times New Roman" w:cs="Times New Roman"/>
          <w:sz w:val="24"/>
          <w:szCs w:val="24"/>
        </w:rPr>
        <w:t xml:space="preserve">ent dans un bain émotionnel </w:t>
      </w:r>
      <w:r w:rsidR="00801A07">
        <w:rPr>
          <w:rFonts w:ascii="Times New Roman" w:hAnsi="Times New Roman" w:cs="Times New Roman"/>
          <w:sz w:val="24"/>
          <w:szCs w:val="24"/>
        </w:rPr>
        <w:t>s’intég</w:t>
      </w:r>
      <w:r w:rsidR="00287479">
        <w:rPr>
          <w:rFonts w:ascii="Times New Roman" w:hAnsi="Times New Roman" w:cs="Times New Roman"/>
          <w:sz w:val="24"/>
          <w:szCs w:val="24"/>
        </w:rPr>
        <w:t>rant en quelque sorte dans un management de l’urgence (</w:t>
      </w:r>
      <w:proofErr w:type="spellStart"/>
      <w:r w:rsidR="006019A9">
        <w:rPr>
          <w:rFonts w:ascii="Times New Roman" w:hAnsi="Times New Roman" w:cs="Times New Roman"/>
          <w:sz w:val="24"/>
          <w:szCs w:val="24"/>
        </w:rPr>
        <w:t>Mériade</w:t>
      </w:r>
      <w:proofErr w:type="spellEnd"/>
      <w:r w:rsidR="006019A9">
        <w:rPr>
          <w:rFonts w:ascii="Times New Roman" w:hAnsi="Times New Roman" w:cs="Times New Roman"/>
          <w:sz w:val="24"/>
          <w:szCs w:val="24"/>
        </w:rPr>
        <w:t xml:space="preserve"> L., Sales J., </w:t>
      </w:r>
      <w:r w:rsidR="00FA0013">
        <w:rPr>
          <w:rFonts w:ascii="Times New Roman" w:hAnsi="Times New Roman" w:cs="Times New Roman"/>
          <w:sz w:val="24"/>
          <w:szCs w:val="24"/>
        </w:rPr>
        <w:t>2020)</w:t>
      </w:r>
      <w:r w:rsidR="00287479">
        <w:rPr>
          <w:rFonts w:ascii="Times New Roman" w:hAnsi="Times New Roman" w:cs="Times New Roman"/>
          <w:sz w:val="24"/>
          <w:szCs w:val="24"/>
        </w:rPr>
        <w:t xml:space="preserve"> </w:t>
      </w:r>
      <w:r w:rsidRPr="00FB0D94">
        <w:rPr>
          <w:rFonts w:ascii="Times New Roman" w:hAnsi="Times New Roman" w:cs="Times New Roman"/>
          <w:sz w:val="24"/>
          <w:szCs w:val="24"/>
        </w:rPr>
        <w:t xml:space="preserve">qui </w:t>
      </w:r>
      <w:r w:rsidR="00960B9A" w:rsidRPr="00FB0D94">
        <w:rPr>
          <w:rFonts w:ascii="Times New Roman" w:hAnsi="Times New Roman" w:cs="Times New Roman"/>
          <w:sz w:val="24"/>
          <w:szCs w:val="24"/>
        </w:rPr>
        <w:t>a façonné, consolidé ou exacerbé</w:t>
      </w:r>
      <w:r w:rsidRPr="00FB0D94">
        <w:rPr>
          <w:rFonts w:ascii="Times New Roman" w:hAnsi="Times New Roman" w:cs="Times New Roman"/>
          <w:sz w:val="24"/>
          <w:szCs w:val="24"/>
        </w:rPr>
        <w:t xml:space="preserve"> certains com</w:t>
      </w:r>
      <w:r w:rsidR="00C5585B" w:rsidRPr="00FB0D94">
        <w:rPr>
          <w:rFonts w:ascii="Times New Roman" w:hAnsi="Times New Roman" w:cs="Times New Roman"/>
          <w:sz w:val="24"/>
          <w:szCs w:val="24"/>
        </w:rPr>
        <w:t>portements</w:t>
      </w:r>
      <w:r w:rsidRPr="00FB0D94">
        <w:rPr>
          <w:rFonts w:ascii="Times New Roman" w:hAnsi="Times New Roman" w:cs="Times New Roman"/>
          <w:sz w:val="24"/>
          <w:szCs w:val="24"/>
        </w:rPr>
        <w:t xml:space="preserve">. </w:t>
      </w:r>
      <w:r w:rsidR="009A2E1E" w:rsidRPr="009A2E1E">
        <w:rPr>
          <w:rFonts w:ascii="Times New Roman" w:hAnsi="Times New Roman" w:cs="Times New Roman"/>
          <w:sz w:val="24"/>
          <w:szCs w:val="24"/>
        </w:rPr>
        <w:t xml:space="preserve">Dans cette optique, la dissonance cognitive engendrée par des connaissances, des opinions et des croyances contradictoires semble avoir été atténuée en prenant appui sur ce qui était réalisé par les autres participants. Les actions des autres membres ont ainsi eu pour effet de stabiliser des modes initialement disparates de penser (voir, à ce sujet, </w:t>
      </w:r>
      <w:proofErr w:type="spellStart"/>
      <w:r w:rsidR="009A2E1E" w:rsidRPr="009A2E1E">
        <w:rPr>
          <w:rFonts w:ascii="Times New Roman" w:hAnsi="Times New Roman" w:cs="Times New Roman"/>
          <w:sz w:val="24"/>
          <w:szCs w:val="24"/>
        </w:rPr>
        <w:t>Bornarel</w:t>
      </w:r>
      <w:proofErr w:type="spellEnd"/>
      <w:r w:rsidR="009A2E1E" w:rsidRPr="009A2E1E">
        <w:rPr>
          <w:rFonts w:ascii="Times New Roman" w:hAnsi="Times New Roman" w:cs="Times New Roman"/>
          <w:sz w:val="24"/>
          <w:szCs w:val="24"/>
        </w:rPr>
        <w:t xml:space="preserve"> F., 2017). Ce résultat nous semble d’autant plus pertinent que les participants présentaient des niveaux variables de </w:t>
      </w:r>
      <w:r w:rsidR="00802C91">
        <w:rPr>
          <w:rFonts w:ascii="Times New Roman" w:hAnsi="Times New Roman" w:cs="Times New Roman"/>
          <w:sz w:val="24"/>
          <w:szCs w:val="24"/>
        </w:rPr>
        <w:t>propension au risque</w:t>
      </w:r>
      <w:r w:rsidR="009A2E1E" w:rsidRPr="009A2E1E">
        <w:rPr>
          <w:rFonts w:ascii="Times New Roman" w:hAnsi="Times New Roman" w:cs="Times New Roman"/>
          <w:sz w:val="24"/>
          <w:szCs w:val="24"/>
        </w:rPr>
        <w:t>.</w:t>
      </w:r>
    </w:p>
    <w:p w14:paraId="086EE009" w14:textId="23B5F365" w:rsidR="00F712EB" w:rsidRPr="0053107F" w:rsidRDefault="00226A2D" w:rsidP="00D6543A">
      <w:pPr>
        <w:spacing w:line="360" w:lineRule="auto"/>
        <w:ind w:left="709"/>
        <w:jc w:val="both"/>
        <w:rPr>
          <w:rFonts w:ascii="Times New Roman" w:hAnsi="Times New Roman" w:cs="Times New Roman"/>
          <w:color w:val="FF0000"/>
          <w:sz w:val="24"/>
          <w:szCs w:val="24"/>
        </w:rPr>
      </w:pPr>
      <w:r w:rsidRPr="00FB0D94">
        <w:rPr>
          <w:rFonts w:ascii="Times New Roman" w:hAnsi="Times New Roman" w:cs="Times New Roman"/>
          <w:sz w:val="24"/>
          <w:szCs w:val="24"/>
        </w:rPr>
        <w:t xml:space="preserve">Dans tous les cas de figure, les effets groupaux </w:t>
      </w:r>
      <w:r w:rsidR="00825E35">
        <w:rPr>
          <w:rFonts w:ascii="Times New Roman" w:hAnsi="Times New Roman" w:cs="Times New Roman"/>
          <w:sz w:val="24"/>
          <w:szCs w:val="24"/>
        </w:rPr>
        <w:t xml:space="preserve">engendrés par </w:t>
      </w:r>
      <w:r w:rsidR="00FF3D70">
        <w:rPr>
          <w:rFonts w:ascii="Times New Roman" w:hAnsi="Times New Roman" w:cs="Times New Roman"/>
          <w:sz w:val="24"/>
          <w:szCs w:val="24"/>
        </w:rPr>
        <w:t>l</w:t>
      </w:r>
      <w:r w:rsidR="00825E35">
        <w:rPr>
          <w:rFonts w:ascii="Times New Roman" w:hAnsi="Times New Roman" w:cs="Times New Roman"/>
          <w:sz w:val="24"/>
          <w:szCs w:val="24"/>
        </w:rPr>
        <w:t xml:space="preserve">es interactions sociales </w:t>
      </w:r>
      <w:r w:rsidRPr="00FB0D94">
        <w:rPr>
          <w:rFonts w:ascii="Times New Roman" w:hAnsi="Times New Roman" w:cs="Times New Roman"/>
          <w:sz w:val="24"/>
          <w:szCs w:val="24"/>
        </w:rPr>
        <w:t>constituent des éléments qui interrogent su</w:t>
      </w:r>
      <w:r w:rsidR="002339A7" w:rsidRPr="00FB0D94">
        <w:rPr>
          <w:rFonts w:ascii="Times New Roman" w:hAnsi="Times New Roman" w:cs="Times New Roman"/>
          <w:sz w:val="24"/>
          <w:szCs w:val="24"/>
        </w:rPr>
        <w:t>r le cadre évolutif du choix des techniques retenues</w:t>
      </w:r>
      <w:r w:rsidRPr="00FB0D94">
        <w:rPr>
          <w:rFonts w:ascii="Times New Roman" w:hAnsi="Times New Roman" w:cs="Times New Roman"/>
          <w:sz w:val="24"/>
          <w:szCs w:val="24"/>
        </w:rPr>
        <w:t xml:space="preserve"> duran</w:t>
      </w:r>
      <w:r w:rsidR="002339A7" w:rsidRPr="00FB0D94">
        <w:rPr>
          <w:rFonts w:ascii="Times New Roman" w:hAnsi="Times New Roman" w:cs="Times New Roman"/>
          <w:sz w:val="24"/>
          <w:szCs w:val="24"/>
        </w:rPr>
        <w:t>t l’expérience avec des modifications</w:t>
      </w:r>
      <w:r w:rsidRPr="00FB0D94">
        <w:rPr>
          <w:rFonts w:ascii="Times New Roman" w:hAnsi="Times New Roman" w:cs="Times New Roman"/>
          <w:sz w:val="24"/>
          <w:szCs w:val="24"/>
        </w:rPr>
        <w:t xml:space="preserve"> qui auraient pu être plus marqué</w:t>
      </w:r>
      <w:r w:rsidR="002339A7" w:rsidRPr="00FB0D94">
        <w:rPr>
          <w:rFonts w:ascii="Times New Roman" w:hAnsi="Times New Roman" w:cs="Times New Roman"/>
          <w:sz w:val="24"/>
          <w:szCs w:val="24"/>
        </w:rPr>
        <w:t>es si les marchés s’étaient orientés vers</w:t>
      </w:r>
      <w:r w:rsidRPr="00FB0D94">
        <w:rPr>
          <w:rFonts w:ascii="Times New Roman" w:hAnsi="Times New Roman" w:cs="Times New Roman"/>
          <w:sz w:val="24"/>
          <w:szCs w:val="24"/>
        </w:rPr>
        <w:t xml:space="preserve"> des configurations moins favorables.</w:t>
      </w:r>
      <w:r w:rsidR="00825E35">
        <w:rPr>
          <w:rFonts w:ascii="Times New Roman" w:hAnsi="Times New Roman" w:cs="Times New Roman"/>
          <w:sz w:val="24"/>
          <w:szCs w:val="24"/>
        </w:rPr>
        <w:t xml:space="preserve"> </w:t>
      </w:r>
    </w:p>
    <w:p w14:paraId="126976AD" w14:textId="542B936D" w:rsidR="000561F6" w:rsidRPr="00232537" w:rsidRDefault="000561F6" w:rsidP="00D6543A">
      <w:pPr>
        <w:spacing w:line="360" w:lineRule="auto"/>
        <w:ind w:left="709"/>
        <w:jc w:val="both"/>
        <w:rPr>
          <w:rFonts w:ascii="Times New Roman" w:hAnsi="Times New Roman" w:cs="Times New Roman"/>
          <w:sz w:val="24"/>
          <w:szCs w:val="24"/>
        </w:rPr>
      </w:pPr>
      <w:r w:rsidRPr="00232537">
        <w:rPr>
          <w:rFonts w:ascii="Times New Roman" w:hAnsi="Times New Roman" w:cs="Times New Roman"/>
          <w:sz w:val="24"/>
          <w:szCs w:val="24"/>
        </w:rPr>
        <w:lastRenderedPageBreak/>
        <w:t xml:space="preserve">Enfin, </w:t>
      </w:r>
      <w:r w:rsidR="00CF5282" w:rsidRPr="00232537">
        <w:rPr>
          <w:rFonts w:ascii="Times New Roman" w:hAnsi="Times New Roman" w:cs="Times New Roman"/>
          <w:sz w:val="24"/>
          <w:szCs w:val="24"/>
        </w:rPr>
        <w:t xml:space="preserve">et </w:t>
      </w:r>
      <w:r w:rsidRPr="00232537">
        <w:rPr>
          <w:rFonts w:ascii="Times New Roman" w:hAnsi="Times New Roman" w:cs="Times New Roman"/>
          <w:sz w:val="24"/>
          <w:szCs w:val="24"/>
        </w:rPr>
        <w:t xml:space="preserve">pour répondre à notre question de recherche relative aux outils </w:t>
      </w:r>
      <w:r w:rsidR="00232537">
        <w:rPr>
          <w:rFonts w:ascii="Times New Roman" w:hAnsi="Times New Roman" w:cs="Times New Roman"/>
          <w:sz w:val="24"/>
          <w:szCs w:val="24"/>
        </w:rPr>
        <w:t>mobilisés</w:t>
      </w:r>
      <w:r w:rsidRPr="00232537">
        <w:rPr>
          <w:rFonts w:ascii="Times New Roman" w:hAnsi="Times New Roman" w:cs="Times New Roman"/>
          <w:sz w:val="24"/>
          <w:szCs w:val="24"/>
        </w:rPr>
        <w:t xml:space="preserve"> dans le processus décisionnel, nos résultats tendent à démontrer </w:t>
      </w:r>
      <w:r w:rsidR="006F585F" w:rsidRPr="00232537">
        <w:rPr>
          <w:rFonts w:ascii="Times New Roman" w:hAnsi="Times New Roman" w:cs="Times New Roman"/>
          <w:sz w:val="24"/>
          <w:szCs w:val="24"/>
        </w:rPr>
        <w:t xml:space="preserve">que les participants ont retenu </w:t>
      </w:r>
      <w:r w:rsidR="00886B00" w:rsidRPr="00232537">
        <w:rPr>
          <w:rFonts w:ascii="Times New Roman" w:hAnsi="Times New Roman" w:cs="Times New Roman"/>
          <w:sz w:val="24"/>
          <w:szCs w:val="24"/>
        </w:rPr>
        <w:t>la théorie des conventions</w:t>
      </w:r>
      <w:r w:rsidR="0078370C" w:rsidRPr="00232537">
        <w:rPr>
          <w:rFonts w:ascii="Times New Roman" w:hAnsi="Times New Roman" w:cs="Times New Roman"/>
          <w:sz w:val="24"/>
          <w:szCs w:val="24"/>
        </w:rPr>
        <w:t xml:space="preserve"> </w:t>
      </w:r>
      <w:r w:rsidR="0045101F" w:rsidRPr="00232537">
        <w:rPr>
          <w:rFonts w:ascii="Times New Roman" w:hAnsi="Times New Roman" w:cs="Times New Roman"/>
          <w:sz w:val="24"/>
          <w:szCs w:val="24"/>
        </w:rPr>
        <w:t>(peut-être sans le savoir</w:t>
      </w:r>
      <w:r w:rsidR="005462FB" w:rsidRPr="00232537">
        <w:rPr>
          <w:rFonts w:ascii="Times New Roman" w:hAnsi="Times New Roman" w:cs="Times New Roman"/>
          <w:sz w:val="24"/>
          <w:szCs w:val="24"/>
        </w:rPr>
        <w:t>,</w:t>
      </w:r>
      <w:r w:rsidR="0045101F" w:rsidRPr="00232537">
        <w:rPr>
          <w:rFonts w:ascii="Times New Roman" w:hAnsi="Times New Roman" w:cs="Times New Roman"/>
          <w:sz w:val="24"/>
          <w:szCs w:val="24"/>
        </w:rPr>
        <w:t xml:space="preserve"> parce que peu enseignée) </w:t>
      </w:r>
      <w:r w:rsidR="0078370C" w:rsidRPr="00232537">
        <w:rPr>
          <w:rFonts w:ascii="Times New Roman" w:hAnsi="Times New Roman" w:cs="Times New Roman"/>
          <w:sz w:val="24"/>
          <w:szCs w:val="24"/>
        </w:rPr>
        <w:t>qui représentait pour eux une variante de l’analyse technique et ont largement délaissé l’analyse fondamentale.</w:t>
      </w:r>
      <w:r w:rsidR="00E63CB5" w:rsidRPr="00232537">
        <w:rPr>
          <w:rFonts w:ascii="Times New Roman" w:hAnsi="Times New Roman" w:cs="Times New Roman"/>
          <w:sz w:val="24"/>
          <w:szCs w:val="24"/>
        </w:rPr>
        <w:t xml:space="preserve"> </w:t>
      </w:r>
      <w:r w:rsidR="0075639D">
        <w:rPr>
          <w:rFonts w:ascii="Times New Roman" w:hAnsi="Times New Roman" w:cs="Times New Roman"/>
          <w:sz w:val="24"/>
          <w:szCs w:val="24"/>
        </w:rPr>
        <w:t>Dans leur esprit, l</w:t>
      </w:r>
      <w:r w:rsidR="00E63CB5" w:rsidRPr="00232537">
        <w:rPr>
          <w:rFonts w:ascii="Times New Roman" w:hAnsi="Times New Roman" w:cs="Times New Roman"/>
          <w:sz w:val="24"/>
          <w:szCs w:val="24"/>
        </w:rPr>
        <w:t xml:space="preserve">es conventions retenues constituaient des </w:t>
      </w:r>
      <w:r w:rsidR="007F643A">
        <w:rPr>
          <w:rFonts w:ascii="Times New Roman" w:hAnsi="Times New Roman" w:cs="Times New Roman"/>
          <w:sz w:val="24"/>
          <w:szCs w:val="24"/>
        </w:rPr>
        <w:t xml:space="preserve">balises </w:t>
      </w:r>
      <w:r w:rsidR="00A37915" w:rsidRPr="00232537">
        <w:rPr>
          <w:rFonts w:ascii="Times New Roman" w:hAnsi="Times New Roman" w:cs="Times New Roman"/>
          <w:sz w:val="24"/>
          <w:szCs w:val="24"/>
        </w:rPr>
        <w:t>développé</w:t>
      </w:r>
      <w:r w:rsidR="007F643A">
        <w:rPr>
          <w:rFonts w:ascii="Times New Roman" w:hAnsi="Times New Roman" w:cs="Times New Roman"/>
          <w:sz w:val="24"/>
          <w:szCs w:val="24"/>
        </w:rPr>
        <w:t>e</w:t>
      </w:r>
      <w:r w:rsidR="00A37915" w:rsidRPr="00232537">
        <w:rPr>
          <w:rFonts w:ascii="Times New Roman" w:hAnsi="Times New Roman" w:cs="Times New Roman"/>
          <w:sz w:val="24"/>
          <w:szCs w:val="24"/>
        </w:rPr>
        <w:t xml:space="preserve">s en fonction de la configuration générale des marchés durant la semaine </w:t>
      </w:r>
      <w:r w:rsidR="0045101F" w:rsidRPr="00232537">
        <w:rPr>
          <w:rFonts w:ascii="Times New Roman" w:hAnsi="Times New Roman" w:cs="Times New Roman"/>
          <w:sz w:val="24"/>
          <w:szCs w:val="24"/>
        </w:rPr>
        <w:t>d’expérimentation.</w:t>
      </w:r>
      <w:r w:rsidR="00521129">
        <w:rPr>
          <w:rFonts w:ascii="Times New Roman" w:hAnsi="Times New Roman" w:cs="Times New Roman"/>
          <w:sz w:val="24"/>
          <w:szCs w:val="24"/>
        </w:rPr>
        <w:t xml:space="preserve"> Cette conclusion donne </w:t>
      </w:r>
      <w:r w:rsidR="00966DB1">
        <w:rPr>
          <w:rFonts w:ascii="Times New Roman" w:hAnsi="Times New Roman" w:cs="Times New Roman"/>
          <w:sz w:val="24"/>
          <w:szCs w:val="24"/>
        </w:rPr>
        <w:t xml:space="preserve">manifestement </w:t>
      </w:r>
      <w:r w:rsidR="00521129">
        <w:rPr>
          <w:rFonts w:ascii="Times New Roman" w:hAnsi="Times New Roman" w:cs="Times New Roman"/>
          <w:sz w:val="24"/>
          <w:szCs w:val="24"/>
        </w:rPr>
        <w:t>du poids aux partisans de l’approche comportementale</w:t>
      </w:r>
      <w:r w:rsidR="00966DB1">
        <w:rPr>
          <w:rFonts w:ascii="Times New Roman" w:hAnsi="Times New Roman" w:cs="Times New Roman"/>
          <w:sz w:val="24"/>
          <w:szCs w:val="24"/>
        </w:rPr>
        <w:t>.</w:t>
      </w:r>
    </w:p>
    <w:p w14:paraId="068D83D2" w14:textId="77777777" w:rsidR="00003801" w:rsidRPr="00EA4DA4" w:rsidRDefault="00003801" w:rsidP="00003801">
      <w:pPr>
        <w:pStyle w:val="Paragraphedeliste"/>
        <w:numPr>
          <w:ilvl w:val="0"/>
          <w:numId w:val="1"/>
        </w:numPr>
        <w:spacing w:line="240" w:lineRule="auto"/>
        <w:jc w:val="both"/>
        <w:rPr>
          <w:rFonts w:ascii="Times New Roman" w:hAnsi="Times New Roman" w:cs="Times New Roman"/>
          <w:b/>
          <w:sz w:val="28"/>
          <w:szCs w:val="28"/>
          <w:u w:val="single"/>
        </w:rPr>
      </w:pPr>
      <w:r w:rsidRPr="00EA4DA4">
        <w:rPr>
          <w:rFonts w:ascii="Times New Roman" w:hAnsi="Times New Roman" w:cs="Times New Roman"/>
          <w:b/>
          <w:sz w:val="28"/>
          <w:szCs w:val="28"/>
          <w:u w:val="single"/>
        </w:rPr>
        <w:t>Conclusions, limites et pistes de recherche complémentaire</w:t>
      </w:r>
    </w:p>
    <w:p w14:paraId="7E06BD97" w14:textId="77777777" w:rsidR="00FD7789" w:rsidRDefault="00FD7789" w:rsidP="00FD7789">
      <w:pPr>
        <w:pStyle w:val="Paragraphedeliste"/>
        <w:spacing w:line="240" w:lineRule="auto"/>
        <w:jc w:val="both"/>
        <w:rPr>
          <w:sz w:val="26"/>
          <w:szCs w:val="26"/>
        </w:rPr>
      </w:pPr>
    </w:p>
    <w:p w14:paraId="4418604C" w14:textId="0BCDFE06" w:rsidR="004B146D" w:rsidRDefault="005D71D2" w:rsidP="002F7EF6">
      <w:pPr>
        <w:pStyle w:val="Paragraphedeliste"/>
        <w:spacing w:line="360" w:lineRule="auto"/>
        <w:jc w:val="both"/>
        <w:rPr>
          <w:rFonts w:ascii="Times New Roman" w:hAnsi="Times New Roman" w:cs="Times New Roman"/>
          <w:sz w:val="24"/>
          <w:szCs w:val="24"/>
        </w:rPr>
      </w:pPr>
      <w:r w:rsidRPr="00FB0D94">
        <w:rPr>
          <w:rFonts w:ascii="Times New Roman" w:hAnsi="Times New Roman" w:cs="Times New Roman"/>
          <w:sz w:val="24"/>
          <w:szCs w:val="24"/>
        </w:rPr>
        <w:t xml:space="preserve">L’objectif de cet article </w:t>
      </w:r>
      <w:r w:rsidR="00053381">
        <w:rPr>
          <w:rFonts w:ascii="Times New Roman" w:hAnsi="Times New Roman" w:cs="Times New Roman"/>
          <w:sz w:val="24"/>
          <w:szCs w:val="24"/>
        </w:rPr>
        <w:t xml:space="preserve">a </w:t>
      </w:r>
      <w:r w:rsidRPr="00FB0D94">
        <w:rPr>
          <w:rFonts w:ascii="Times New Roman" w:hAnsi="Times New Roman" w:cs="Times New Roman"/>
          <w:sz w:val="24"/>
          <w:szCs w:val="24"/>
        </w:rPr>
        <w:t>résid</w:t>
      </w:r>
      <w:r w:rsidR="00053381">
        <w:rPr>
          <w:rFonts w:ascii="Times New Roman" w:hAnsi="Times New Roman" w:cs="Times New Roman"/>
          <w:sz w:val="24"/>
          <w:szCs w:val="24"/>
        </w:rPr>
        <w:t>é</w:t>
      </w:r>
      <w:r w:rsidRPr="00FB0D94">
        <w:rPr>
          <w:rFonts w:ascii="Times New Roman" w:hAnsi="Times New Roman" w:cs="Times New Roman"/>
          <w:sz w:val="24"/>
          <w:szCs w:val="24"/>
        </w:rPr>
        <w:t xml:space="preserve"> dans un essai de compréhension du choix des techniques de prises de décisions sur les marchés boursiers. En travaillant au départ d’une cohorte de quinze étudiants </w:t>
      </w:r>
      <w:r w:rsidR="00763FAD" w:rsidRPr="00FB0D94">
        <w:rPr>
          <w:rFonts w:ascii="Times New Roman" w:hAnsi="Times New Roman" w:cs="Times New Roman"/>
          <w:sz w:val="24"/>
          <w:szCs w:val="24"/>
        </w:rPr>
        <w:t>d’une</w:t>
      </w:r>
      <w:r w:rsidR="000574A7" w:rsidRPr="00FB0D94">
        <w:rPr>
          <w:rFonts w:ascii="Times New Roman" w:hAnsi="Times New Roman" w:cs="Times New Roman"/>
          <w:sz w:val="24"/>
          <w:szCs w:val="24"/>
        </w:rPr>
        <w:t xml:space="preserve"> filière universitaire de formation en gestion et en </w:t>
      </w:r>
      <w:r w:rsidRPr="00FB0D94">
        <w:rPr>
          <w:rFonts w:ascii="Times New Roman" w:hAnsi="Times New Roman" w:cs="Times New Roman"/>
          <w:sz w:val="24"/>
          <w:szCs w:val="24"/>
        </w:rPr>
        <w:t xml:space="preserve">réalisant des activités de trading en continu durant une semaine boursière, </w:t>
      </w:r>
      <w:r w:rsidR="00EC4132" w:rsidRPr="00FB0D94">
        <w:rPr>
          <w:rFonts w:ascii="Times New Roman" w:hAnsi="Times New Roman" w:cs="Times New Roman"/>
          <w:sz w:val="24"/>
          <w:szCs w:val="24"/>
        </w:rPr>
        <w:t xml:space="preserve">nous répondons à notre question </w:t>
      </w:r>
      <w:r w:rsidR="0047384D" w:rsidRPr="00FB0D94">
        <w:rPr>
          <w:rFonts w:ascii="Times New Roman" w:hAnsi="Times New Roman" w:cs="Times New Roman"/>
          <w:sz w:val="24"/>
          <w:szCs w:val="24"/>
        </w:rPr>
        <w:t xml:space="preserve">initiale </w:t>
      </w:r>
      <w:r w:rsidR="00EC4132" w:rsidRPr="00FB0D94">
        <w:rPr>
          <w:rFonts w:ascii="Times New Roman" w:hAnsi="Times New Roman" w:cs="Times New Roman"/>
          <w:sz w:val="24"/>
          <w:szCs w:val="24"/>
        </w:rPr>
        <w:t>de recherche de la manière suivante</w:t>
      </w:r>
      <w:r w:rsidR="00D44A34" w:rsidRPr="00FB0D94">
        <w:rPr>
          <w:rFonts w:ascii="Times New Roman" w:hAnsi="Times New Roman" w:cs="Times New Roman"/>
          <w:sz w:val="24"/>
          <w:szCs w:val="24"/>
        </w:rPr>
        <w:t xml:space="preserve">. </w:t>
      </w:r>
      <w:r w:rsidR="00D81E97" w:rsidRPr="00FB0D94">
        <w:rPr>
          <w:rFonts w:ascii="Times New Roman" w:hAnsi="Times New Roman" w:cs="Times New Roman"/>
          <w:sz w:val="24"/>
          <w:szCs w:val="24"/>
        </w:rPr>
        <w:t xml:space="preserve">En fonction </w:t>
      </w:r>
      <w:r w:rsidR="000461E3" w:rsidRPr="00FB0D94">
        <w:rPr>
          <w:rFonts w:ascii="Times New Roman" w:hAnsi="Times New Roman" w:cs="Times New Roman"/>
          <w:sz w:val="24"/>
          <w:szCs w:val="24"/>
        </w:rPr>
        <w:t xml:space="preserve">de l’expérience conduite, </w:t>
      </w:r>
      <w:r w:rsidR="00EA65DB" w:rsidRPr="00FB0D94">
        <w:rPr>
          <w:rFonts w:ascii="Times New Roman" w:hAnsi="Times New Roman" w:cs="Times New Roman"/>
          <w:sz w:val="24"/>
          <w:szCs w:val="24"/>
        </w:rPr>
        <w:t xml:space="preserve">les instruments d’analyse </w:t>
      </w:r>
      <w:r w:rsidR="00F514E5" w:rsidRPr="00FB0D94">
        <w:rPr>
          <w:rFonts w:ascii="Times New Roman" w:hAnsi="Times New Roman" w:cs="Times New Roman"/>
          <w:sz w:val="24"/>
          <w:szCs w:val="24"/>
        </w:rPr>
        <w:t xml:space="preserve">retenus </w:t>
      </w:r>
      <w:r w:rsidR="00EA65DB" w:rsidRPr="00FB0D94">
        <w:rPr>
          <w:rFonts w:ascii="Times New Roman" w:hAnsi="Times New Roman" w:cs="Times New Roman"/>
          <w:sz w:val="24"/>
          <w:szCs w:val="24"/>
        </w:rPr>
        <w:t>dans l</w:t>
      </w:r>
      <w:r w:rsidR="00D81E97" w:rsidRPr="00FB0D94">
        <w:rPr>
          <w:rFonts w:ascii="Times New Roman" w:hAnsi="Times New Roman" w:cs="Times New Roman"/>
          <w:sz w:val="24"/>
          <w:szCs w:val="24"/>
        </w:rPr>
        <w:t>e</w:t>
      </w:r>
      <w:r w:rsidR="00EA65DB" w:rsidRPr="00FB0D94">
        <w:rPr>
          <w:rFonts w:ascii="Times New Roman" w:hAnsi="Times New Roman" w:cs="Times New Roman"/>
          <w:sz w:val="24"/>
          <w:szCs w:val="24"/>
        </w:rPr>
        <w:t xml:space="preserve"> cadre des activités de trading</w:t>
      </w:r>
      <w:r w:rsidR="00F514E5" w:rsidRPr="00FB0D94">
        <w:rPr>
          <w:rFonts w:ascii="Times New Roman" w:hAnsi="Times New Roman" w:cs="Times New Roman"/>
          <w:sz w:val="24"/>
          <w:szCs w:val="24"/>
        </w:rPr>
        <w:t xml:space="preserve"> possédaient des niveaux de complexité très faibles</w:t>
      </w:r>
      <w:r w:rsidR="00AA586B" w:rsidRPr="00FB0D94">
        <w:rPr>
          <w:rFonts w:ascii="Times New Roman" w:hAnsi="Times New Roman" w:cs="Times New Roman"/>
          <w:sz w:val="24"/>
          <w:szCs w:val="24"/>
        </w:rPr>
        <w:t xml:space="preserve"> et ce</w:t>
      </w:r>
      <w:r w:rsidR="009D59AF">
        <w:rPr>
          <w:rFonts w:ascii="Times New Roman" w:hAnsi="Times New Roman" w:cs="Times New Roman"/>
          <w:sz w:val="24"/>
          <w:szCs w:val="24"/>
        </w:rPr>
        <w:t xml:space="preserve"> constat</w:t>
      </w:r>
      <w:r w:rsidR="00AA586B" w:rsidRPr="00FB0D94">
        <w:rPr>
          <w:rFonts w:ascii="Times New Roman" w:hAnsi="Times New Roman" w:cs="Times New Roman"/>
          <w:sz w:val="24"/>
          <w:szCs w:val="24"/>
        </w:rPr>
        <w:t xml:space="preserve"> s</w:t>
      </w:r>
      <w:r w:rsidR="00DE0710" w:rsidRPr="00FB0D94">
        <w:rPr>
          <w:rFonts w:ascii="Times New Roman" w:hAnsi="Times New Roman" w:cs="Times New Roman"/>
          <w:sz w:val="24"/>
          <w:szCs w:val="24"/>
        </w:rPr>
        <w:t>emble s’être</w:t>
      </w:r>
      <w:r w:rsidR="00AA586B" w:rsidRPr="00FB0D94">
        <w:rPr>
          <w:rFonts w:ascii="Times New Roman" w:hAnsi="Times New Roman" w:cs="Times New Roman"/>
          <w:sz w:val="24"/>
          <w:szCs w:val="24"/>
        </w:rPr>
        <w:t xml:space="preserve"> accru au fur et à mesure du temps.</w:t>
      </w:r>
      <w:r w:rsidR="000B5DC4" w:rsidRPr="00FB0D94">
        <w:rPr>
          <w:rFonts w:ascii="Times New Roman" w:hAnsi="Times New Roman" w:cs="Times New Roman"/>
          <w:sz w:val="24"/>
          <w:szCs w:val="24"/>
        </w:rPr>
        <w:t xml:space="preserve"> </w:t>
      </w:r>
      <w:r w:rsidR="00AA586B" w:rsidRPr="00FB0D94">
        <w:rPr>
          <w:rFonts w:ascii="Times New Roman" w:hAnsi="Times New Roman" w:cs="Times New Roman"/>
          <w:sz w:val="24"/>
          <w:szCs w:val="24"/>
        </w:rPr>
        <w:t xml:space="preserve">De plus, </w:t>
      </w:r>
      <w:r w:rsidR="00DE0710" w:rsidRPr="00FB0D94">
        <w:rPr>
          <w:rFonts w:ascii="Times New Roman" w:hAnsi="Times New Roman" w:cs="Times New Roman"/>
          <w:sz w:val="24"/>
          <w:szCs w:val="24"/>
        </w:rPr>
        <w:t xml:space="preserve">les étudiants ne </w:t>
      </w:r>
      <w:r w:rsidR="00BE5298" w:rsidRPr="00FB0D94">
        <w:rPr>
          <w:rFonts w:ascii="Times New Roman" w:hAnsi="Times New Roman" w:cs="Times New Roman"/>
          <w:sz w:val="24"/>
          <w:szCs w:val="24"/>
        </w:rPr>
        <w:t>s’appuyaient que très rarement</w:t>
      </w:r>
      <w:r w:rsidR="009F7668" w:rsidRPr="00FB0D94">
        <w:rPr>
          <w:rFonts w:ascii="Times New Roman" w:hAnsi="Times New Roman" w:cs="Times New Roman"/>
          <w:sz w:val="24"/>
          <w:szCs w:val="24"/>
        </w:rPr>
        <w:t xml:space="preserve"> </w:t>
      </w:r>
      <w:r w:rsidR="00474F73">
        <w:rPr>
          <w:rFonts w:ascii="Times New Roman" w:hAnsi="Times New Roman" w:cs="Times New Roman"/>
          <w:sz w:val="24"/>
          <w:szCs w:val="24"/>
        </w:rPr>
        <w:t>(</w:t>
      </w:r>
      <w:r w:rsidR="00F85308" w:rsidRPr="00FB0D94">
        <w:rPr>
          <w:rFonts w:ascii="Times New Roman" w:hAnsi="Times New Roman" w:cs="Times New Roman"/>
          <w:sz w:val="24"/>
          <w:szCs w:val="24"/>
        </w:rPr>
        <w:t>ou alors de manière très momentanée</w:t>
      </w:r>
      <w:r w:rsidR="00474F73">
        <w:rPr>
          <w:rFonts w:ascii="Times New Roman" w:hAnsi="Times New Roman" w:cs="Times New Roman"/>
          <w:sz w:val="24"/>
          <w:szCs w:val="24"/>
        </w:rPr>
        <w:t>)</w:t>
      </w:r>
      <w:r w:rsidR="00F85308" w:rsidRPr="00FB0D94">
        <w:rPr>
          <w:rFonts w:ascii="Times New Roman" w:hAnsi="Times New Roman" w:cs="Times New Roman"/>
          <w:sz w:val="24"/>
          <w:szCs w:val="24"/>
        </w:rPr>
        <w:t xml:space="preserve"> </w:t>
      </w:r>
      <w:r w:rsidR="009F7668" w:rsidRPr="00FB0D94">
        <w:rPr>
          <w:rFonts w:ascii="Times New Roman" w:hAnsi="Times New Roman" w:cs="Times New Roman"/>
          <w:sz w:val="24"/>
          <w:szCs w:val="24"/>
        </w:rPr>
        <w:t>sur</w:t>
      </w:r>
      <w:r w:rsidR="00E61E9A" w:rsidRPr="00FB0D94">
        <w:rPr>
          <w:rFonts w:ascii="Times New Roman" w:hAnsi="Times New Roman" w:cs="Times New Roman"/>
          <w:sz w:val="24"/>
          <w:szCs w:val="24"/>
        </w:rPr>
        <w:t xml:space="preserve"> </w:t>
      </w:r>
      <w:r w:rsidR="00860BD3" w:rsidRPr="00FB0D94">
        <w:rPr>
          <w:rFonts w:ascii="Times New Roman" w:hAnsi="Times New Roman" w:cs="Times New Roman"/>
          <w:sz w:val="24"/>
          <w:szCs w:val="24"/>
        </w:rPr>
        <w:t xml:space="preserve">les outils financiers </w:t>
      </w:r>
      <w:r w:rsidR="000976B8" w:rsidRPr="00FB0D94">
        <w:rPr>
          <w:rFonts w:ascii="Times New Roman" w:hAnsi="Times New Roman" w:cs="Times New Roman"/>
          <w:sz w:val="24"/>
          <w:szCs w:val="24"/>
        </w:rPr>
        <w:t xml:space="preserve">classiquement </w:t>
      </w:r>
      <w:r w:rsidR="00860BD3" w:rsidRPr="00FB0D94">
        <w:rPr>
          <w:rFonts w:ascii="Times New Roman" w:hAnsi="Times New Roman" w:cs="Times New Roman"/>
          <w:sz w:val="24"/>
          <w:szCs w:val="24"/>
        </w:rPr>
        <w:t>enseignés dans le</w:t>
      </w:r>
      <w:r w:rsidR="00C5014B">
        <w:rPr>
          <w:rFonts w:ascii="Times New Roman" w:hAnsi="Times New Roman" w:cs="Times New Roman"/>
          <w:sz w:val="24"/>
          <w:szCs w:val="24"/>
        </w:rPr>
        <w:t>ur</w:t>
      </w:r>
      <w:r w:rsidR="00860BD3" w:rsidRPr="00FB0D94">
        <w:rPr>
          <w:rFonts w:ascii="Times New Roman" w:hAnsi="Times New Roman" w:cs="Times New Roman"/>
          <w:sz w:val="24"/>
          <w:szCs w:val="24"/>
        </w:rPr>
        <w:t xml:space="preserve"> cursus universitaire.</w:t>
      </w:r>
      <w:r w:rsidR="004E45D7" w:rsidRPr="00FB0D94">
        <w:rPr>
          <w:rFonts w:ascii="Times New Roman" w:hAnsi="Times New Roman" w:cs="Times New Roman"/>
          <w:sz w:val="24"/>
          <w:szCs w:val="24"/>
        </w:rPr>
        <w:t xml:space="preserve"> </w:t>
      </w:r>
      <w:r w:rsidR="00326AFF">
        <w:rPr>
          <w:rFonts w:ascii="Times New Roman" w:hAnsi="Times New Roman" w:cs="Times New Roman"/>
          <w:sz w:val="24"/>
          <w:szCs w:val="24"/>
        </w:rPr>
        <w:t>Seul</w:t>
      </w:r>
      <w:r w:rsidR="004E45D7" w:rsidRPr="00FB0D94">
        <w:rPr>
          <w:rFonts w:ascii="Times New Roman" w:hAnsi="Times New Roman" w:cs="Times New Roman"/>
          <w:sz w:val="24"/>
          <w:szCs w:val="24"/>
        </w:rPr>
        <w:t xml:space="preserve"> le recours à la théorie des conventions semble avoir été largement plébiscité.</w:t>
      </w:r>
      <w:r w:rsidR="00C628D4" w:rsidRPr="00FB0D94">
        <w:rPr>
          <w:rFonts w:ascii="Times New Roman" w:hAnsi="Times New Roman" w:cs="Times New Roman"/>
          <w:sz w:val="24"/>
          <w:szCs w:val="24"/>
        </w:rPr>
        <w:t xml:space="preserve"> </w:t>
      </w:r>
      <w:r w:rsidR="00EA65DB" w:rsidRPr="00FB0D94">
        <w:rPr>
          <w:rFonts w:ascii="Times New Roman" w:hAnsi="Times New Roman" w:cs="Times New Roman"/>
          <w:sz w:val="24"/>
          <w:szCs w:val="24"/>
        </w:rPr>
        <w:t xml:space="preserve"> </w:t>
      </w:r>
      <w:r w:rsidR="002F7EF6">
        <w:rPr>
          <w:rFonts w:ascii="Times New Roman" w:hAnsi="Times New Roman" w:cs="Times New Roman"/>
          <w:sz w:val="24"/>
          <w:szCs w:val="24"/>
        </w:rPr>
        <w:t xml:space="preserve"> </w:t>
      </w:r>
    </w:p>
    <w:p w14:paraId="23C981C2" w14:textId="0566DF04" w:rsidR="004B146D" w:rsidRDefault="004B146D" w:rsidP="002F7EF6">
      <w:pPr>
        <w:pStyle w:val="Paragraphedeliste"/>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Plusieurs éléments </w:t>
      </w:r>
      <w:r w:rsidR="00402237">
        <w:rPr>
          <w:rFonts w:ascii="Times New Roman" w:hAnsi="Times New Roman" w:cs="Times New Roman"/>
          <w:sz w:val="24"/>
          <w:szCs w:val="24"/>
        </w:rPr>
        <w:t xml:space="preserve">directement </w:t>
      </w:r>
      <w:r>
        <w:rPr>
          <w:rFonts w:ascii="Times New Roman" w:hAnsi="Times New Roman" w:cs="Times New Roman"/>
          <w:sz w:val="24"/>
          <w:szCs w:val="24"/>
        </w:rPr>
        <w:t xml:space="preserve">en lien avec la finance comportementale ont </w:t>
      </w:r>
      <w:r w:rsidR="00E9413D">
        <w:rPr>
          <w:rFonts w:ascii="Times New Roman" w:hAnsi="Times New Roman" w:cs="Times New Roman"/>
          <w:sz w:val="24"/>
          <w:szCs w:val="24"/>
        </w:rPr>
        <w:t xml:space="preserve">également </w:t>
      </w:r>
      <w:r>
        <w:rPr>
          <w:rFonts w:ascii="Times New Roman" w:hAnsi="Times New Roman" w:cs="Times New Roman"/>
          <w:sz w:val="24"/>
          <w:szCs w:val="24"/>
        </w:rPr>
        <w:t xml:space="preserve">émergé : </w:t>
      </w:r>
      <w:r w:rsidR="0083610F">
        <w:rPr>
          <w:rFonts w:ascii="Times New Roman" w:hAnsi="Times New Roman" w:cs="Times New Roman"/>
          <w:sz w:val="24"/>
          <w:szCs w:val="24"/>
        </w:rPr>
        <w:t>l’insuffisance des cadres informationnels pour construire un jugement, l’apparition</w:t>
      </w:r>
      <w:r w:rsidR="00D93F08">
        <w:rPr>
          <w:rFonts w:ascii="Times New Roman" w:hAnsi="Times New Roman" w:cs="Times New Roman"/>
          <w:sz w:val="24"/>
          <w:szCs w:val="24"/>
        </w:rPr>
        <w:t xml:space="preserve"> de biais cognitifs, le développement d’émotions et l’importance des </w:t>
      </w:r>
      <w:r w:rsidR="00402237">
        <w:rPr>
          <w:rFonts w:ascii="Times New Roman" w:hAnsi="Times New Roman" w:cs="Times New Roman"/>
          <w:sz w:val="24"/>
          <w:szCs w:val="24"/>
        </w:rPr>
        <w:t>interactions sociales.</w:t>
      </w:r>
      <w:r w:rsidR="0083610F">
        <w:rPr>
          <w:rFonts w:ascii="Times New Roman" w:hAnsi="Times New Roman" w:cs="Times New Roman"/>
          <w:sz w:val="24"/>
          <w:szCs w:val="24"/>
        </w:rPr>
        <w:t xml:space="preserve"> </w:t>
      </w:r>
    </w:p>
    <w:p w14:paraId="63A453CC" w14:textId="7633296F" w:rsidR="00B968BF" w:rsidRPr="002F7EF6" w:rsidRDefault="00EC4132" w:rsidP="002F7EF6">
      <w:pPr>
        <w:pStyle w:val="Paragraphedeliste"/>
        <w:spacing w:line="360" w:lineRule="auto"/>
        <w:jc w:val="both"/>
        <w:rPr>
          <w:rFonts w:ascii="Times New Roman" w:hAnsi="Times New Roman" w:cs="Times New Roman"/>
          <w:sz w:val="24"/>
          <w:szCs w:val="24"/>
        </w:rPr>
      </w:pPr>
      <w:r w:rsidRPr="002F7EF6">
        <w:rPr>
          <w:rFonts w:ascii="Times New Roman" w:hAnsi="Times New Roman" w:cs="Times New Roman"/>
          <w:sz w:val="24"/>
          <w:szCs w:val="24"/>
        </w:rPr>
        <w:t>Au-delà</w:t>
      </w:r>
      <w:r w:rsidR="0047384D" w:rsidRPr="002F7EF6">
        <w:rPr>
          <w:rFonts w:ascii="Times New Roman" w:hAnsi="Times New Roman" w:cs="Times New Roman"/>
          <w:sz w:val="24"/>
          <w:szCs w:val="24"/>
        </w:rPr>
        <w:t xml:space="preserve">, et pour renforcer le propos, </w:t>
      </w:r>
      <w:r w:rsidR="005D71D2" w:rsidRPr="002F7EF6">
        <w:rPr>
          <w:rFonts w:ascii="Times New Roman" w:hAnsi="Times New Roman" w:cs="Times New Roman"/>
          <w:sz w:val="24"/>
          <w:szCs w:val="24"/>
        </w:rPr>
        <w:t xml:space="preserve">plusieurs constats ont </w:t>
      </w:r>
      <w:r w:rsidR="0047384D" w:rsidRPr="002F7EF6">
        <w:rPr>
          <w:rFonts w:ascii="Times New Roman" w:hAnsi="Times New Roman" w:cs="Times New Roman"/>
          <w:sz w:val="24"/>
          <w:szCs w:val="24"/>
        </w:rPr>
        <w:t xml:space="preserve">également </w:t>
      </w:r>
      <w:r w:rsidR="005D71D2" w:rsidRPr="002F7EF6">
        <w:rPr>
          <w:rFonts w:ascii="Times New Roman" w:hAnsi="Times New Roman" w:cs="Times New Roman"/>
          <w:sz w:val="24"/>
          <w:szCs w:val="24"/>
        </w:rPr>
        <w:t xml:space="preserve">émergé. </w:t>
      </w:r>
    </w:p>
    <w:p w14:paraId="68756B4E" w14:textId="4DE84C14" w:rsidR="00FD7789" w:rsidRPr="006E7068" w:rsidRDefault="00CA35C0" w:rsidP="006E7068">
      <w:pPr>
        <w:spacing w:line="360" w:lineRule="auto"/>
        <w:ind w:left="708"/>
        <w:jc w:val="both"/>
        <w:rPr>
          <w:rFonts w:ascii="Times New Roman" w:hAnsi="Times New Roman" w:cs="Times New Roman"/>
          <w:sz w:val="24"/>
          <w:szCs w:val="24"/>
        </w:rPr>
      </w:pPr>
      <w:r w:rsidRPr="006E7068">
        <w:rPr>
          <w:rFonts w:ascii="Times New Roman" w:hAnsi="Times New Roman" w:cs="Times New Roman"/>
          <w:sz w:val="24"/>
          <w:szCs w:val="24"/>
        </w:rPr>
        <w:t>Un</w:t>
      </w:r>
      <w:r w:rsidR="005D71D2" w:rsidRPr="006E7068">
        <w:rPr>
          <w:rFonts w:ascii="Times New Roman" w:hAnsi="Times New Roman" w:cs="Times New Roman"/>
          <w:sz w:val="24"/>
          <w:szCs w:val="24"/>
        </w:rPr>
        <w:t xml:space="preserve"> </w:t>
      </w:r>
      <w:r w:rsidR="006C5D43" w:rsidRPr="006E7068">
        <w:rPr>
          <w:rFonts w:ascii="Times New Roman" w:hAnsi="Times New Roman" w:cs="Times New Roman"/>
          <w:sz w:val="24"/>
          <w:szCs w:val="24"/>
        </w:rPr>
        <w:t xml:space="preserve">premier constat </w:t>
      </w:r>
      <w:r w:rsidR="005D71D2" w:rsidRPr="006E7068">
        <w:rPr>
          <w:rFonts w:ascii="Times New Roman" w:hAnsi="Times New Roman" w:cs="Times New Roman"/>
          <w:sz w:val="24"/>
          <w:szCs w:val="24"/>
        </w:rPr>
        <w:t>est celui d’une</w:t>
      </w:r>
      <w:r w:rsidR="006C5D43" w:rsidRPr="006E7068">
        <w:rPr>
          <w:rFonts w:ascii="Times New Roman" w:hAnsi="Times New Roman" w:cs="Times New Roman"/>
          <w:sz w:val="24"/>
          <w:szCs w:val="24"/>
        </w:rPr>
        <w:t xml:space="preserve"> </w:t>
      </w:r>
      <w:r w:rsidR="000F5C29" w:rsidRPr="006E7068">
        <w:rPr>
          <w:rFonts w:ascii="Times New Roman" w:hAnsi="Times New Roman" w:cs="Times New Roman"/>
          <w:sz w:val="24"/>
          <w:szCs w:val="24"/>
        </w:rPr>
        <w:t>absence de</w:t>
      </w:r>
      <w:r w:rsidR="006C5D43" w:rsidRPr="006E7068">
        <w:rPr>
          <w:rFonts w:ascii="Times New Roman" w:hAnsi="Times New Roman" w:cs="Times New Roman"/>
          <w:sz w:val="24"/>
          <w:szCs w:val="24"/>
        </w:rPr>
        <w:t xml:space="preserve"> préparation des participants à la réalité des marchés boursiers.</w:t>
      </w:r>
      <w:r w:rsidR="0011033E" w:rsidRPr="006E7068">
        <w:rPr>
          <w:rFonts w:ascii="Times New Roman" w:hAnsi="Times New Roman" w:cs="Times New Roman"/>
          <w:sz w:val="24"/>
          <w:szCs w:val="24"/>
        </w:rPr>
        <w:t xml:space="preserve"> La vitesse avec laquelle s’opèrent les transactions n’a laissé que peu de place à des exercices de mise en œuvre de techniques réellement structurées de prises de décisions. Dans cette optique, ce sont </w:t>
      </w:r>
      <w:r w:rsidR="008464C9" w:rsidRPr="006E7068">
        <w:rPr>
          <w:rFonts w:ascii="Times New Roman" w:hAnsi="Times New Roman" w:cs="Times New Roman"/>
          <w:sz w:val="24"/>
          <w:szCs w:val="24"/>
        </w:rPr>
        <w:t>d</w:t>
      </w:r>
      <w:r w:rsidR="00145A51" w:rsidRPr="006E7068">
        <w:rPr>
          <w:rFonts w:ascii="Times New Roman" w:hAnsi="Times New Roman" w:cs="Times New Roman"/>
          <w:sz w:val="24"/>
          <w:szCs w:val="24"/>
        </w:rPr>
        <w:t>es conventions</w:t>
      </w:r>
      <w:r w:rsidR="0011033E" w:rsidRPr="006E7068">
        <w:rPr>
          <w:rFonts w:ascii="Times New Roman" w:hAnsi="Times New Roman" w:cs="Times New Roman"/>
          <w:sz w:val="24"/>
          <w:szCs w:val="24"/>
        </w:rPr>
        <w:t xml:space="preserve"> de marché valables durant la semaine de l’expérimentation qui ont prévalu sur le recours à l’analyse de données plus fondamentales.</w:t>
      </w:r>
      <w:r w:rsidR="005D71D2" w:rsidRPr="006E7068">
        <w:rPr>
          <w:rFonts w:ascii="Times New Roman" w:hAnsi="Times New Roman" w:cs="Times New Roman"/>
          <w:sz w:val="24"/>
          <w:szCs w:val="24"/>
        </w:rPr>
        <w:t xml:space="preserve"> </w:t>
      </w:r>
    </w:p>
    <w:p w14:paraId="7BA28A24" w14:textId="52CF519E" w:rsidR="00CA35C0" w:rsidRPr="00FB0D94" w:rsidRDefault="00CA35C0" w:rsidP="00FB0D94">
      <w:pPr>
        <w:spacing w:line="360" w:lineRule="auto"/>
        <w:ind w:left="708"/>
        <w:jc w:val="both"/>
        <w:rPr>
          <w:rFonts w:ascii="Times New Roman" w:hAnsi="Times New Roman" w:cs="Times New Roman"/>
          <w:sz w:val="24"/>
          <w:szCs w:val="24"/>
        </w:rPr>
      </w:pPr>
      <w:r w:rsidRPr="00FB0D94">
        <w:rPr>
          <w:rFonts w:ascii="Times New Roman" w:hAnsi="Times New Roman" w:cs="Times New Roman"/>
          <w:sz w:val="24"/>
          <w:szCs w:val="24"/>
        </w:rPr>
        <w:lastRenderedPageBreak/>
        <w:t>Un deuxième constat est celui d’une propension à maximiser les gains financiers associés en portefeuille, même si aucune gratification n’était proposée aux couples les plus performants. Dans cette logique, les groupes ont eu tendance à faire évoluer</w:t>
      </w:r>
      <w:r w:rsidR="00B968BF" w:rsidRPr="00FB0D94">
        <w:rPr>
          <w:rFonts w:ascii="Times New Roman" w:hAnsi="Times New Roman" w:cs="Times New Roman"/>
          <w:sz w:val="24"/>
          <w:szCs w:val="24"/>
        </w:rPr>
        <w:t xml:space="preserve"> les techniques retenues vers celles qui, dans le cadre de l’auditoire, fonctionnaient </w:t>
      </w:r>
      <w:r w:rsidR="00447F94" w:rsidRPr="00FB0D94">
        <w:rPr>
          <w:rFonts w:ascii="Times New Roman" w:hAnsi="Times New Roman" w:cs="Times New Roman"/>
          <w:sz w:val="24"/>
          <w:szCs w:val="24"/>
        </w:rPr>
        <w:t xml:space="preserve">a priori </w:t>
      </w:r>
      <w:r w:rsidR="00B968BF" w:rsidRPr="00FB0D94">
        <w:rPr>
          <w:rFonts w:ascii="Times New Roman" w:hAnsi="Times New Roman" w:cs="Times New Roman"/>
          <w:sz w:val="24"/>
          <w:szCs w:val="24"/>
        </w:rPr>
        <w:t>le mieux</w:t>
      </w:r>
      <w:r w:rsidRPr="00FB0D94">
        <w:rPr>
          <w:rFonts w:ascii="Times New Roman" w:hAnsi="Times New Roman" w:cs="Times New Roman"/>
          <w:sz w:val="24"/>
          <w:szCs w:val="24"/>
        </w:rPr>
        <w:t xml:space="preserve">. </w:t>
      </w:r>
      <w:r w:rsidR="00B968BF" w:rsidRPr="00FB0D94">
        <w:rPr>
          <w:rFonts w:ascii="Times New Roman" w:hAnsi="Times New Roman" w:cs="Times New Roman"/>
          <w:sz w:val="24"/>
          <w:szCs w:val="24"/>
        </w:rPr>
        <w:t xml:space="preserve">Dans la mesure où le contexte boursier était globalement favorable sur la semaine écoulée, ce sont les opérations assimilables à du </w:t>
      </w:r>
      <w:proofErr w:type="spellStart"/>
      <w:r w:rsidR="00B968BF" w:rsidRPr="00FB0D94">
        <w:rPr>
          <w:rFonts w:ascii="Times New Roman" w:hAnsi="Times New Roman" w:cs="Times New Roman"/>
          <w:sz w:val="24"/>
          <w:szCs w:val="24"/>
        </w:rPr>
        <w:t>scalping</w:t>
      </w:r>
      <w:proofErr w:type="spellEnd"/>
      <w:r w:rsidR="00B968BF" w:rsidRPr="00FB0D94">
        <w:rPr>
          <w:rFonts w:ascii="Times New Roman" w:hAnsi="Times New Roman" w:cs="Times New Roman"/>
          <w:sz w:val="24"/>
          <w:szCs w:val="24"/>
        </w:rPr>
        <w:t xml:space="preserve"> trading qui ont permis d’obtenir les gains les plus importants. Et donc, il n’est pas surprenant de constater une </w:t>
      </w:r>
      <w:r w:rsidRPr="00FB0D94">
        <w:rPr>
          <w:rFonts w:ascii="Times New Roman" w:hAnsi="Times New Roman" w:cs="Times New Roman"/>
          <w:sz w:val="24"/>
          <w:szCs w:val="24"/>
        </w:rPr>
        <w:t xml:space="preserve">augmentation des transactions </w:t>
      </w:r>
      <w:r w:rsidR="00B968BF" w:rsidRPr="00FB0D94">
        <w:rPr>
          <w:rFonts w:ascii="Times New Roman" w:hAnsi="Times New Roman" w:cs="Times New Roman"/>
          <w:sz w:val="24"/>
          <w:szCs w:val="24"/>
        </w:rPr>
        <w:t>au fil des jours.</w:t>
      </w:r>
      <w:r w:rsidR="00447F94" w:rsidRPr="00FB0D94">
        <w:rPr>
          <w:rFonts w:ascii="Times New Roman" w:hAnsi="Times New Roman" w:cs="Times New Roman"/>
          <w:sz w:val="24"/>
          <w:szCs w:val="24"/>
        </w:rPr>
        <w:t xml:space="preserve"> Ces observations ont tendance à renforcer les éléments de conclu</w:t>
      </w:r>
      <w:r w:rsidR="00F00D95" w:rsidRPr="00FB0D94">
        <w:rPr>
          <w:rFonts w:ascii="Times New Roman" w:hAnsi="Times New Roman" w:cs="Times New Roman"/>
          <w:sz w:val="24"/>
          <w:szCs w:val="24"/>
        </w:rPr>
        <w:t>sion repris ci-dessus et liés à</w:t>
      </w:r>
      <w:r w:rsidR="00447F94" w:rsidRPr="00FB0D94">
        <w:rPr>
          <w:rFonts w:ascii="Times New Roman" w:hAnsi="Times New Roman" w:cs="Times New Roman"/>
          <w:sz w:val="24"/>
          <w:szCs w:val="24"/>
        </w:rPr>
        <w:t xml:space="preserve"> </w:t>
      </w:r>
      <w:r w:rsidR="00FF1801" w:rsidRPr="00FB0D94">
        <w:rPr>
          <w:rFonts w:ascii="Times New Roman" w:hAnsi="Times New Roman" w:cs="Times New Roman"/>
          <w:sz w:val="24"/>
          <w:szCs w:val="24"/>
        </w:rPr>
        <w:t xml:space="preserve">un </w:t>
      </w:r>
      <w:r w:rsidR="00447F94" w:rsidRPr="00FB0D94">
        <w:rPr>
          <w:rFonts w:ascii="Times New Roman" w:hAnsi="Times New Roman" w:cs="Times New Roman"/>
          <w:sz w:val="24"/>
          <w:szCs w:val="24"/>
        </w:rPr>
        <w:t xml:space="preserve">recours </w:t>
      </w:r>
      <w:r w:rsidR="00F00D95" w:rsidRPr="00FB0D94">
        <w:rPr>
          <w:rFonts w:ascii="Times New Roman" w:hAnsi="Times New Roman" w:cs="Times New Roman"/>
          <w:sz w:val="24"/>
          <w:szCs w:val="24"/>
        </w:rPr>
        <w:t xml:space="preserve">important </w:t>
      </w:r>
      <w:r w:rsidR="00447F94" w:rsidRPr="00FB0D94">
        <w:rPr>
          <w:rFonts w:ascii="Times New Roman" w:hAnsi="Times New Roman" w:cs="Times New Roman"/>
          <w:sz w:val="24"/>
          <w:szCs w:val="24"/>
        </w:rPr>
        <w:t>à la théorie des conventions.</w:t>
      </w:r>
      <w:r w:rsidR="00F00D95" w:rsidRPr="00FB0D94">
        <w:rPr>
          <w:rFonts w:ascii="Times New Roman" w:hAnsi="Times New Roman" w:cs="Times New Roman"/>
          <w:sz w:val="24"/>
          <w:szCs w:val="24"/>
        </w:rPr>
        <w:t xml:space="preserve"> L</w:t>
      </w:r>
      <w:r w:rsidR="00703DE0" w:rsidRPr="00FB0D94">
        <w:rPr>
          <w:rFonts w:ascii="Times New Roman" w:hAnsi="Times New Roman" w:cs="Times New Roman"/>
          <w:sz w:val="24"/>
          <w:szCs w:val="24"/>
        </w:rPr>
        <w:t>a valeur d</w:t>
      </w:r>
      <w:r w:rsidR="00F00D95" w:rsidRPr="00FB0D94">
        <w:rPr>
          <w:rFonts w:ascii="Times New Roman" w:hAnsi="Times New Roman" w:cs="Times New Roman"/>
          <w:sz w:val="24"/>
          <w:szCs w:val="24"/>
        </w:rPr>
        <w:t>es en</w:t>
      </w:r>
      <w:r w:rsidR="00FF1801" w:rsidRPr="00FB0D94">
        <w:rPr>
          <w:rFonts w:ascii="Times New Roman" w:hAnsi="Times New Roman" w:cs="Times New Roman"/>
          <w:sz w:val="24"/>
          <w:szCs w:val="24"/>
        </w:rPr>
        <w:t>treprises en serai</w:t>
      </w:r>
      <w:r w:rsidR="00F00D95" w:rsidRPr="00FB0D94">
        <w:rPr>
          <w:rFonts w:ascii="Times New Roman" w:hAnsi="Times New Roman" w:cs="Times New Roman"/>
          <w:sz w:val="24"/>
          <w:szCs w:val="24"/>
        </w:rPr>
        <w:t>t dès lors réduit</w:t>
      </w:r>
      <w:r w:rsidR="005A673D" w:rsidRPr="00FB0D94">
        <w:rPr>
          <w:rFonts w:ascii="Times New Roman" w:hAnsi="Times New Roman" w:cs="Times New Roman"/>
          <w:sz w:val="24"/>
          <w:szCs w:val="24"/>
        </w:rPr>
        <w:t>e</w:t>
      </w:r>
      <w:r w:rsidR="00F00D95" w:rsidRPr="00FB0D94">
        <w:rPr>
          <w:rFonts w:ascii="Times New Roman" w:hAnsi="Times New Roman" w:cs="Times New Roman"/>
          <w:sz w:val="24"/>
          <w:szCs w:val="24"/>
        </w:rPr>
        <w:t xml:space="preserve"> à de simples </w:t>
      </w:r>
      <w:r w:rsidR="00FF1801" w:rsidRPr="00FB0D94">
        <w:rPr>
          <w:rFonts w:ascii="Times New Roman" w:hAnsi="Times New Roman" w:cs="Times New Roman"/>
          <w:sz w:val="24"/>
          <w:szCs w:val="24"/>
        </w:rPr>
        <w:t xml:space="preserve">données </w:t>
      </w:r>
      <w:r w:rsidR="00F00D95" w:rsidRPr="00FB0D94">
        <w:rPr>
          <w:rFonts w:ascii="Times New Roman" w:hAnsi="Times New Roman" w:cs="Times New Roman"/>
          <w:sz w:val="24"/>
          <w:szCs w:val="24"/>
        </w:rPr>
        <w:t>chiffr</w:t>
      </w:r>
      <w:r w:rsidR="00FF1801" w:rsidRPr="00FB0D94">
        <w:rPr>
          <w:rFonts w:ascii="Times New Roman" w:hAnsi="Times New Roman" w:cs="Times New Roman"/>
          <w:sz w:val="24"/>
          <w:szCs w:val="24"/>
        </w:rPr>
        <w:t>ée</w:t>
      </w:r>
      <w:r w:rsidR="00F00D95" w:rsidRPr="00FB0D94">
        <w:rPr>
          <w:rFonts w:ascii="Times New Roman" w:hAnsi="Times New Roman" w:cs="Times New Roman"/>
          <w:sz w:val="24"/>
          <w:szCs w:val="24"/>
        </w:rPr>
        <w:t>s qui évolue</w:t>
      </w:r>
      <w:r w:rsidR="005A673D" w:rsidRPr="00FB0D94">
        <w:rPr>
          <w:rFonts w:ascii="Times New Roman" w:hAnsi="Times New Roman" w:cs="Times New Roman"/>
          <w:sz w:val="24"/>
          <w:szCs w:val="24"/>
        </w:rPr>
        <w:t>raie</w:t>
      </w:r>
      <w:r w:rsidR="00F00D95" w:rsidRPr="00FB0D94">
        <w:rPr>
          <w:rFonts w:ascii="Times New Roman" w:hAnsi="Times New Roman" w:cs="Times New Roman"/>
          <w:sz w:val="24"/>
          <w:szCs w:val="24"/>
        </w:rPr>
        <w:t>nt autour d’une norme communément admise par les marchés</w:t>
      </w:r>
      <w:r w:rsidR="00421524" w:rsidRPr="00FB0D94">
        <w:rPr>
          <w:rFonts w:ascii="Times New Roman" w:hAnsi="Times New Roman" w:cs="Times New Roman"/>
          <w:sz w:val="24"/>
          <w:szCs w:val="24"/>
        </w:rPr>
        <w:t xml:space="preserve"> à un moment bien précis</w:t>
      </w:r>
      <w:r w:rsidR="00F00D95" w:rsidRPr="00FB0D94">
        <w:rPr>
          <w:rFonts w:ascii="Times New Roman" w:hAnsi="Times New Roman" w:cs="Times New Roman"/>
          <w:sz w:val="24"/>
          <w:szCs w:val="24"/>
        </w:rPr>
        <w:t xml:space="preserve">.  </w:t>
      </w:r>
    </w:p>
    <w:p w14:paraId="259A7C1E" w14:textId="2C51F6F7" w:rsidR="00447F94" w:rsidRPr="00FB0D94" w:rsidRDefault="00447F94" w:rsidP="00FB0D94">
      <w:pPr>
        <w:spacing w:line="360" w:lineRule="auto"/>
        <w:ind w:left="708"/>
        <w:jc w:val="both"/>
        <w:rPr>
          <w:rFonts w:ascii="Times New Roman" w:hAnsi="Times New Roman" w:cs="Times New Roman"/>
          <w:sz w:val="24"/>
          <w:szCs w:val="24"/>
        </w:rPr>
      </w:pPr>
      <w:r w:rsidRPr="00FB0D94">
        <w:rPr>
          <w:rFonts w:ascii="Times New Roman" w:hAnsi="Times New Roman" w:cs="Times New Roman"/>
          <w:sz w:val="24"/>
          <w:szCs w:val="24"/>
        </w:rPr>
        <w:t>Un troisième co</w:t>
      </w:r>
      <w:r w:rsidR="002C493D" w:rsidRPr="00FB0D94">
        <w:rPr>
          <w:rFonts w:ascii="Times New Roman" w:hAnsi="Times New Roman" w:cs="Times New Roman"/>
          <w:sz w:val="24"/>
          <w:szCs w:val="24"/>
        </w:rPr>
        <w:t xml:space="preserve">nstat réside dans </w:t>
      </w:r>
      <w:r w:rsidR="00A667FF">
        <w:rPr>
          <w:rFonts w:ascii="Times New Roman" w:hAnsi="Times New Roman" w:cs="Times New Roman"/>
          <w:sz w:val="24"/>
          <w:szCs w:val="24"/>
        </w:rPr>
        <w:t xml:space="preserve">l’influence de </w:t>
      </w:r>
      <w:r w:rsidR="002C493D" w:rsidRPr="00FB0D94">
        <w:rPr>
          <w:rFonts w:ascii="Times New Roman" w:hAnsi="Times New Roman" w:cs="Times New Roman"/>
          <w:sz w:val="24"/>
          <w:szCs w:val="24"/>
        </w:rPr>
        <w:t>la composante genre</w:t>
      </w:r>
      <w:r w:rsidR="00095770">
        <w:rPr>
          <w:rFonts w:ascii="Times New Roman" w:hAnsi="Times New Roman" w:cs="Times New Roman"/>
          <w:sz w:val="24"/>
          <w:szCs w:val="24"/>
        </w:rPr>
        <w:t xml:space="preserve"> et les différences de comportements induit</w:t>
      </w:r>
      <w:r w:rsidR="00AD41F0">
        <w:rPr>
          <w:rFonts w:ascii="Times New Roman" w:hAnsi="Times New Roman" w:cs="Times New Roman"/>
          <w:sz w:val="24"/>
          <w:szCs w:val="24"/>
        </w:rPr>
        <w:t>e</w:t>
      </w:r>
      <w:r w:rsidR="00095770">
        <w:rPr>
          <w:rFonts w:ascii="Times New Roman" w:hAnsi="Times New Roman" w:cs="Times New Roman"/>
          <w:sz w:val="24"/>
          <w:szCs w:val="24"/>
        </w:rPr>
        <w:t>s par celle-ci</w:t>
      </w:r>
      <w:r w:rsidRPr="00FB0D94">
        <w:rPr>
          <w:rFonts w:ascii="Times New Roman" w:hAnsi="Times New Roman" w:cs="Times New Roman"/>
          <w:sz w:val="24"/>
          <w:szCs w:val="24"/>
        </w:rPr>
        <w:t>.</w:t>
      </w:r>
      <w:r w:rsidR="002C493D" w:rsidRPr="00FB0D94">
        <w:rPr>
          <w:rFonts w:ascii="Times New Roman" w:hAnsi="Times New Roman" w:cs="Times New Roman"/>
          <w:sz w:val="24"/>
          <w:szCs w:val="24"/>
        </w:rPr>
        <w:t xml:space="preserve"> Si les éléments masculins ont eu tendance à adopter des techniques risquées</w:t>
      </w:r>
      <w:r w:rsidR="008E0503" w:rsidRPr="00FB0D94">
        <w:rPr>
          <w:rFonts w:ascii="Times New Roman" w:hAnsi="Times New Roman" w:cs="Times New Roman"/>
          <w:sz w:val="24"/>
          <w:szCs w:val="24"/>
        </w:rPr>
        <w:t xml:space="preserve"> les conduisant à multiplier les transactions</w:t>
      </w:r>
      <w:r w:rsidR="002C493D" w:rsidRPr="00FB0D94">
        <w:rPr>
          <w:rFonts w:ascii="Times New Roman" w:hAnsi="Times New Roman" w:cs="Times New Roman"/>
          <w:sz w:val="24"/>
          <w:szCs w:val="24"/>
        </w:rPr>
        <w:t xml:space="preserve">, les représentantes </w:t>
      </w:r>
      <w:r w:rsidR="008C5AED">
        <w:rPr>
          <w:rFonts w:ascii="Times New Roman" w:hAnsi="Times New Roman" w:cs="Times New Roman"/>
          <w:sz w:val="24"/>
          <w:szCs w:val="24"/>
        </w:rPr>
        <w:t xml:space="preserve">du sexe </w:t>
      </w:r>
      <w:r w:rsidR="002C493D" w:rsidRPr="00FB0D94">
        <w:rPr>
          <w:rFonts w:ascii="Times New Roman" w:hAnsi="Times New Roman" w:cs="Times New Roman"/>
          <w:sz w:val="24"/>
          <w:szCs w:val="24"/>
        </w:rPr>
        <w:t>féminin ont eu recours à des attitudes plus prudentielles</w:t>
      </w:r>
      <w:r w:rsidR="001B7CD1" w:rsidRPr="00FB0D94">
        <w:rPr>
          <w:rFonts w:ascii="Times New Roman" w:hAnsi="Times New Roman" w:cs="Times New Roman"/>
          <w:sz w:val="24"/>
          <w:szCs w:val="24"/>
        </w:rPr>
        <w:t xml:space="preserve"> et à encadrer leurs prises de décisions avec</w:t>
      </w:r>
      <w:r w:rsidR="008E0503" w:rsidRPr="00FB0D94">
        <w:rPr>
          <w:rFonts w:ascii="Times New Roman" w:hAnsi="Times New Roman" w:cs="Times New Roman"/>
          <w:sz w:val="24"/>
          <w:szCs w:val="24"/>
        </w:rPr>
        <w:t xml:space="preserve"> des outils </w:t>
      </w:r>
      <w:r w:rsidR="00894558" w:rsidRPr="00FB0D94">
        <w:rPr>
          <w:rFonts w:ascii="Times New Roman" w:hAnsi="Times New Roman" w:cs="Times New Roman"/>
          <w:sz w:val="24"/>
          <w:szCs w:val="24"/>
        </w:rPr>
        <w:t xml:space="preserve">(un peu) </w:t>
      </w:r>
      <w:r w:rsidR="008E0503" w:rsidRPr="00FB0D94">
        <w:rPr>
          <w:rFonts w:ascii="Times New Roman" w:hAnsi="Times New Roman" w:cs="Times New Roman"/>
          <w:sz w:val="24"/>
          <w:szCs w:val="24"/>
        </w:rPr>
        <w:t>plus structurés</w:t>
      </w:r>
      <w:r w:rsidR="002C493D" w:rsidRPr="00FB0D94">
        <w:rPr>
          <w:rFonts w:ascii="Times New Roman" w:hAnsi="Times New Roman" w:cs="Times New Roman"/>
          <w:sz w:val="24"/>
          <w:szCs w:val="24"/>
        </w:rPr>
        <w:t>.</w:t>
      </w:r>
      <w:r w:rsidRPr="00FB0D94">
        <w:rPr>
          <w:rFonts w:ascii="Times New Roman" w:hAnsi="Times New Roman" w:cs="Times New Roman"/>
          <w:sz w:val="24"/>
          <w:szCs w:val="24"/>
        </w:rPr>
        <w:t xml:space="preserve"> </w:t>
      </w:r>
    </w:p>
    <w:p w14:paraId="32985A40" w14:textId="77777777" w:rsidR="000574A7" w:rsidRPr="00FB0D94" w:rsidRDefault="000574A7" w:rsidP="00FB0D94">
      <w:pPr>
        <w:spacing w:line="360" w:lineRule="auto"/>
        <w:ind w:left="708"/>
        <w:jc w:val="both"/>
        <w:rPr>
          <w:rFonts w:ascii="Times New Roman" w:hAnsi="Times New Roman" w:cs="Times New Roman"/>
          <w:sz w:val="24"/>
          <w:szCs w:val="24"/>
        </w:rPr>
      </w:pPr>
      <w:r w:rsidRPr="00FB0D94">
        <w:rPr>
          <w:rFonts w:ascii="Times New Roman" w:hAnsi="Times New Roman" w:cs="Times New Roman"/>
          <w:sz w:val="24"/>
          <w:szCs w:val="24"/>
        </w:rPr>
        <w:t xml:space="preserve">Un quatrième constat provient de l’influence de l’environnement sur les techniques qui sont retenues. Celle-ci se marque tant au sein de l’auditoire pris dans sa globalité qu’à l’intérieur des groupes, avec des comportements qui s’adaptent à des </w:t>
      </w:r>
      <w:r w:rsidR="007B0721" w:rsidRPr="00FB0D94">
        <w:rPr>
          <w:rFonts w:ascii="Times New Roman" w:hAnsi="Times New Roman" w:cs="Times New Roman"/>
          <w:sz w:val="24"/>
          <w:szCs w:val="24"/>
        </w:rPr>
        <w:t>standards collégialement acquis en fonction de l’</w:t>
      </w:r>
      <w:r w:rsidR="001B7CD1" w:rsidRPr="00FB0D94">
        <w:rPr>
          <w:rFonts w:ascii="Times New Roman" w:hAnsi="Times New Roman" w:cs="Times New Roman"/>
          <w:sz w:val="24"/>
          <w:szCs w:val="24"/>
        </w:rPr>
        <w:t xml:space="preserve">éventuelle </w:t>
      </w:r>
      <w:r w:rsidR="007B0721" w:rsidRPr="00FB0D94">
        <w:rPr>
          <w:rFonts w:ascii="Times New Roman" w:hAnsi="Times New Roman" w:cs="Times New Roman"/>
          <w:sz w:val="24"/>
          <w:szCs w:val="24"/>
        </w:rPr>
        <w:t xml:space="preserve">opérationnalité de telle ou telle technique d’investissement. </w:t>
      </w:r>
    </w:p>
    <w:p w14:paraId="4D3D0EDE" w14:textId="237FE858" w:rsidR="00F712EB" w:rsidRPr="00966234" w:rsidRDefault="0012217A" w:rsidP="00966234">
      <w:pPr>
        <w:spacing w:line="360" w:lineRule="auto"/>
        <w:ind w:left="708"/>
        <w:jc w:val="both"/>
        <w:rPr>
          <w:rFonts w:ascii="Times New Roman" w:hAnsi="Times New Roman" w:cs="Times New Roman"/>
          <w:sz w:val="24"/>
          <w:szCs w:val="24"/>
        </w:rPr>
      </w:pPr>
      <w:r w:rsidRPr="00FB0D94">
        <w:rPr>
          <w:rFonts w:ascii="Times New Roman" w:hAnsi="Times New Roman" w:cs="Times New Roman"/>
          <w:sz w:val="24"/>
          <w:szCs w:val="24"/>
        </w:rPr>
        <w:t xml:space="preserve">Au terme de cette expérience, plusieurs </w:t>
      </w:r>
      <w:r w:rsidR="0007322A" w:rsidRPr="00FB0D94">
        <w:rPr>
          <w:rFonts w:ascii="Times New Roman" w:hAnsi="Times New Roman" w:cs="Times New Roman"/>
          <w:sz w:val="24"/>
          <w:szCs w:val="24"/>
        </w:rPr>
        <w:t xml:space="preserve">limites </w:t>
      </w:r>
      <w:r w:rsidR="00256677">
        <w:rPr>
          <w:rFonts w:ascii="Times New Roman" w:hAnsi="Times New Roman" w:cs="Times New Roman"/>
          <w:sz w:val="24"/>
          <w:szCs w:val="24"/>
        </w:rPr>
        <w:t>demeur</w:t>
      </w:r>
      <w:r w:rsidR="0007322A" w:rsidRPr="00FB0D94">
        <w:rPr>
          <w:rFonts w:ascii="Times New Roman" w:hAnsi="Times New Roman" w:cs="Times New Roman"/>
          <w:sz w:val="24"/>
          <w:szCs w:val="24"/>
        </w:rPr>
        <w:t>ent</w:t>
      </w:r>
      <w:r w:rsidR="00AF41C0">
        <w:rPr>
          <w:rFonts w:ascii="Times New Roman" w:hAnsi="Times New Roman" w:cs="Times New Roman"/>
          <w:sz w:val="24"/>
          <w:szCs w:val="24"/>
        </w:rPr>
        <w:t xml:space="preserve"> et pourraient </w:t>
      </w:r>
      <w:r w:rsidR="00E673EA">
        <w:rPr>
          <w:rFonts w:ascii="Times New Roman" w:hAnsi="Times New Roman" w:cs="Times New Roman"/>
          <w:sz w:val="24"/>
          <w:szCs w:val="24"/>
        </w:rPr>
        <w:t>déboucher sur</w:t>
      </w:r>
      <w:r w:rsidR="000C25A9">
        <w:rPr>
          <w:rFonts w:ascii="Times New Roman" w:hAnsi="Times New Roman" w:cs="Times New Roman"/>
          <w:sz w:val="24"/>
          <w:szCs w:val="24"/>
        </w:rPr>
        <w:t xml:space="preserve"> le développement d’autres analyses</w:t>
      </w:r>
      <w:r w:rsidR="0007322A" w:rsidRPr="00FB0D94">
        <w:rPr>
          <w:rFonts w:ascii="Times New Roman" w:hAnsi="Times New Roman" w:cs="Times New Roman"/>
          <w:sz w:val="24"/>
          <w:szCs w:val="24"/>
        </w:rPr>
        <w:t xml:space="preserve">. En effet, les choix opérés par les participants – avec leur personnalité spécifique - collent à la réalité des marchés sur une période temporelle </w:t>
      </w:r>
      <w:r w:rsidR="00360133">
        <w:rPr>
          <w:rFonts w:ascii="Times New Roman" w:hAnsi="Times New Roman" w:cs="Times New Roman"/>
          <w:sz w:val="24"/>
          <w:szCs w:val="24"/>
        </w:rPr>
        <w:t xml:space="preserve">bien </w:t>
      </w:r>
      <w:r w:rsidR="0007322A" w:rsidRPr="00FB0D94">
        <w:rPr>
          <w:rFonts w:ascii="Times New Roman" w:hAnsi="Times New Roman" w:cs="Times New Roman"/>
          <w:sz w:val="24"/>
          <w:szCs w:val="24"/>
        </w:rPr>
        <w:t xml:space="preserve">déterminée. Une première piste d’investigation pourrait être une modification de l’orientation des portefeuilles, en proposant la possibilité de diversification entre des produits avec des profils risques différents, même si on peut se dire que les </w:t>
      </w:r>
      <w:r w:rsidR="00AF2844">
        <w:rPr>
          <w:rFonts w:ascii="Times New Roman" w:hAnsi="Times New Roman" w:cs="Times New Roman"/>
          <w:sz w:val="24"/>
          <w:szCs w:val="24"/>
        </w:rPr>
        <w:t>contours</w:t>
      </w:r>
      <w:r w:rsidR="0007322A" w:rsidRPr="00FB0D94">
        <w:rPr>
          <w:rFonts w:ascii="Times New Roman" w:hAnsi="Times New Roman" w:cs="Times New Roman"/>
          <w:sz w:val="24"/>
          <w:szCs w:val="24"/>
        </w:rPr>
        <w:t xml:space="preserve"> plus prudentiels auraient tendance à surpondérer en obligations et, à l’inverse, </w:t>
      </w:r>
      <w:r w:rsidR="0058377A">
        <w:rPr>
          <w:rFonts w:ascii="Times New Roman" w:hAnsi="Times New Roman" w:cs="Times New Roman"/>
          <w:sz w:val="24"/>
          <w:szCs w:val="24"/>
        </w:rPr>
        <w:t>ceux</w:t>
      </w:r>
      <w:r w:rsidR="0007322A" w:rsidRPr="00FB0D94">
        <w:rPr>
          <w:rFonts w:ascii="Times New Roman" w:hAnsi="Times New Roman" w:cs="Times New Roman"/>
          <w:sz w:val="24"/>
          <w:szCs w:val="24"/>
        </w:rPr>
        <w:t xml:space="preserve"> plus portés vers la prise de risques se dirigeraient vers le marché des actions. On pourrait penser également proposer de trader sur les marchés des options (Capelle</w:t>
      </w:r>
      <w:r w:rsidR="00D511F4" w:rsidRPr="00FB0D94">
        <w:rPr>
          <w:rFonts w:ascii="Times New Roman" w:hAnsi="Times New Roman" w:cs="Times New Roman"/>
          <w:sz w:val="24"/>
          <w:szCs w:val="24"/>
        </w:rPr>
        <w:t xml:space="preserve">-Blancard </w:t>
      </w:r>
      <w:r w:rsidR="0007322A" w:rsidRPr="00FB0D94">
        <w:rPr>
          <w:rFonts w:ascii="Times New Roman" w:hAnsi="Times New Roman" w:cs="Times New Roman"/>
          <w:sz w:val="24"/>
          <w:szCs w:val="24"/>
        </w:rPr>
        <w:t xml:space="preserve">G., 2003) </w:t>
      </w:r>
      <w:r w:rsidR="00827BFB">
        <w:rPr>
          <w:rFonts w:ascii="Times New Roman" w:hAnsi="Times New Roman" w:cs="Times New Roman"/>
          <w:sz w:val="24"/>
          <w:szCs w:val="24"/>
        </w:rPr>
        <w:t>sur lesquels</w:t>
      </w:r>
      <w:r w:rsidR="0007322A" w:rsidRPr="00FB0D94">
        <w:rPr>
          <w:rFonts w:ascii="Times New Roman" w:hAnsi="Times New Roman" w:cs="Times New Roman"/>
          <w:sz w:val="24"/>
          <w:szCs w:val="24"/>
        </w:rPr>
        <w:t xml:space="preserve"> ne se négocient que de la volatilité. Dans ce cas, la composante prudentielle est</w:t>
      </w:r>
      <w:r w:rsidR="007D723F">
        <w:rPr>
          <w:rFonts w:ascii="Times New Roman" w:hAnsi="Times New Roman" w:cs="Times New Roman"/>
          <w:sz w:val="24"/>
          <w:szCs w:val="24"/>
        </w:rPr>
        <w:t xml:space="preserve"> </w:t>
      </w:r>
      <w:r w:rsidR="0007322A" w:rsidRPr="00FB0D94">
        <w:rPr>
          <w:rFonts w:ascii="Times New Roman" w:hAnsi="Times New Roman" w:cs="Times New Roman"/>
          <w:sz w:val="24"/>
          <w:szCs w:val="24"/>
        </w:rPr>
        <w:t xml:space="preserve">limitée par la philosophie et la destination des instruments qui y sont </w:t>
      </w:r>
      <w:r w:rsidR="0007322A" w:rsidRPr="00FB0D94">
        <w:rPr>
          <w:rFonts w:ascii="Times New Roman" w:hAnsi="Times New Roman" w:cs="Times New Roman"/>
          <w:sz w:val="24"/>
          <w:szCs w:val="24"/>
        </w:rPr>
        <w:lastRenderedPageBreak/>
        <w:t xml:space="preserve">négociés.  D’autres </w:t>
      </w:r>
      <w:r w:rsidRPr="00FB0D94">
        <w:rPr>
          <w:rFonts w:ascii="Times New Roman" w:hAnsi="Times New Roman" w:cs="Times New Roman"/>
          <w:sz w:val="24"/>
          <w:szCs w:val="24"/>
        </w:rPr>
        <w:t xml:space="preserve">pistes de recherche complémentaire pourraient être envisagées. Celles-ci </w:t>
      </w:r>
      <w:r w:rsidR="00453A3B">
        <w:rPr>
          <w:rFonts w:ascii="Times New Roman" w:hAnsi="Times New Roman" w:cs="Times New Roman"/>
          <w:sz w:val="24"/>
          <w:szCs w:val="24"/>
        </w:rPr>
        <w:t xml:space="preserve">pourraient </w:t>
      </w:r>
      <w:r w:rsidRPr="00FB0D94">
        <w:rPr>
          <w:rFonts w:ascii="Times New Roman" w:hAnsi="Times New Roman" w:cs="Times New Roman"/>
          <w:sz w:val="24"/>
          <w:szCs w:val="24"/>
        </w:rPr>
        <w:t>porte</w:t>
      </w:r>
      <w:r w:rsidR="00453A3B">
        <w:rPr>
          <w:rFonts w:ascii="Times New Roman" w:hAnsi="Times New Roman" w:cs="Times New Roman"/>
          <w:sz w:val="24"/>
          <w:szCs w:val="24"/>
        </w:rPr>
        <w:t>r</w:t>
      </w:r>
      <w:r w:rsidRPr="00FB0D94">
        <w:rPr>
          <w:rFonts w:ascii="Times New Roman" w:hAnsi="Times New Roman" w:cs="Times New Roman"/>
          <w:sz w:val="24"/>
          <w:szCs w:val="24"/>
        </w:rPr>
        <w:t xml:space="preserve"> sur l’auditoire participant à l’expérimentation</w:t>
      </w:r>
      <w:r w:rsidR="00BE17CF">
        <w:rPr>
          <w:rFonts w:ascii="Times New Roman" w:hAnsi="Times New Roman" w:cs="Times New Roman"/>
          <w:sz w:val="24"/>
          <w:szCs w:val="24"/>
        </w:rPr>
        <w:t> ;</w:t>
      </w:r>
      <w:r w:rsidR="00021A37">
        <w:rPr>
          <w:rFonts w:ascii="Times New Roman" w:hAnsi="Times New Roman" w:cs="Times New Roman"/>
          <w:sz w:val="24"/>
          <w:szCs w:val="24"/>
        </w:rPr>
        <w:t xml:space="preserve"> </w:t>
      </w:r>
      <w:r w:rsidRPr="00FB0D94">
        <w:rPr>
          <w:rFonts w:ascii="Times New Roman" w:hAnsi="Times New Roman" w:cs="Times New Roman"/>
          <w:sz w:val="24"/>
          <w:szCs w:val="24"/>
        </w:rPr>
        <w:t xml:space="preserve">on pourrait ainsi penser à </w:t>
      </w:r>
      <w:r w:rsidR="007E5DC1">
        <w:rPr>
          <w:rFonts w:ascii="Times New Roman" w:hAnsi="Times New Roman" w:cs="Times New Roman"/>
          <w:sz w:val="24"/>
          <w:szCs w:val="24"/>
        </w:rPr>
        <w:t>solliciter</w:t>
      </w:r>
      <w:r w:rsidRPr="00FB0D94">
        <w:rPr>
          <w:rFonts w:ascii="Times New Roman" w:hAnsi="Times New Roman" w:cs="Times New Roman"/>
          <w:sz w:val="24"/>
          <w:szCs w:val="24"/>
        </w:rPr>
        <w:t xml:space="preserve"> des étudiants non imprégnés d</w:t>
      </w:r>
      <w:r w:rsidR="00FB797D" w:rsidRPr="00FB0D94">
        <w:rPr>
          <w:rFonts w:ascii="Times New Roman" w:hAnsi="Times New Roman" w:cs="Times New Roman"/>
          <w:sz w:val="24"/>
          <w:szCs w:val="24"/>
        </w:rPr>
        <w:t>e</w:t>
      </w:r>
      <w:r w:rsidRPr="00FB0D94">
        <w:rPr>
          <w:rFonts w:ascii="Times New Roman" w:hAnsi="Times New Roman" w:cs="Times New Roman"/>
          <w:sz w:val="24"/>
          <w:szCs w:val="24"/>
        </w:rPr>
        <w:t xml:space="preserve"> connaissance </w:t>
      </w:r>
      <w:r w:rsidR="002F7EF6">
        <w:rPr>
          <w:rFonts w:ascii="Times New Roman" w:hAnsi="Times New Roman" w:cs="Times New Roman"/>
          <w:sz w:val="24"/>
          <w:szCs w:val="24"/>
        </w:rPr>
        <w:t xml:space="preserve">académique </w:t>
      </w:r>
      <w:r w:rsidR="007E5DC1">
        <w:rPr>
          <w:rFonts w:ascii="Times New Roman" w:hAnsi="Times New Roman" w:cs="Times New Roman"/>
          <w:sz w:val="24"/>
          <w:szCs w:val="24"/>
        </w:rPr>
        <w:t xml:space="preserve">dans le domaine </w:t>
      </w:r>
      <w:r w:rsidR="008F1996">
        <w:rPr>
          <w:rFonts w:ascii="Times New Roman" w:hAnsi="Times New Roman" w:cs="Times New Roman"/>
          <w:sz w:val="24"/>
          <w:szCs w:val="24"/>
        </w:rPr>
        <w:t>financi</w:t>
      </w:r>
      <w:r w:rsidR="007E5DC1">
        <w:rPr>
          <w:rFonts w:ascii="Times New Roman" w:hAnsi="Times New Roman" w:cs="Times New Roman"/>
          <w:sz w:val="24"/>
          <w:szCs w:val="24"/>
        </w:rPr>
        <w:t>er</w:t>
      </w:r>
      <w:r w:rsidRPr="00FB0D94">
        <w:rPr>
          <w:rFonts w:ascii="Times New Roman" w:hAnsi="Times New Roman" w:cs="Times New Roman"/>
          <w:sz w:val="24"/>
          <w:szCs w:val="24"/>
        </w:rPr>
        <w:t>. Nous pourrions également vérifier les éventuels biais comportementaux et l’exacerbation de la di</w:t>
      </w:r>
      <w:r w:rsidR="00DD28FE" w:rsidRPr="00FB0D94">
        <w:rPr>
          <w:rFonts w:ascii="Times New Roman" w:hAnsi="Times New Roman" w:cs="Times New Roman"/>
          <w:sz w:val="24"/>
          <w:szCs w:val="24"/>
        </w:rPr>
        <w:t xml:space="preserve">fférence </w:t>
      </w:r>
      <w:r w:rsidRPr="00FB0D94">
        <w:rPr>
          <w:rFonts w:ascii="Times New Roman" w:hAnsi="Times New Roman" w:cs="Times New Roman"/>
          <w:sz w:val="24"/>
          <w:szCs w:val="24"/>
        </w:rPr>
        <w:t>entre les groupes en proposant une gratification en fin d’expérience.</w:t>
      </w:r>
      <w:r w:rsidR="008C542D" w:rsidRPr="00FB0D94">
        <w:rPr>
          <w:rFonts w:ascii="Times New Roman" w:hAnsi="Times New Roman" w:cs="Times New Roman"/>
          <w:sz w:val="24"/>
          <w:szCs w:val="24"/>
        </w:rPr>
        <w:t xml:space="preserve"> Enfin, la comptabilisation des coûts de transaction </w:t>
      </w:r>
      <w:r w:rsidR="00A014F8">
        <w:rPr>
          <w:rFonts w:ascii="Times New Roman" w:hAnsi="Times New Roman" w:cs="Times New Roman"/>
          <w:sz w:val="24"/>
          <w:szCs w:val="24"/>
        </w:rPr>
        <w:t xml:space="preserve">pourrait </w:t>
      </w:r>
      <w:r w:rsidR="008C542D" w:rsidRPr="00FB0D94">
        <w:rPr>
          <w:rFonts w:ascii="Times New Roman" w:hAnsi="Times New Roman" w:cs="Times New Roman"/>
          <w:sz w:val="24"/>
          <w:szCs w:val="24"/>
        </w:rPr>
        <w:t>permettr</w:t>
      </w:r>
      <w:r w:rsidR="00A014F8">
        <w:rPr>
          <w:rFonts w:ascii="Times New Roman" w:hAnsi="Times New Roman" w:cs="Times New Roman"/>
          <w:sz w:val="24"/>
          <w:szCs w:val="24"/>
        </w:rPr>
        <w:t>e</w:t>
      </w:r>
      <w:r w:rsidR="008C542D" w:rsidRPr="00FB0D94">
        <w:rPr>
          <w:rFonts w:ascii="Times New Roman" w:hAnsi="Times New Roman" w:cs="Times New Roman"/>
          <w:sz w:val="24"/>
          <w:szCs w:val="24"/>
        </w:rPr>
        <w:t xml:space="preserve"> de repérer une modération de l’intensité des activités de trading</w:t>
      </w:r>
      <w:r w:rsidR="00B30CEB" w:rsidRPr="00FB0D94">
        <w:rPr>
          <w:rFonts w:ascii="Times New Roman" w:hAnsi="Times New Roman" w:cs="Times New Roman"/>
          <w:sz w:val="24"/>
          <w:szCs w:val="24"/>
        </w:rPr>
        <w:t xml:space="preserve"> et le recours subséquent à </w:t>
      </w:r>
      <w:r w:rsidR="00D528DE" w:rsidRPr="00FB0D94">
        <w:rPr>
          <w:rFonts w:ascii="Times New Roman" w:hAnsi="Times New Roman" w:cs="Times New Roman"/>
          <w:sz w:val="24"/>
          <w:szCs w:val="24"/>
        </w:rPr>
        <w:t xml:space="preserve">des </w:t>
      </w:r>
      <w:r w:rsidR="00B30CEB" w:rsidRPr="00FB0D94">
        <w:rPr>
          <w:rFonts w:ascii="Times New Roman" w:hAnsi="Times New Roman" w:cs="Times New Roman"/>
          <w:sz w:val="24"/>
          <w:szCs w:val="24"/>
        </w:rPr>
        <w:t>techniques plus structurées de prises de décisions</w:t>
      </w:r>
      <w:r w:rsidR="008C542D" w:rsidRPr="00FB0D94">
        <w:rPr>
          <w:rFonts w:ascii="Times New Roman" w:hAnsi="Times New Roman" w:cs="Times New Roman"/>
          <w:sz w:val="24"/>
          <w:szCs w:val="24"/>
        </w:rPr>
        <w:t>.</w:t>
      </w:r>
    </w:p>
    <w:p w14:paraId="77E5FEE7" w14:textId="77777777" w:rsidR="00003801" w:rsidRPr="006C2A74" w:rsidRDefault="00003801" w:rsidP="00003801">
      <w:pPr>
        <w:pStyle w:val="Paragraphedeliste"/>
        <w:numPr>
          <w:ilvl w:val="0"/>
          <w:numId w:val="1"/>
        </w:numPr>
        <w:spacing w:line="240" w:lineRule="auto"/>
        <w:jc w:val="both"/>
        <w:rPr>
          <w:rFonts w:ascii="Times New Roman" w:hAnsi="Times New Roman" w:cs="Times New Roman"/>
          <w:b/>
          <w:sz w:val="28"/>
          <w:szCs w:val="28"/>
          <w:u w:val="single"/>
        </w:rPr>
      </w:pPr>
      <w:r w:rsidRPr="006C2A74">
        <w:rPr>
          <w:rFonts w:ascii="Times New Roman" w:hAnsi="Times New Roman" w:cs="Times New Roman"/>
          <w:b/>
          <w:sz w:val="28"/>
          <w:szCs w:val="28"/>
          <w:u w:val="single"/>
        </w:rPr>
        <w:t>Eléments bibliographiques</w:t>
      </w:r>
    </w:p>
    <w:p w14:paraId="4D70D057" w14:textId="77777777" w:rsidR="00940D0F" w:rsidRPr="00FB0D94" w:rsidRDefault="00940D0F" w:rsidP="00FB0D94">
      <w:pPr>
        <w:ind w:left="709"/>
        <w:jc w:val="both"/>
        <w:rPr>
          <w:rFonts w:ascii="Times New Roman" w:hAnsi="Times New Roman" w:cs="Times New Roman"/>
          <w:sz w:val="24"/>
          <w:szCs w:val="24"/>
        </w:rPr>
      </w:pPr>
      <w:r w:rsidRPr="00FB0D94">
        <w:rPr>
          <w:rFonts w:ascii="Times New Roman" w:hAnsi="Times New Roman" w:cs="Times New Roman"/>
          <w:sz w:val="24"/>
          <w:szCs w:val="24"/>
        </w:rPr>
        <w:t xml:space="preserve">Agrawal J., </w:t>
      </w:r>
      <w:proofErr w:type="spellStart"/>
      <w:r w:rsidRPr="00FB0D94">
        <w:rPr>
          <w:rFonts w:ascii="Times New Roman" w:hAnsi="Times New Roman" w:cs="Times New Roman"/>
          <w:sz w:val="24"/>
          <w:szCs w:val="24"/>
        </w:rPr>
        <w:t>Chourasia</w:t>
      </w:r>
      <w:proofErr w:type="spellEnd"/>
      <w:r w:rsidRPr="00FB0D94">
        <w:rPr>
          <w:rFonts w:ascii="Times New Roman" w:hAnsi="Times New Roman" w:cs="Times New Roman"/>
          <w:sz w:val="24"/>
          <w:szCs w:val="24"/>
        </w:rPr>
        <w:t xml:space="preserve"> S., </w:t>
      </w:r>
      <w:proofErr w:type="spellStart"/>
      <w:r w:rsidRPr="00FB0D94">
        <w:rPr>
          <w:rFonts w:ascii="Times New Roman" w:hAnsi="Times New Roman" w:cs="Times New Roman"/>
          <w:sz w:val="24"/>
          <w:szCs w:val="24"/>
        </w:rPr>
        <w:t>Mittra</w:t>
      </w:r>
      <w:proofErr w:type="spellEnd"/>
      <w:r w:rsidRPr="00FB0D94">
        <w:rPr>
          <w:rFonts w:ascii="Times New Roman" w:hAnsi="Times New Roman" w:cs="Times New Roman"/>
          <w:sz w:val="24"/>
          <w:szCs w:val="24"/>
        </w:rPr>
        <w:t xml:space="preserve"> A. (2013), « State-of-the-Art in Stock </w:t>
      </w:r>
      <w:proofErr w:type="spellStart"/>
      <w:r w:rsidRPr="00FB0D94">
        <w:rPr>
          <w:rFonts w:ascii="Times New Roman" w:hAnsi="Times New Roman" w:cs="Times New Roman"/>
          <w:sz w:val="24"/>
          <w:szCs w:val="24"/>
        </w:rPr>
        <w:t>Prediction</w:t>
      </w:r>
      <w:proofErr w:type="spellEnd"/>
      <w:r w:rsidRPr="00FB0D94">
        <w:rPr>
          <w:rFonts w:ascii="Times New Roman" w:hAnsi="Times New Roman" w:cs="Times New Roman"/>
          <w:sz w:val="24"/>
          <w:szCs w:val="24"/>
        </w:rPr>
        <w:t xml:space="preserve"> Techniques », </w:t>
      </w:r>
      <w:r w:rsidRPr="00FB0D94">
        <w:rPr>
          <w:rFonts w:ascii="Times New Roman" w:hAnsi="Times New Roman" w:cs="Times New Roman"/>
          <w:i/>
          <w:sz w:val="24"/>
          <w:szCs w:val="24"/>
        </w:rPr>
        <w:t xml:space="preserve">International Journal of Advanced </w:t>
      </w:r>
      <w:proofErr w:type="spellStart"/>
      <w:r w:rsidRPr="00FB0D94">
        <w:rPr>
          <w:rFonts w:ascii="Times New Roman" w:hAnsi="Times New Roman" w:cs="Times New Roman"/>
          <w:i/>
          <w:sz w:val="24"/>
          <w:szCs w:val="24"/>
        </w:rPr>
        <w:t>Research</w:t>
      </w:r>
      <w:proofErr w:type="spellEnd"/>
      <w:r w:rsidRPr="00FB0D94">
        <w:rPr>
          <w:rFonts w:ascii="Times New Roman" w:hAnsi="Times New Roman" w:cs="Times New Roman"/>
          <w:i/>
          <w:sz w:val="24"/>
          <w:szCs w:val="24"/>
        </w:rPr>
        <w:t xml:space="preserve"> in </w:t>
      </w:r>
      <w:proofErr w:type="spellStart"/>
      <w:r w:rsidRPr="00FB0D94">
        <w:rPr>
          <w:rFonts w:ascii="Times New Roman" w:hAnsi="Times New Roman" w:cs="Times New Roman"/>
          <w:i/>
          <w:sz w:val="24"/>
          <w:szCs w:val="24"/>
        </w:rPr>
        <w:t>Electrical</w:t>
      </w:r>
      <w:proofErr w:type="spellEnd"/>
      <w:r w:rsidRPr="00FB0D94">
        <w:rPr>
          <w:rFonts w:ascii="Times New Roman" w:hAnsi="Times New Roman" w:cs="Times New Roman"/>
          <w:i/>
          <w:sz w:val="24"/>
          <w:szCs w:val="24"/>
        </w:rPr>
        <w:t>, Electronics and Instrumentation Engineering</w:t>
      </w:r>
      <w:r w:rsidRPr="00FB0D94">
        <w:rPr>
          <w:rFonts w:ascii="Times New Roman" w:hAnsi="Times New Roman" w:cs="Times New Roman"/>
          <w:sz w:val="24"/>
          <w:szCs w:val="24"/>
        </w:rPr>
        <w:t xml:space="preserve">, Vol.2, n°4, pp.1360-1366 </w:t>
      </w:r>
    </w:p>
    <w:p w14:paraId="7BF56D26" w14:textId="77777777" w:rsidR="00B436F1" w:rsidRPr="00FB0D94" w:rsidRDefault="00B436F1" w:rsidP="00FB0D94">
      <w:pPr>
        <w:ind w:left="709"/>
        <w:jc w:val="both"/>
        <w:rPr>
          <w:rFonts w:ascii="Times New Roman" w:hAnsi="Times New Roman" w:cs="Times New Roman"/>
          <w:sz w:val="24"/>
          <w:szCs w:val="24"/>
        </w:rPr>
      </w:pPr>
      <w:proofErr w:type="spellStart"/>
      <w:r w:rsidRPr="00FB0D94">
        <w:rPr>
          <w:rFonts w:ascii="Times New Roman" w:hAnsi="Times New Roman" w:cs="Times New Roman"/>
          <w:sz w:val="24"/>
          <w:szCs w:val="24"/>
        </w:rPr>
        <w:t>Aktas</w:t>
      </w:r>
      <w:proofErr w:type="spellEnd"/>
      <w:r w:rsidRPr="00FB0D94">
        <w:rPr>
          <w:rFonts w:ascii="Times New Roman" w:hAnsi="Times New Roman" w:cs="Times New Roman"/>
          <w:sz w:val="24"/>
          <w:szCs w:val="24"/>
        </w:rPr>
        <w:t xml:space="preserve"> N.</w:t>
      </w:r>
      <w:r w:rsidR="005577D8" w:rsidRPr="00FB0D94">
        <w:rPr>
          <w:rFonts w:ascii="Times New Roman" w:hAnsi="Times New Roman" w:cs="Times New Roman"/>
          <w:sz w:val="24"/>
          <w:szCs w:val="24"/>
        </w:rPr>
        <w:t xml:space="preserve"> (2</w:t>
      </w:r>
      <w:r w:rsidRPr="00FB0D94">
        <w:rPr>
          <w:rFonts w:ascii="Times New Roman" w:hAnsi="Times New Roman" w:cs="Times New Roman"/>
          <w:sz w:val="24"/>
          <w:szCs w:val="24"/>
        </w:rPr>
        <w:t>004</w:t>
      </w:r>
      <w:r w:rsidR="005577D8" w:rsidRPr="00FB0D94">
        <w:rPr>
          <w:rFonts w:ascii="Times New Roman" w:hAnsi="Times New Roman" w:cs="Times New Roman"/>
          <w:sz w:val="24"/>
          <w:szCs w:val="24"/>
        </w:rPr>
        <w:t>), « </w:t>
      </w:r>
      <w:r w:rsidR="00940D0F" w:rsidRPr="00FB0D94">
        <w:rPr>
          <w:rFonts w:ascii="Times New Roman" w:hAnsi="Times New Roman" w:cs="Times New Roman"/>
          <w:sz w:val="24"/>
          <w:szCs w:val="24"/>
        </w:rPr>
        <w:t>La</w:t>
      </w:r>
      <w:r w:rsidR="00493B43" w:rsidRPr="00FB0D94">
        <w:rPr>
          <w:rFonts w:ascii="Times New Roman" w:hAnsi="Times New Roman" w:cs="Times New Roman"/>
          <w:sz w:val="24"/>
          <w:szCs w:val="24"/>
        </w:rPr>
        <w:t xml:space="preserve"> </w:t>
      </w:r>
      <w:r w:rsidR="005577D8" w:rsidRPr="00FB0D94">
        <w:rPr>
          <w:rFonts w:ascii="Times New Roman" w:hAnsi="Times New Roman" w:cs="Times New Roman"/>
          <w:sz w:val="24"/>
          <w:szCs w:val="24"/>
        </w:rPr>
        <w:t xml:space="preserve">finance comportementale » : un état des lieux », </w:t>
      </w:r>
      <w:r w:rsidR="005577D8" w:rsidRPr="00FB0D94">
        <w:rPr>
          <w:rFonts w:ascii="Times New Roman" w:hAnsi="Times New Roman" w:cs="Times New Roman"/>
          <w:i/>
          <w:sz w:val="24"/>
          <w:szCs w:val="24"/>
        </w:rPr>
        <w:t>Reflets et perspectives de la vie économique</w:t>
      </w:r>
      <w:r w:rsidR="005577D8" w:rsidRPr="00FB0D94">
        <w:rPr>
          <w:rFonts w:ascii="Times New Roman" w:hAnsi="Times New Roman" w:cs="Times New Roman"/>
          <w:sz w:val="24"/>
          <w:szCs w:val="24"/>
        </w:rPr>
        <w:t>,</w:t>
      </w:r>
      <w:r w:rsidR="005577D8" w:rsidRPr="00FB0D94">
        <w:rPr>
          <w:rFonts w:ascii="Times New Roman" w:hAnsi="Times New Roman" w:cs="Times New Roman"/>
          <w:i/>
          <w:sz w:val="24"/>
          <w:szCs w:val="24"/>
        </w:rPr>
        <w:t xml:space="preserve"> </w:t>
      </w:r>
      <w:r w:rsidR="005577D8" w:rsidRPr="00FB0D94">
        <w:rPr>
          <w:rFonts w:ascii="Times New Roman" w:hAnsi="Times New Roman" w:cs="Times New Roman"/>
          <w:sz w:val="24"/>
          <w:szCs w:val="24"/>
        </w:rPr>
        <w:t>Vol.43, n°2, pp.19-33</w:t>
      </w:r>
    </w:p>
    <w:p w14:paraId="116938F4" w14:textId="7E9742FF" w:rsidR="004A6F0E" w:rsidRDefault="004A6F0E" w:rsidP="00FB0D94">
      <w:pPr>
        <w:ind w:left="708"/>
        <w:jc w:val="both"/>
        <w:rPr>
          <w:rFonts w:ascii="Times New Roman" w:hAnsi="Times New Roman" w:cs="Times New Roman"/>
          <w:bCs/>
          <w:sz w:val="24"/>
          <w:szCs w:val="24"/>
        </w:rPr>
      </w:pPr>
      <w:r w:rsidRPr="00FB0D94">
        <w:rPr>
          <w:rFonts w:ascii="Times New Roman" w:hAnsi="Times New Roman" w:cs="Times New Roman"/>
          <w:sz w:val="24"/>
          <w:szCs w:val="24"/>
        </w:rPr>
        <w:t>Albouy M. (2005)</w:t>
      </w:r>
      <w:r w:rsidR="00B13C10">
        <w:rPr>
          <w:rFonts w:ascii="Times New Roman" w:hAnsi="Times New Roman" w:cs="Times New Roman"/>
          <w:sz w:val="24"/>
          <w:szCs w:val="24"/>
        </w:rPr>
        <w:t xml:space="preserve">, </w:t>
      </w:r>
      <w:r w:rsidRPr="00FB0D94">
        <w:rPr>
          <w:rFonts w:ascii="Times New Roman" w:hAnsi="Times New Roman" w:cs="Times New Roman"/>
          <w:sz w:val="24"/>
          <w:szCs w:val="24"/>
        </w:rPr>
        <w:t>« </w:t>
      </w:r>
      <w:r w:rsidRPr="00FB0D94">
        <w:rPr>
          <w:rFonts w:ascii="Times New Roman" w:hAnsi="Times New Roman" w:cs="Times New Roman"/>
          <w:bCs/>
          <w:sz w:val="24"/>
          <w:szCs w:val="24"/>
        </w:rPr>
        <w:t xml:space="preserve">Peut-on encore croire à l'efficience des marchés financiers ? », </w:t>
      </w:r>
      <w:r w:rsidRPr="00FB0D94">
        <w:rPr>
          <w:rFonts w:ascii="Times New Roman" w:hAnsi="Times New Roman" w:cs="Times New Roman"/>
          <w:bCs/>
          <w:i/>
          <w:sz w:val="24"/>
          <w:szCs w:val="24"/>
        </w:rPr>
        <w:t>Revue Française de Gestion</w:t>
      </w:r>
      <w:r w:rsidRPr="00FB0D94">
        <w:rPr>
          <w:rFonts w:ascii="Times New Roman" w:hAnsi="Times New Roman" w:cs="Times New Roman"/>
          <w:bCs/>
          <w:sz w:val="24"/>
          <w:szCs w:val="24"/>
        </w:rPr>
        <w:t>, Vol.4, n°157, pp.169-188</w:t>
      </w:r>
    </w:p>
    <w:p w14:paraId="095792C3" w14:textId="1F4BA6BE" w:rsidR="00D26C5B" w:rsidRPr="00D26C5B" w:rsidRDefault="00D26C5B" w:rsidP="00FB0D94">
      <w:pPr>
        <w:ind w:left="708"/>
        <w:jc w:val="both"/>
        <w:rPr>
          <w:rFonts w:ascii="Times New Roman" w:hAnsi="Times New Roman" w:cs="Times New Roman"/>
          <w:bCs/>
          <w:sz w:val="24"/>
          <w:szCs w:val="24"/>
        </w:rPr>
      </w:pPr>
      <w:r w:rsidRPr="00D26C5B">
        <w:rPr>
          <w:rFonts w:ascii="Times New Roman" w:hAnsi="Times New Roman" w:cs="Times New Roman"/>
          <w:sz w:val="24"/>
          <w:szCs w:val="24"/>
        </w:rPr>
        <w:t>Anderson L., Holt C.</w:t>
      </w:r>
      <w:r w:rsidR="00B13C10">
        <w:rPr>
          <w:rFonts w:ascii="Times New Roman" w:hAnsi="Times New Roman" w:cs="Times New Roman"/>
          <w:sz w:val="24"/>
          <w:szCs w:val="24"/>
        </w:rPr>
        <w:t xml:space="preserve"> </w:t>
      </w:r>
      <w:r>
        <w:rPr>
          <w:rFonts w:ascii="Times New Roman" w:hAnsi="Times New Roman" w:cs="Times New Roman"/>
          <w:sz w:val="24"/>
          <w:szCs w:val="24"/>
        </w:rPr>
        <w:t>(</w:t>
      </w:r>
      <w:r w:rsidRPr="00D26C5B">
        <w:rPr>
          <w:rFonts w:ascii="Times New Roman" w:hAnsi="Times New Roman" w:cs="Times New Roman"/>
          <w:sz w:val="24"/>
          <w:szCs w:val="24"/>
        </w:rPr>
        <w:t>1997</w:t>
      </w:r>
      <w:r>
        <w:rPr>
          <w:rFonts w:ascii="Times New Roman" w:hAnsi="Times New Roman" w:cs="Times New Roman"/>
          <w:sz w:val="24"/>
          <w:szCs w:val="24"/>
        </w:rPr>
        <w:t>)</w:t>
      </w:r>
      <w:r w:rsidR="00B13C10">
        <w:rPr>
          <w:rFonts w:ascii="Times New Roman" w:hAnsi="Times New Roman" w:cs="Times New Roman"/>
          <w:sz w:val="24"/>
          <w:szCs w:val="24"/>
        </w:rPr>
        <w:t>, « </w:t>
      </w:r>
      <w:r w:rsidR="00B13C10" w:rsidRPr="00B13C10">
        <w:rPr>
          <w:rFonts w:ascii="Times New Roman" w:hAnsi="Times New Roman" w:cs="Times New Roman"/>
          <w:sz w:val="24"/>
          <w:szCs w:val="24"/>
        </w:rPr>
        <w:t xml:space="preserve">Information Cascades in the </w:t>
      </w:r>
      <w:proofErr w:type="spellStart"/>
      <w:r w:rsidR="00B13C10" w:rsidRPr="00B13C10">
        <w:rPr>
          <w:rFonts w:ascii="Times New Roman" w:hAnsi="Times New Roman" w:cs="Times New Roman"/>
          <w:sz w:val="24"/>
          <w:szCs w:val="24"/>
        </w:rPr>
        <w:t>Laboratory</w:t>
      </w:r>
      <w:proofErr w:type="spellEnd"/>
      <w:r w:rsidR="00B13C10">
        <w:rPr>
          <w:rFonts w:ascii="Times New Roman" w:hAnsi="Times New Roman" w:cs="Times New Roman"/>
          <w:sz w:val="24"/>
          <w:szCs w:val="24"/>
        </w:rPr>
        <w:t xml:space="preserve"> », </w:t>
      </w:r>
      <w:r w:rsidR="009F7003" w:rsidRPr="009F7003">
        <w:rPr>
          <w:rFonts w:ascii="Times New Roman" w:hAnsi="Times New Roman" w:cs="Times New Roman"/>
          <w:i/>
          <w:iCs/>
          <w:sz w:val="24"/>
          <w:szCs w:val="24"/>
        </w:rPr>
        <w:t xml:space="preserve">The American </w:t>
      </w:r>
      <w:proofErr w:type="spellStart"/>
      <w:r w:rsidR="009F7003" w:rsidRPr="009F7003">
        <w:rPr>
          <w:rFonts w:ascii="Times New Roman" w:hAnsi="Times New Roman" w:cs="Times New Roman"/>
          <w:i/>
          <w:iCs/>
          <w:sz w:val="24"/>
          <w:szCs w:val="24"/>
        </w:rPr>
        <w:t>Economic</w:t>
      </w:r>
      <w:proofErr w:type="spellEnd"/>
      <w:r w:rsidR="009F7003" w:rsidRPr="009F7003">
        <w:rPr>
          <w:rFonts w:ascii="Times New Roman" w:hAnsi="Times New Roman" w:cs="Times New Roman"/>
          <w:i/>
          <w:iCs/>
          <w:sz w:val="24"/>
          <w:szCs w:val="24"/>
        </w:rPr>
        <w:t xml:space="preserve"> </w:t>
      </w:r>
      <w:proofErr w:type="spellStart"/>
      <w:r w:rsidR="009F7003" w:rsidRPr="009F7003">
        <w:rPr>
          <w:rFonts w:ascii="Times New Roman" w:hAnsi="Times New Roman" w:cs="Times New Roman"/>
          <w:i/>
          <w:iCs/>
          <w:sz w:val="24"/>
          <w:szCs w:val="24"/>
        </w:rPr>
        <w:t>Review</w:t>
      </w:r>
      <w:proofErr w:type="spellEnd"/>
      <w:r w:rsidR="009F7003" w:rsidRPr="009F7003">
        <w:rPr>
          <w:rFonts w:ascii="Times New Roman" w:hAnsi="Times New Roman" w:cs="Times New Roman"/>
          <w:sz w:val="24"/>
          <w:szCs w:val="24"/>
        </w:rPr>
        <w:t xml:space="preserve">, Vol. 87, </w:t>
      </w:r>
      <w:r w:rsidR="009F7003">
        <w:rPr>
          <w:rFonts w:ascii="Times New Roman" w:hAnsi="Times New Roman" w:cs="Times New Roman"/>
          <w:sz w:val="24"/>
          <w:szCs w:val="24"/>
        </w:rPr>
        <w:t>n°</w:t>
      </w:r>
      <w:r w:rsidR="009F7003" w:rsidRPr="009F7003">
        <w:rPr>
          <w:rFonts w:ascii="Times New Roman" w:hAnsi="Times New Roman" w:cs="Times New Roman"/>
          <w:sz w:val="24"/>
          <w:szCs w:val="24"/>
        </w:rPr>
        <w:t>5, pp. 847-862.</w:t>
      </w:r>
    </w:p>
    <w:p w14:paraId="0CBA9CB8" w14:textId="70D35088" w:rsidR="00C73C2C" w:rsidRDefault="00C73C2C" w:rsidP="00FB0D94">
      <w:pPr>
        <w:ind w:left="708"/>
        <w:jc w:val="both"/>
        <w:rPr>
          <w:rFonts w:ascii="Times New Roman" w:hAnsi="Times New Roman" w:cs="Times New Roman"/>
          <w:sz w:val="24"/>
          <w:szCs w:val="24"/>
        </w:rPr>
      </w:pPr>
      <w:proofErr w:type="spellStart"/>
      <w:r w:rsidRPr="00FB0D94">
        <w:rPr>
          <w:rFonts w:ascii="Times New Roman" w:hAnsi="Times New Roman" w:cs="Times New Roman"/>
          <w:sz w:val="24"/>
          <w:szCs w:val="24"/>
        </w:rPr>
        <w:t>Ballings</w:t>
      </w:r>
      <w:proofErr w:type="spellEnd"/>
      <w:r w:rsidRPr="00FB0D94">
        <w:rPr>
          <w:rFonts w:ascii="Times New Roman" w:hAnsi="Times New Roman" w:cs="Times New Roman"/>
          <w:sz w:val="24"/>
          <w:szCs w:val="24"/>
        </w:rPr>
        <w:t xml:space="preserve"> M., Van den </w:t>
      </w:r>
      <w:proofErr w:type="spellStart"/>
      <w:r w:rsidRPr="00FB0D94">
        <w:rPr>
          <w:rFonts w:ascii="Times New Roman" w:hAnsi="Times New Roman" w:cs="Times New Roman"/>
          <w:sz w:val="24"/>
          <w:szCs w:val="24"/>
        </w:rPr>
        <w:t>Poel</w:t>
      </w:r>
      <w:proofErr w:type="spellEnd"/>
      <w:r w:rsidRPr="00FB0D94">
        <w:rPr>
          <w:rFonts w:ascii="Times New Roman" w:hAnsi="Times New Roman" w:cs="Times New Roman"/>
          <w:sz w:val="24"/>
          <w:szCs w:val="24"/>
        </w:rPr>
        <w:t xml:space="preserve"> D., </w:t>
      </w:r>
      <w:proofErr w:type="spellStart"/>
      <w:r w:rsidRPr="00FB0D94">
        <w:rPr>
          <w:rFonts w:ascii="Times New Roman" w:hAnsi="Times New Roman" w:cs="Times New Roman"/>
          <w:sz w:val="24"/>
          <w:szCs w:val="24"/>
        </w:rPr>
        <w:t>Hespeels</w:t>
      </w:r>
      <w:proofErr w:type="spellEnd"/>
      <w:r w:rsidRPr="00FB0D94">
        <w:rPr>
          <w:rFonts w:ascii="Times New Roman" w:hAnsi="Times New Roman" w:cs="Times New Roman"/>
          <w:sz w:val="24"/>
          <w:szCs w:val="24"/>
        </w:rPr>
        <w:t xml:space="preserve"> N., </w:t>
      </w:r>
      <w:proofErr w:type="spellStart"/>
      <w:r w:rsidRPr="00FB0D94">
        <w:rPr>
          <w:rFonts w:ascii="Times New Roman" w:hAnsi="Times New Roman" w:cs="Times New Roman"/>
          <w:sz w:val="24"/>
          <w:szCs w:val="24"/>
        </w:rPr>
        <w:t>Gry</w:t>
      </w:r>
      <w:proofErr w:type="spellEnd"/>
      <w:r w:rsidRPr="00FB0D94">
        <w:rPr>
          <w:rFonts w:ascii="Times New Roman" w:hAnsi="Times New Roman" w:cs="Times New Roman"/>
          <w:sz w:val="24"/>
          <w:szCs w:val="24"/>
        </w:rPr>
        <w:t xml:space="preserve"> R., (2015), « </w:t>
      </w:r>
      <w:proofErr w:type="spellStart"/>
      <w:r w:rsidRPr="00FB0D94">
        <w:rPr>
          <w:rFonts w:ascii="Times New Roman" w:hAnsi="Times New Roman" w:cs="Times New Roman"/>
          <w:sz w:val="24"/>
          <w:szCs w:val="24"/>
        </w:rPr>
        <w:t>Evaluating</w:t>
      </w:r>
      <w:proofErr w:type="spellEnd"/>
      <w:r w:rsidRPr="00FB0D94">
        <w:rPr>
          <w:rFonts w:ascii="Times New Roman" w:hAnsi="Times New Roman" w:cs="Times New Roman"/>
          <w:sz w:val="24"/>
          <w:szCs w:val="24"/>
        </w:rPr>
        <w:t xml:space="preserve"> multiple </w:t>
      </w:r>
      <w:proofErr w:type="spellStart"/>
      <w:r w:rsidRPr="00FB0D94">
        <w:rPr>
          <w:rFonts w:ascii="Times New Roman" w:hAnsi="Times New Roman" w:cs="Times New Roman"/>
          <w:sz w:val="24"/>
          <w:szCs w:val="24"/>
        </w:rPr>
        <w:t>classifiers</w:t>
      </w:r>
      <w:proofErr w:type="spellEnd"/>
      <w:r w:rsidRPr="00FB0D94">
        <w:rPr>
          <w:rFonts w:ascii="Times New Roman" w:hAnsi="Times New Roman" w:cs="Times New Roman"/>
          <w:sz w:val="24"/>
          <w:szCs w:val="24"/>
        </w:rPr>
        <w:t xml:space="preserve"> for stock </w:t>
      </w:r>
      <w:proofErr w:type="spellStart"/>
      <w:r w:rsidRPr="00FB0D94">
        <w:rPr>
          <w:rFonts w:ascii="Times New Roman" w:hAnsi="Times New Roman" w:cs="Times New Roman"/>
          <w:sz w:val="24"/>
          <w:szCs w:val="24"/>
        </w:rPr>
        <w:t>price</w:t>
      </w:r>
      <w:proofErr w:type="spellEnd"/>
      <w:r w:rsidRPr="00FB0D94">
        <w:rPr>
          <w:rFonts w:ascii="Times New Roman" w:hAnsi="Times New Roman" w:cs="Times New Roman"/>
          <w:sz w:val="24"/>
          <w:szCs w:val="24"/>
        </w:rPr>
        <w:t xml:space="preserve"> direction </w:t>
      </w:r>
      <w:proofErr w:type="spellStart"/>
      <w:r w:rsidRPr="00FB0D94">
        <w:rPr>
          <w:rFonts w:ascii="Times New Roman" w:hAnsi="Times New Roman" w:cs="Times New Roman"/>
          <w:sz w:val="24"/>
          <w:szCs w:val="24"/>
        </w:rPr>
        <w:t>prediction</w:t>
      </w:r>
      <w:proofErr w:type="spellEnd"/>
      <w:r w:rsidRPr="00FB0D94">
        <w:rPr>
          <w:rFonts w:ascii="Times New Roman" w:hAnsi="Times New Roman" w:cs="Times New Roman"/>
          <w:sz w:val="24"/>
          <w:szCs w:val="24"/>
        </w:rPr>
        <w:t xml:space="preserve"> », </w:t>
      </w:r>
      <w:r w:rsidRPr="00FB0D94">
        <w:rPr>
          <w:rFonts w:ascii="Times New Roman" w:hAnsi="Times New Roman" w:cs="Times New Roman"/>
          <w:i/>
          <w:sz w:val="24"/>
          <w:szCs w:val="24"/>
        </w:rPr>
        <w:t xml:space="preserve">Expert </w:t>
      </w:r>
      <w:proofErr w:type="spellStart"/>
      <w:r w:rsidRPr="00FB0D94">
        <w:rPr>
          <w:rFonts w:ascii="Times New Roman" w:hAnsi="Times New Roman" w:cs="Times New Roman"/>
          <w:i/>
          <w:sz w:val="24"/>
          <w:szCs w:val="24"/>
        </w:rPr>
        <w:t>Systems</w:t>
      </w:r>
      <w:proofErr w:type="spellEnd"/>
      <w:r w:rsidRPr="00FB0D94">
        <w:rPr>
          <w:rFonts w:ascii="Times New Roman" w:hAnsi="Times New Roman" w:cs="Times New Roman"/>
          <w:i/>
          <w:sz w:val="24"/>
          <w:szCs w:val="24"/>
        </w:rPr>
        <w:t xml:space="preserve"> </w:t>
      </w:r>
      <w:proofErr w:type="spellStart"/>
      <w:r w:rsidRPr="00FB0D94">
        <w:rPr>
          <w:rFonts w:ascii="Times New Roman" w:hAnsi="Times New Roman" w:cs="Times New Roman"/>
          <w:i/>
          <w:sz w:val="24"/>
          <w:szCs w:val="24"/>
        </w:rPr>
        <w:t>with</w:t>
      </w:r>
      <w:proofErr w:type="spellEnd"/>
      <w:r w:rsidRPr="00FB0D94">
        <w:rPr>
          <w:rFonts w:ascii="Times New Roman" w:hAnsi="Times New Roman" w:cs="Times New Roman"/>
          <w:i/>
          <w:sz w:val="24"/>
          <w:szCs w:val="24"/>
        </w:rPr>
        <w:t xml:space="preserve"> Applications</w:t>
      </w:r>
      <w:r w:rsidRPr="00FB0D94">
        <w:rPr>
          <w:rFonts w:ascii="Times New Roman" w:hAnsi="Times New Roman" w:cs="Times New Roman"/>
          <w:sz w:val="24"/>
          <w:szCs w:val="24"/>
        </w:rPr>
        <w:t>, Vol.42, n°20, pp.7046-7056</w:t>
      </w:r>
    </w:p>
    <w:p w14:paraId="75C56B89" w14:textId="763A6A1A" w:rsidR="00667FA1" w:rsidRPr="00FB0D94" w:rsidRDefault="00667FA1" w:rsidP="00FB0D94">
      <w:pPr>
        <w:ind w:left="708"/>
        <w:jc w:val="both"/>
        <w:rPr>
          <w:rFonts w:ascii="Times New Roman" w:hAnsi="Times New Roman" w:cs="Times New Roman"/>
          <w:sz w:val="24"/>
          <w:szCs w:val="24"/>
        </w:rPr>
      </w:pPr>
      <w:proofErr w:type="spellStart"/>
      <w:r w:rsidRPr="00A72FF2">
        <w:rPr>
          <w:rFonts w:ascii="Times New Roman" w:hAnsi="Times New Roman" w:cs="Times New Roman"/>
          <w:sz w:val="24"/>
          <w:szCs w:val="24"/>
        </w:rPr>
        <w:t>Bannier</w:t>
      </w:r>
      <w:proofErr w:type="spellEnd"/>
      <w:r>
        <w:rPr>
          <w:rFonts w:ascii="Times New Roman" w:hAnsi="Times New Roman" w:cs="Times New Roman"/>
          <w:sz w:val="24"/>
          <w:szCs w:val="24"/>
        </w:rPr>
        <w:t xml:space="preserve"> C., </w:t>
      </w:r>
      <w:r w:rsidRPr="00A72FF2">
        <w:rPr>
          <w:rFonts w:ascii="Times New Roman" w:hAnsi="Times New Roman" w:cs="Times New Roman"/>
          <w:sz w:val="24"/>
          <w:szCs w:val="24"/>
        </w:rPr>
        <w:t>Schwarz</w:t>
      </w:r>
      <w:r>
        <w:rPr>
          <w:rFonts w:ascii="Times New Roman" w:hAnsi="Times New Roman" w:cs="Times New Roman"/>
          <w:sz w:val="24"/>
          <w:szCs w:val="24"/>
        </w:rPr>
        <w:t xml:space="preserve"> M. (2018), « </w:t>
      </w:r>
      <w:proofErr w:type="spellStart"/>
      <w:r w:rsidR="00BC6A3C" w:rsidRPr="00BC6A3C">
        <w:rPr>
          <w:rFonts w:ascii="Times New Roman" w:hAnsi="Times New Roman" w:cs="Times New Roman"/>
          <w:sz w:val="24"/>
          <w:szCs w:val="24"/>
        </w:rPr>
        <w:t>Gender</w:t>
      </w:r>
      <w:proofErr w:type="spellEnd"/>
      <w:r w:rsidR="00BC6A3C" w:rsidRPr="00BC6A3C">
        <w:rPr>
          <w:rFonts w:ascii="Times New Roman" w:hAnsi="Times New Roman" w:cs="Times New Roman"/>
          <w:sz w:val="24"/>
          <w:szCs w:val="24"/>
        </w:rPr>
        <w:t xml:space="preserve">- and </w:t>
      </w:r>
      <w:proofErr w:type="spellStart"/>
      <w:r w:rsidR="00BC6A3C" w:rsidRPr="00BC6A3C">
        <w:rPr>
          <w:rFonts w:ascii="Times New Roman" w:hAnsi="Times New Roman" w:cs="Times New Roman"/>
          <w:sz w:val="24"/>
          <w:szCs w:val="24"/>
        </w:rPr>
        <w:t>education-related</w:t>
      </w:r>
      <w:proofErr w:type="spellEnd"/>
      <w:r w:rsidR="00BC6A3C" w:rsidRPr="00BC6A3C">
        <w:rPr>
          <w:rFonts w:ascii="Times New Roman" w:hAnsi="Times New Roman" w:cs="Times New Roman"/>
          <w:sz w:val="24"/>
          <w:szCs w:val="24"/>
        </w:rPr>
        <w:t xml:space="preserve"> </w:t>
      </w:r>
      <w:proofErr w:type="spellStart"/>
      <w:r w:rsidR="00BC6A3C" w:rsidRPr="00BC6A3C">
        <w:rPr>
          <w:rFonts w:ascii="Times New Roman" w:hAnsi="Times New Roman" w:cs="Times New Roman"/>
          <w:sz w:val="24"/>
          <w:szCs w:val="24"/>
        </w:rPr>
        <w:t>effects</w:t>
      </w:r>
      <w:proofErr w:type="spellEnd"/>
      <w:r w:rsidR="00BC6A3C" w:rsidRPr="00BC6A3C">
        <w:rPr>
          <w:rFonts w:ascii="Times New Roman" w:hAnsi="Times New Roman" w:cs="Times New Roman"/>
          <w:sz w:val="24"/>
          <w:szCs w:val="24"/>
        </w:rPr>
        <w:t xml:space="preserve"> of </w:t>
      </w:r>
      <w:proofErr w:type="spellStart"/>
      <w:r w:rsidR="00BC6A3C" w:rsidRPr="00BC6A3C">
        <w:rPr>
          <w:rFonts w:ascii="Times New Roman" w:hAnsi="Times New Roman" w:cs="Times New Roman"/>
          <w:sz w:val="24"/>
          <w:szCs w:val="24"/>
        </w:rPr>
        <w:t>financial</w:t>
      </w:r>
      <w:proofErr w:type="spellEnd"/>
      <w:r w:rsidR="00BC6A3C" w:rsidRPr="00BC6A3C">
        <w:rPr>
          <w:rFonts w:ascii="Times New Roman" w:hAnsi="Times New Roman" w:cs="Times New Roman"/>
          <w:sz w:val="24"/>
          <w:szCs w:val="24"/>
        </w:rPr>
        <w:t xml:space="preserve"> </w:t>
      </w:r>
      <w:proofErr w:type="spellStart"/>
      <w:r w:rsidR="00BC6A3C" w:rsidRPr="00BC6A3C">
        <w:rPr>
          <w:rFonts w:ascii="Times New Roman" w:hAnsi="Times New Roman" w:cs="Times New Roman"/>
          <w:sz w:val="24"/>
          <w:szCs w:val="24"/>
        </w:rPr>
        <w:t>literacy</w:t>
      </w:r>
      <w:proofErr w:type="spellEnd"/>
      <w:r w:rsidR="00BC6A3C" w:rsidRPr="00BC6A3C">
        <w:rPr>
          <w:rFonts w:ascii="Times New Roman" w:hAnsi="Times New Roman" w:cs="Times New Roman"/>
          <w:sz w:val="24"/>
          <w:szCs w:val="24"/>
        </w:rPr>
        <w:t xml:space="preserve"> and confidence on </w:t>
      </w:r>
      <w:proofErr w:type="spellStart"/>
      <w:r w:rsidR="00BC6A3C" w:rsidRPr="00BC6A3C">
        <w:rPr>
          <w:rFonts w:ascii="Times New Roman" w:hAnsi="Times New Roman" w:cs="Times New Roman"/>
          <w:sz w:val="24"/>
          <w:szCs w:val="24"/>
        </w:rPr>
        <w:t>financial</w:t>
      </w:r>
      <w:proofErr w:type="spellEnd"/>
      <w:r w:rsidR="00BC6A3C" w:rsidRPr="00BC6A3C">
        <w:rPr>
          <w:rFonts w:ascii="Times New Roman" w:hAnsi="Times New Roman" w:cs="Times New Roman"/>
          <w:sz w:val="24"/>
          <w:szCs w:val="24"/>
        </w:rPr>
        <w:t xml:space="preserve"> </w:t>
      </w:r>
      <w:proofErr w:type="spellStart"/>
      <w:r w:rsidR="00BC6A3C" w:rsidRPr="00BC6A3C">
        <w:rPr>
          <w:rFonts w:ascii="Times New Roman" w:hAnsi="Times New Roman" w:cs="Times New Roman"/>
          <w:sz w:val="24"/>
          <w:szCs w:val="24"/>
        </w:rPr>
        <w:t>wealth</w:t>
      </w:r>
      <w:proofErr w:type="spellEnd"/>
      <w:r w:rsidR="00BC6A3C">
        <w:rPr>
          <w:rFonts w:ascii="Times New Roman" w:hAnsi="Times New Roman" w:cs="Times New Roman"/>
          <w:sz w:val="24"/>
          <w:szCs w:val="24"/>
        </w:rPr>
        <w:t xml:space="preserve"> », </w:t>
      </w:r>
      <w:r w:rsidR="0071589E" w:rsidRPr="0071589E">
        <w:rPr>
          <w:rFonts w:ascii="Times New Roman" w:hAnsi="Times New Roman" w:cs="Times New Roman"/>
          <w:i/>
          <w:iCs/>
          <w:sz w:val="24"/>
          <w:szCs w:val="24"/>
        </w:rPr>
        <w:t xml:space="preserve">Journal of </w:t>
      </w:r>
      <w:proofErr w:type="spellStart"/>
      <w:r w:rsidR="0071589E" w:rsidRPr="0071589E">
        <w:rPr>
          <w:rFonts w:ascii="Times New Roman" w:hAnsi="Times New Roman" w:cs="Times New Roman"/>
          <w:i/>
          <w:iCs/>
          <w:sz w:val="24"/>
          <w:szCs w:val="24"/>
        </w:rPr>
        <w:t>Economic</w:t>
      </w:r>
      <w:proofErr w:type="spellEnd"/>
      <w:r w:rsidR="0071589E" w:rsidRPr="0071589E">
        <w:rPr>
          <w:rFonts w:ascii="Times New Roman" w:hAnsi="Times New Roman" w:cs="Times New Roman"/>
          <w:i/>
          <w:iCs/>
          <w:sz w:val="24"/>
          <w:szCs w:val="24"/>
        </w:rPr>
        <w:t xml:space="preserve"> Psychology</w:t>
      </w:r>
      <w:r w:rsidR="0071589E">
        <w:rPr>
          <w:rFonts w:ascii="Times New Roman" w:hAnsi="Times New Roman" w:cs="Times New Roman"/>
          <w:sz w:val="24"/>
          <w:szCs w:val="24"/>
        </w:rPr>
        <w:t>, Vol.67, pp.</w:t>
      </w:r>
      <w:r w:rsidR="00360133">
        <w:rPr>
          <w:rFonts w:ascii="Times New Roman" w:hAnsi="Times New Roman" w:cs="Times New Roman"/>
          <w:sz w:val="24"/>
          <w:szCs w:val="24"/>
        </w:rPr>
        <w:t>66-86</w:t>
      </w:r>
    </w:p>
    <w:p w14:paraId="6E1AFB88" w14:textId="769CB3A0" w:rsidR="00877159" w:rsidRDefault="00877159" w:rsidP="00FB0D94">
      <w:pPr>
        <w:ind w:left="708"/>
        <w:jc w:val="both"/>
        <w:rPr>
          <w:rFonts w:ascii="Times New Roman" w:hAnsi="Times New Roman" w:cs="Times New Roman"/>
          <w:sz w:val="24"/>
          <w:szCs w:val="24"/>
        </w:rPr>
      </w:pPr>
      <w:proofErr w:type="spellStart"/>
      <w:r w:rsidRPr="00FB0D94">
        <w:rPr>
          <w:rFonts w:ascii="Times New Roman" w:hAnsi="Times New Roman" w:cs="Times New Roman"/>
          <w:sz w:val="24"/>
          <w:szCs w:val="24"/>
        </w:rPr>
        <w:t>Blankenspoor</w:t>
      </w:r>
      <w:proofErr w:type="spellEnd"/>
      <w:r w:rsidRPr="00FB0D94">
        <w:rPr>
          <w:rFonts w:ascii="Times New Roman" w:hAnsi="Times New Roman" w:cs="Times New Roman"/>
          <w:sz w:val="24"/>
          <w:szCs w:val="24"/>
        </w:rPr>
        <w:t xml:space="preserve"> E., </w:t>
      </w:r>
      <w:proofErr w:type="spellStart"/>
      <w:r w:rsidRPr="00FB0D94">
        <w:rPr>
          <w:rFonts w:ascii="Times New Roman" w:hAnsi="Times New Roman" w:cs="Times New Roman"/>
          <w:sz w:val="24"/>
          <w:szCs w:val="24"/>
        </w:rPr>
        <w:t>Dehaan</w:t>
      </w:r>
      <w:proofErr w:type="spellEnd"/>
      <w:r w:rsidRPr="00FB0D94">
        <w:rPr>
          <w:rFonts w:ascii="Times New Roman" w:hAnsi="Times New Roman" w:cs="Times New Roman"/>
          <w:sz w:val="24"/>
          <w:szCs w:val="24"/>
        </w:rPr>
        <w:t xml:space="preserve"> E., </w:t>
      </w:r>
      <w:proofErr w:type="spellStart"/>
      <w:r w:rsidRPr="00FB0D94">
        <w:rPr>
          <w:rFonts w:ascii="Times New Roman" w:hAnsi="Times New Roman" w:cs="Times New Roman"/>
          <w:sz w:val="24"/>
          <w:szCs w:val="24"/>
        </w:rPr>
        <w:t>Wertz</w:t>
      </w:r>
      <w:proofErr w:type="spellEnd"/>
      <w:r w:rsidRPr="00FB0D94">
        <w:rPr>
          <w:rFonts w:ascii="Times New Roman" w:hAnsi="Times New Roman" w:cs="Times New Roman"/>
          <w:sz w:val="24"/>
          <w:szCs w:val="24"/>
        </w:rPr>
        <w:t xml:space="preserve"> J., Zhu C. (2019), « </w:t>
      </w:r>
      <w:proofErr w:type="spellStart"/>
      <w:r w:rsidRPr="00FB0D94">
        <w:rPr>
          <w:rFonts w:ascii="Times New Roman" w:hAnsi="Times New Roman" w:cs="Times New Roman"/>
          <w:sz w:val="24"/>
          <w:szCs w:val="24"/>
        </w:rPr>
        <w:t>Why</w:t>
      </w:r>
      <w:proofErr w:type="spellEnd"/>
      <w:r w:rsidRPr="00FB0D94">
        <w:rPr>
          <w:rFonts w:ascii="Times New Roman" w:hAnsi="Times New Roman" w:cs="Times New Roman"/>
          <w:sz w:val="24"/>
          <w:szCs w:val="24"/>
        </w:rPr>
        <w:t xml:space="preserve"> Do </w:t>
      </w:r>
      <w:proofErr w:type="spellStart"/>
      <w:r w:rsidRPr="00FB0D94">
        <w:rPr>
          <w:rFonts w:ascii="Times New Roman" w:hAnsi="Times New Roman" w:cs="Times New Roman"/>
          <w:sz w:val="24"/>
          <w:szCs w:val="24"/>
        </w:rPr>
        <w:t>Individual</w:t>
      </w:r>
      <w:proofErr w:type="spellEnd"/>
      <w:r w:rsidRPr="00FB0D94">
        <w:rPr>
          <w:rFonts w:ascii="Times New Roman" w:hAnsi="Times New Roman" w:cs="Times New Roman"/>
          <w:sz w:val="24"/>
          <w:szCs w:val="24"/>
        </w:rPr>
        <w:t xml:space="preserve"> </w:t>
      </w:r>
      <w:proofErr w:type="spellStart"/>
      <w:r w:rsidRPr="00FB0D94">
        <w:rPr>
          <w:rFonts w:ascii="Times New Roman" w:hAnsi="Times New Roman" w:cs="Times New Roman"/>
          <w:sz w:val="24"/>
          <w:szCs w:val="24"/>
        </w:rPr>
        <w:t>Investors</w:t>
      </w:r>
      <w:proofErr w:type="spellEnd"/>
      <w:r w:rsidRPr="00FB0D94">
        <w:rPr>
          <w:rFonts w:ascii="Times New Roman" w:hAnsi="Times New Roman" w:cs="Times New Roman"/>
          <w:sz w:val="24"/>
          <w:szCs w:val="24"/>
        </w:rPr>
        <w:t xml:space="preserve"> </w:t>
      </w:r>
      <w:proofErr w:type="spellStart"/>
      <w:r w:rsidRPr="00FB0D94">
        <w:rPr>
          <w:rFonts w:ascii="Times New Roman" w:hAnsi="Times New Roman" w:cs="Times New Roman"/>
          <w:sz w:val="24"/>
          <w:szCs w:val="24"/>
        </w:rPr>
        <w:t>Disregard</w:t>
      </w:r>
      <w:proofErr w:type="spellEnd"/>
      <w:r w:rsidRPr="00FB0D94">
        <w:rPr>
          <w:rFonts w:ascii="Times New Roman" w:hAnsi="Times New Roman" w:cs="Times New Roman"/>
          <w:sz w:val="24"/>
          <w:szCs w:val="24"/>
        </w:rPr>
        <w:t xml:space="preserve"> </w:t>
      </w:r>
      <w:proofErr w:type="spellStart"/>
      <w:r w:rsidRPr="00FB0D94">
        <w:rPr>
          <w:rFonts w:ascii="Times New Roman" w:hAnsi="Times New Roman" w:cs="Times New Roman"/>
          <w:sz w:val="24"/>
          <w:szCs w:val="24"/>
        </w:rPr>
        <w:t>Accounting</w:t>
      </w:r>
      <w:proofErr w:type="spellEnd"/>
      <w:r w:rsidRPr="00FB0D94">
        <w:rPr>
          <w:rFonts w:ascii="Times New Roman" w:hAnsi="Times New Roman" w:cs="Times New Roman"/>
          <w:sz w:val="24"/>
          <w:szCs w:val="24"/>
        </w:rPr>
        <w:t xml:space="preserve"> Information</w:t>
      </w:r>
      <w:r w:rsidR="00A050A5">
        <w:rPr>
          <w:rFonts w:ascii="Times New Roman" w:hAnsi="Times New Roman" w:cs="Times New Roman"/>
          <w:sz w:val="24"/>
          <w:szCs w:val="24"/>
        </w:rPr>
        <w:t xml:space="preserve"> </w:t>
      </w:r>
      <w:r w:rsidRPr="00FB0D94">
        <w:rPr>
          <w:rFonts w:ascii="Times New Roman" w:hAnsi="Times New Roman" w:cs="Times New Roman"/>
          <w:sz w:val="24"/>
          <w:szCs w:val="24"/>
        </w:rPr>
        <w:t xml:space="preserve">? The </w:t>
      </w:r>
      <w:proofErr w:type="spellStart"/>
      <w:r w:rsidRPr="00FB0D94">
        <w:rPr>
          <w:rFonts w:ascii="Times New Roman" w:hAnsi="Times New Roman" w:cs="Times New Roman"/>
          <w:sz w:val="24"/>
          <w:szCs w:val="24"/>
        </w:rPr>
        <w:t>Roles</w:t>
      </w:r>
      <w:proofErr w:type="spellEnd"/>
      <w:r w:rsidRPr="00FB0D94">
        <w:rPr>
          <w:rFonts w:ascii="Times New Roman" w:hAnsi="Times New Roman" w:cs="Times New Roman"/>
          <w:sz w:val="24"/>
          <w:szCs w:val="24"/>
        </w:rPr>
        <w:t xml:space="preserve"> of Information </w:t>
      </w:r>
      <w:proofErr w:type="spellStart"/>
      <w:r w:rsidRPr="00FB0D94">
        <w:rPr>
          <w:rFonts w:ascii="Times New Roman" w:hAnsi="Times New Roman" w:cs="Times New Roman"/>
          <w:sz w:val="24"/>
          <w:szCs w:val="24"/>
        </w:rPr>
        <w:t>Awareness</w:t>
      </w:r>
      <w:proofErr w:type="spellEnd"/>
      <w:r w:rsidRPr="00FB0D94">
        <w:rPr>
          <w:rFonts w:ascii="Times New Roman" w:hAnsi="Times New Roman" w:cs="Times New Roman"/>
          <w:sz w:val="24"/>
          <w:szCs w:val="24"/>
        </w:rPr>
        <w:t xml:space="preserve"> and Acquisition </w:t>
      </w:r>
      <w:proofErr w:type="spellStart"/>
      <w:r w:rsidRPr="00FB0D94">
        <w:rPr>
          <w:rFonts w:ascii="Times New Roman" w:hAnsi="Times New Roman" w:cs="Times New Roman"/>
          <w:sz w:val="24"/>
          <w:szCs w:val="24"/>
        </w:rPr>
        <w:t>Costs</w:t>
      </w:r>
      <w:proofErr w:type="spellEnd"/>
      <w:r w:rsidRPr="00FB0D94">
        <w:rPr>
          <w:rFonts w:ascii="Times New Roman" w:hAnsi="Times New Roman" w:cs="Times New Roman"/>
          <w:sz w:val="24"/>
          <w:szCs w:val="24"/>
        </w:rPr>
        <w:t xml:space="preserve"> », </w:t>
      </w:r>
      <w:r w:rsidRPr="00FB0D94">
        <w:rPr>
          <w:rFonts w:ascii="Times New Roman" w:hAnsi="Times New Roman" w:cs="Times New Roman"/>
          <w:i/>
          <w:sz w:val="24"/>
          <w:szCs w:val="24"/>
        </w:rPr>
        <w:t xml:space="preserve">Journal of </w:t>
      </w:r>
      <w:proofErr w:type="spellStart"/>
      <w:r w:rsidRPr="00FB0D94">
        <w:rPr>
          <w:rFonts w:ascii="Times New Roman" w:hAnsi="Times New Roman" w:cs="Times New Roman"/>
          <w:i/>
          <w:sz w:val="24"/>
          <w:szCs w:val="24"/>
        </w:rPr>
        <w:t>Accounting</w:t>
      </w:r>
      <w:proofErr w:type="spellEnd"/>
      <w:r w:rsidRPr="00FB0D94">
        <w:rPr>
          <w:rFonts w:ascii="Times New Roman" w:hAnsi="Times New Roman" w:cs="Times New Roman"/>
          <w:i/>
          <w:sz w:val="24"/>
          <w:szCs w:val="24"/>
        </w:rPr>
        <w:t xml:space="preserve"> </w:t>
      </w:r>
      <w:proofErr w:type="spellStart"/>
      <w:r w:rsidRPr="00FB0D94">
        <w:rPr>
          <w:rFonts w:ascii="Times New Roman" w:hAnsi="Times New Roman" w:cs="Times New Roman"/>
          <w:i/>
          <w:sz w:val="24"/>
          <w:szCs w:val="24"/>
        </w:rPr>
        <w:t>Research</w:t>
      </w:r>
      <w:proofErr w:type="spellEnd"/>
      <w:r w:rsidRPr="00FB0D94">
        <w:rPr>
          <w:rFonts w:ascii="Times New Roman" w:hAnsi="Times New Roman" w:cs="Times New Roman"/>
          <w:sz w:val="24"/>
          <w:szCs w:val="24"/>
        </w:rPr>
        <w:t>, Vol.57, n°1, pp.53-84</w:t>
      </w:r>
    </w:p>
    <w:p w14:paraId="74A3F76F" w14:textId="052A95C5" w:rsidR="0053107F" w:rsidRPr="004C7112" w:rsidRDefault="0053107F" w:rsidP="00FB0D94">
      <w:pPr>
        <w:ind w:left="708"/>
        <w:jc w:val="both"/>
        <w:rPr>
          <w:rFonts w:ascii="Times New Roman" w:hAnsi="Times New Roman" w:cs="Times New Roman"/>
          <w:sz w:val="24"/>
          <w:szCs w:val="24"/>
        </w:rPr>
      </w:pPr>
      <w:proofErr w:type="spellStart"/>
      <w:r w:rsidRPr="0053107F">
        <w:rPr>
          <w:rFonts w:ascii="Times New Roman" w:hAnsi="Times New Roman" w:cs="Times New Roman"/>
          <w:sz w:val="24"/>
          <w:szCs w:val="24"/>
        </w:rPr>
        <w:t>Bornarel</w:t>
      </w:r>
      <w:proofErr w:type="spellEnd"/>
      <w:r w:rsidRPr="0053107F">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53107F">
        <w:rPr>
          <w:rFonts w:ascii="Times New Roman" w:hAnsi="Times New Roman" w:cs="Times New Roman"/>
          <w:sz w:val="24"/>
          <w:szCs w:val="24"/>
        </w:rPr>
        <w:t>2017</w:t>
      </w:r>
      <w:r>
        <w:rPr>
          <w:rFonts w:ascii="Times New Roman" w:hAnsi="Times New Roman" w:cs="Times New Roman"/>
          <w:sz w:val="24"/>
          <w:szCs w:val="24"/>
        </w:rPr>
        <w:t>), « </w:t>
      </w:r>
      <w:r w:rsidR="007345CD" w:rsidRPr="007345CD">
        <w:rPr>
          <w:rFonts w:ascii="Times New Roman" w:hAnsi="Times New Roman" w:cs="Times New Roman"/>
          <w:sz w:val="24"/>
          <w:szCs w:val="24"/>
        </w:rPr>
        <w:t>L</w:t>
      </w:r>
      <w:r w:rsidR="007345CD">
        <w:rPr>
          <w:rFonts w:ascii="Times New Roman" w:hAnsi="Times New Roman" w:cs="Times New Roman"/>
          <w:sz w:val="24"/>
          <w:szCs w:val="24"/>
        </w:rPr>
        <w:t>es visages de la confiance personnelle</w:t>
      </w:r>
      <w:r w:rsidR="00E459DA">
        <w:rPr>
          <w:rFonts w:ascii="Times New Roman" w:hAnsi="Times New Roman" w:cs="Times New Roman"/>
          <w:sz w:val="24"/>
          <w:szCs w:val="24"/>
        </w:rPr>
        <w:t xml:space="preserve"> », </w:t>
      </w:r>
      <w:r w:rsidR="004C7112" w:rsidRPr="004C7112">
        <w:rPr>
          <w:rFonts w:ascii="Times New Roman" w:hAnsi="Times New Roman" w:cs="Times New Roman"/>
          <w:i/>
          <w:iCs/>
          <w:sz w:val="24"/>
          <w:szCs w:val="24"/>
        </w:rPr>
        <w:t>Revue internationale de psychosociologie et de gestion des comportements organisationnels</w:t>
      </w:r>
      <w:r w:rsidR="004C7112">
        <w:rPr>
          <w:rFonts w:ascii="Times New Roman" w:hAnsi="Times New Roman" w:cs="Times New Roman"/>
          <w:sz w:val="24"/>
          <w:szCs w:val="24"/>
        </w:rPr>
        <w:t xml:space="preserve">, </w:t>
      </w:r>
      <w:r w:rsidR="00256E11">
        <w:rPr>
          <w:rFonts w:ascii="Times New Roman" w:hAnsi="Times New Roman" w:cs="Times New Roman"/>
          <w:sz w:val="24"/>
          <w:szCs w:val="24"/>
        </w:rPr>
        <w:t>Vol.23, n°55, pp.247-275</w:t>
      </w:r>
    </w:p>
    <w:p w14:paraId="1605961F" w14:textId="11FD80E2" w:rsidR="00606BB2" w:rsidRDefault="00606BB2" w:rsidP="00606BB2">
      <w:pPr>
        <w:ind w:left="708"/>
        <w:jc w:val="both"/>
        <w:rPr>
          <w:rFonts w:ascii="Times New Roman" w:hAnsi="Times New Roman" w:cs="Times New Roman"/>
          <w:sz w:val="24"/>
          <w:szCs w:val="24"/>
        </w:rPr>
      </w:pPr>
      <w:proofErr w:type="spellStart"/>
      <w:r w:rsidRPr="003511AB">
        <w:rPr>
          <w:rFonts w:ascii="Times New Roman" w:hAnsi="Times New Roman" w:cs="Times New Roman"/>
          <w:sz w:val="24"/>
          <w:szCs w:val="24"/>
        </w:rPr>
        <w:t>Bouattour</w:t>
      </w:r>
      <w:proofErr w:type="spellEnd"/>
      <w:r>
        <w:rPr>
          <w:rFonts w:ascii="Times New Roman" w:hAnsi="Times New Roman" w:cs="Times New Roman"/>
          <w:sz w:val="24"/>
          <w:szCs w:val="24"/>
        </w:rPr>
        <w:t xml:space="preserve"> M., </w:t>
      </w:r>
      <w:r w:rsidRPr="003511AB">
        <w:rPr>
          <w:rFonts w:ascii="Times New Roman" w:hAnsi="Times New Roman" w:cs="Times New Roman"/>
          <w:sz w:val="24"/>
          <w:szCs w:val="24"/>
        </w:rPr>
        <w:t>Martinez</w:t>
      </w:r>
      <w:r>
        <w:rPr>
          <w:rFonts w:ascii="Times New Roman" w:hAnsi="Times New Roman" w:cs="Times New Roman"/>
          <w:sz w:val="24"/>
          <w:szCs w:val="24"/>
        </w:rPr>
        <w:t xml:space="preserve"> I.</w:t>
      </w:r>
      <w:r w:rsidR="00056A27">
        <w:rPr>
          <w:rFonts w:ascii="Times New Roman" w:hAnsi="Times New Roman" w:cs="Times New Roman"/>
          <w:sz w:val="24"/>
          <w:szCs w:val="24"/>
        </w:rPr>
        <w:t xml:space="preserve"> (2019),</w:t>
      </w:r>
      <w:r w:rsidRPr="003511AB">
        <w:rPr>
          <w:rFonts w:ascii="Times New Roman" w:hAnsi="Times New Roman" w:cs="Times New Roman"/>
          <w:sz w:val="24"/>
          <w:szCs w:val="24"/>
        </w:rPr>
        <w:t xml:space="preserve"> « Hypothèse d'efficience des marchés : une étude expérimentale avec incertitude et asymétrie d’information », </w:t>
      </w:r>
      <w:r w:rsidRPr="008659DB">
        <w:rPr>
          <w:rFonts w:ascii="Times New Roman" w:hAnsi="Times New Roman" w:cs="Times New Roman"/>
          <w:i/>
          <w:iCs/>
          <w:sz w:val="24"/>
          <w:szCs w:val="24"/>
        </w:rPr>
        <w:t>Finance Contrôle Stratégie</w:t>
      </w:r>
      <w:r>
        <w:rPr>
          <w:rFonts w:ascii="Times New Roman" w:hAnsi="Times New Roman" w:cs="Times New Roman"/>
          <w:sz w:val="24"/>
          <w:szCs w:val="24"/>
        </w:rPr>
        <w:t>, Vol.</w:t>
      </w:r>
      <w:r w:rsidRPr="003511AB">
        <w:rPr>
          <w:rFonts w:ascii="Times New Roman" w:hAnsi="Times New Roman" w:cs="Times New Roman"/>
          <w:sz w:val="24"/>
          <w:szCs w:val="24"/>
        </w:rPr>
        <w:t>22</w:t>
      </w:r>
      <w:r>
        <w:rPr>
          <w:rFonts w:ascii="Times New Roman" w:hAnsi="Times New Roman" w:cs="Times New Roman"/>
          <w:sz w:val="24"/>
          <w:szCs w:val="24"/>
        </w:rPr>
        <w:t>, n°</w:t>
      </w:r>
      <w:r w:rsidRPr="003511AB">
        <w:rPr>
          <w:rFonts w:ascii="Times New Roman" w:hAnsi="Times New Roman" w:cs="Times New Roman"/>
          <w:sz w:val="24"/>
          <w:szCs w:val="24"/>
        </w:rPr>
        <w:t>4</w:t>
      </w:r>
      <w:r>
        <w:rPr>
          <w:rFonts w:ascii="Times New Roman" w:hAnsi="Times New Roman" w:cs="Times New Roman"/>
          <w:sz w:val="24"/>
          <w:szCs w:val="24"/>
        </w:rPr>
        <w:t>, pp.1-30</w:t>
      </w:r>
    </w:p>
    <w:p w14:paraId="45460D88" w14:textId="042B8CBC" w:rsidR="005D1492" w:rsidRPr="00815CF5" w:rsidRDefault="005D1492" w:rsidP="00606BB2">
      <w:pPr>
        <w:ind w:left="708"/>
        <w:jc w:val="both"/>
        <w:rPr>
          <w:rFonts w:ascii="Times New Roman" w:hAnsi="Times New Roman" w:cs="Times New Roman"/>
          <w:sz w:val="24"/>
          <w:szCs w:val="24"/>
        </w:rPr>
      </w:pPr>
      <w:r w:rsidRPr="00DA0BA4">
        <w:rPr>
          <w:rFonts w:ascii="Times New Roman" w:hAnsi="Times New Roman" w:cs="Times New Roman"/>
          <w:sz w:val="24"/>
          <w:szCs w:val="24"/>
        </w:rPr>
        <w:t>Buser</w:t>
      </w:r>
      <w:r>
        <w:rPr>
          <w:rFonts w:ascii="Times New Roman" w:hAnsi="Times New Roman" w:cs="Times New Roman"/>
          <w:sz w:val="24"/>
          <w:szCs w:val="24"/>
        </w:rPr>
        <w:t xml:space="preserve"> T., </w:t>
      </w:r>
      <w:proofErr w:type="spellStart"/>
      <w:r w:rsidRPr="00DA0BA4">
        <w:rPr>
          <w:rFonts w:ascii="Times New Roman" w:hAnsi="Times New Roman" w:cs="Times New Roman"/>
          <w:sz w:val="24"/>
          <w:szCs w:val="24"/>
        </w:rPr>
        <w:t>Ranehill</w:t>
      </w:r>
      <w:proofErr w:type="spellEnd"/>
      <w:r>
        <w:rPr>
          <w:rFonts w:ascii="Times New Roman" w:hAnsi="Times New Roman" w:cs="Times New Roman"/>
          <w:sz w:val="24"/>
          <w:szCs w:val="24"/>
        </w:rPr>
        <w:t xml:space="preserve"> E., </w:t>
      </w:r>
      <w:r w:rsidRPr="00DA0BA4">
        <w:rPr>
          <w:rFonts w:ascii="Times New Roman" w:hAnsi="Times New Roman" w:cs="Times New Roman"/>
          <w:sz w:val="24"/>
          <w:szCs w:val="24"/>
        </w:rPr>
        <w:t xml:space="preserve">van </w:t>
      </w:r>
      <w:proofErr w:type="spellStart"/>
      <w:r w:rsidRPr="00DA0BA4">
        <w:rPr>
          <w:rFonts w:ascii="Times New Roman" w:hAnsi="Times New Roman" w:cs="Times New Roman"/>
          <w:sz w:val="24"/>
          <w:szCs w:val="24"/>
        </w:rPr>
        <w:t>Veldhuizen</w:t>
      </w:r>
      <w:proofErr w:type="spellEnd"/>
      <w:r>
        <w:rPr>
          <w:rFonts w:ascii="Times New Roman" w:hAnsi="Times New Roman" w:cs="Times New Roman"/>
          <w:sz w:val="24"/>
          <w:szCs w:val="24"/>
        </w:rPr>
        <w:t xml:space="preserve"> R. (2021</w:t>
      </w:r>
      <w:r w:rsidR="006770F1">
        <w:rPr>
          <w:rFonts w:ascii="Times New Roman" w:hAnsi="Times New Roman" w:cs="Times New Roman"/>
          <w:sz w:val="24"/>
          <w:szCs w:val="24"/>
        </w:rPr>
        <w:t>), « </w:t>
      </w:r>
      <w:proofErr w:type="spellStart"/>
      <w:r w:rsidR="006770F1" w:rsidRPr="006770F1">
        <w:rPr>
          <w:rFonts w:ascii="Times New Roman" w:hAnsi="Times New Roman" w:cs="Times New Roman"/>
          <w:sz w:val="24"/>
          <w:szCs w:val="24"/>
        </w:rPr>
        <w:t>Gender</w:t>
      </w:r>
      <w:proofErr w:type="spellEnd"/>
      <w:r w:rsidR="006770F1" w:rsidRPr="006770F1">
        <w:rPr>
          <w:rFonts w:ascii="Times New Roman" w:hAnsi="Times New Roman" w:cs="Times New Roman"/>
          <w:sz w:val="24"/>
          <w:szCs w:val="24"/>
        </w:rPr>
        <w:t xml:space="preserve"> </w:t>
      </w:r>
      <w:proofErr w:type="spellStart"/>
      <w:r w:rsidR="006770F1" w:rsidRPr="006770F1">
        <w:rPr>
          <w:rFonts w:ascii="Times New Roman" w:hAnsi="Times New Roman" w:cs="Times New Roman"/>
          <w:sz w:val="24"/>
          <w:szCs w:val="24"/>
        </w:rPr>
        <w:t>Differences</w:t>
      </w:r>
      <w:proofErr w:type="spellEnd"/>
      <w:r w:rsidR="006770F1" w:rsidRPr="006770F1">
        <w:rPr>
          <w:rFonts w:ascii="Times New Roman" w:hAnsi="Times New Roman" w:cs="Times New Roman"/>
          <w:sz w:val="24"/>
          <w:szCs w:val="24"/>
        </w:rPr>
        <w:t xml:space="preserve"> in </w:t>
      </w:r>
      <w:proofErr w:type="spellStart"/>
      <w:r w:rsidR="006770F1" w:rsidRPr="006770F1">
        <w:rPr>
          <w:rFonts w:ascii="Times New Roman" w:hAnsi="Times New Roman" w:cs="Times New Roman"/>
          <w:sz w:val="24"/>
          <w:szCs w:val="24"/>
        </w:rPr>
        <w:t>Willingness</w:t>
      </w:r>
      <w:proofErr w:type="spellEnd"/>
      <w:r w:rsidR="006770F1" w:rsidRPr="006770F1">
        <w:rPr>
          <w:rFonts w:ascii="Times New Roman" w:hAnsi="Times New Roman" w:cs="Times New Roman"/>
          <w:sz w:val="24"/>
          <w:szCs w:val="24"/>
        </w:rPr>
        <w:t xml:space="preserve"> to </w:t>
      </w:r>
      <w:proofErr w:type="spellStart"/>
      <w:proofErr w:type="gramStart"/>
      <w:r w:rsidR="006770F1" w:rsidRPr="006770F1">
        <w:rPr>
          <w:rFonts w:ascii="Times New Roman" w:hAnsi="Times New Roman" w:cs="Times New Roman"/>
          <w:sz w:val="24"/>
          <w:szCs w:val="24"/>
        </w:rPr>
        <w:t>Compete</w:t>
      </w:r>
      <w:proofErr w:type="spellEnd"/>
      <w:r w:rsidR="006770F1" w:rsidRPr="006770F1">
        <w:rPr>
          <w:rFonts w:ascii="Times New Roman" w:hAnsi="Times New Roman" w:cs="Times New Roman"/>
          <w:sz w:val="24"/>
          <w:szCs w:val="24"/>
        </w:rPr>
        <w:t>:</w:t>
      </w:r>
      <w:proofErr w:type="gramEnd"/>
      <w:r w:rsidR="006770F1" w:rsidRPr="006770F1">
        <w:rPr>
          <w:rFonts w:ascii="Times New Roman" w:hAnsi="Times New Roman" w:cs="Times New Roman"/>
          <w:sz w:val="24"/>
          <w:szCs w:val="24"/>
        </w:rPr>
        <w:t xml:space="preserve"> The </w:t>
      </w:r>
      <w:proofErr w:type="spellStart"/>
      <w:r w:rsidR="006770F1" w:rsidRPr="006770F1">
        <w:rPr>
          <w:rFonts w:ascii="Times New Roman" w:hAnsi="Times New Roman" w:cs="Times New Roman"/>
          <w:sz w:val="24"/>
          <w:szCs w:val="24"/>
        </w:rPr>
        <w:t>Role</w:t>
      </w:r>
      <w:proofErr w:type="spellEnd"/>
      <w:r w:rsidR="006770F1" w:rsidRPr="006770F1">
        <w:rPr>
          <w:rFonts w:ascii="Times New Roman" w:hAnsi="Times New Roman" w:cs="Times New Roman"/>
          <w:sz w:val="24"/>
          <w:szCs w:val="24"/>
        </w:rPr>
        <w:t xml:space="preserve"> of Public </w:t>
      </w:r>
      <w:proofErr w:type="spellStart"/>
      <w:r w:rsidR="006770F1" w:rsidRPr="006770F1">
        <w:rPr>
          <w:rFonts w:ascii="Times New Roman" w:hAnsi="Times New Roman" w:cs="Times New Roman"/>
          <w:sz w:val="24"/>
          <w:szCs w:val="24"/>
        </w:rPr>
        <w:t>Observability</w:t>
      </w:r>
      <w:proofErr w:type="spellEnd"/>
      <w:r w:rsidR="006770F1">
        <w:rPr>
          <w:rFonts w:ascii="Times New Roman" w:hAnsi="Times New Roman" w:cs="Times New Roman"/>
          <w:sz w:val="24"/>
          <w:szCs w:val="24"/>
        </w:rPr>
        <w:t xml:space="preserve"> », </w:t>
      </w:r>
      <w:r w:rsidR="00815CF5" w:rsidRPr="00815CF5">
        <w:rPr>
          <w:rFonts w:ascii="Times New Roman" w:hAnsi="Times New Roman" w:cs="Times New Roman"/>
          <w:i/>
          <w:iCs/>
          <w:sz w:val="24"/>
          <w:szCs w:val="24"/>
        </w:rPr>
        <w:t xml:space="preserve">Journal of </w:t>
      </w:r>
      <w:proofErr w:type="spellStart"/>
      <w:r w:rsidR="00815CF5" w:rsidRPr="00815CF5">
        <w:rPr>
          <w:rFonts w:ascii="Times New Roman" w:hAnsi="Times New Roman" w:cs="Times New Roman"/>
          <w:i/>
          <w:iCs/>
          <w:sz w:val="24"/>
          <w:szCs w:val="24"/>
        </w:rPr>
        <w:t>Economic</w:t>
      </w:r>
      <w:proofErr w:type="spellEnd"/>
      <w:r w:rsidR="00815CF5" w:rsidRPr="00815CF5">
        <w:rPr>
          <w:rFonts w:ascii="Times New Roman" w:hAnsi="Times New Roman" w:cs="Times New Roman"/>
          <w:i/>
          <w:iCs/>
          <w:sz w:val="24"/>
          <w:szCs w:val="24"/>
        </w:rPr>
        <w:t xml:space="preserve"> Psychology</w:t>
      </w:r>
      <w:r w:rsidR="00815CF5">
        <w:rPr>
          <w:rFonts w:ascii="Times New Roman" w:hAnsi="Times New Roman" w:cs="Times New Roman"/>
          <w:sz w:val="24"/>
          <w:szCs w:val="24"/>
        </w:rPr>
        <w:t>, à paraître</w:t>
      </w:r>
    </w:p>
    <w:p w14:paraId="1C30958E" w14:textId="77777777" w:rsidR="00BA63BB" w:rsidRPr="00FB0D94" w:rsidRDefault="00BA63BB" w:rsidP="00606BB2">
      <w:pPr>
        <w:ind w:left="708"/>
        <w:jc w:val="both"/>
        <w:rPr>
          <w:rFonts w:ascii="Times New Roman" w:hAnsi="Times New Roman" w:cs="Times New Roman"/>
          <w:sz w:val="24"/>
          <w:szCs w:val="24"/>
        </w:rPr>
      </w:pPr>
      <w:r w:rsidRPr="00FB0D94">
        <w:rPr>
          <w:rFonts w:ascii="Times New Roman" w:hAnsi="Times New Roman" w:cs="Times New Roman"/>
          <w:sz w:val="24"/>
          <w:szCs w:val="24"/>
        </w:rPr>
        <w:lastRenderedPageBreak/>
        <w:t xml:space="preserve">Cadet B., </w:t>
      </w:r>
      <w:proofErr w:type="spellStart"/>
      <w:r w:rsidRPr="00FB0D94">
        <w:rPr>
          <w:rFonts w:ascii="Times New Roman" w:hAnsi="Times New Roman" w:cs="Times New Roman"/>
          <w:sz w:val="24"/>
          <w:szCs w:val="24"/>
        </w:rPr>
        <w:t>Chasseigne</w:t>
      </w:r>
      <w:proofErr w:type="spellEnd"/>
      <w:r w:rsidRPr="00FB0D94">
        <w:rPr>
          <w:rFonts w:ascii="Times New Roman" w:hAnsi="Times New Roman" w:cs="Times New Roman"/>
          <w:sz w:val="24"/>
          <w:szCs w:val="24"/>
        </w:rPr>
        <w:t xml:space="preserve"> G., Foliot G. (2007), « Cognition, incertitude et prévisibilité », </w:t>
      </w:r>
      <w:proofErr w:type="spellStart"/>
      <w:r w:rsidRPr="00FB0D94">
        <w:rPr>
          <w:rFonts w:ascii="Times New Roman" w:hAnsi="Times New Roman" w:cs="Times New Roman"/>
          <w:sz w:val="24"/>
          <w:szCs w:val="24"/>
        </w:rPr>
        <w:t>Publibook</w:t>
      </w:r>
      <w:proofErr w:type="spellEnd"/>
      <w:r w:rsidRPr="00FB0D94">
        <w:rPr>
          <w:rFonts w:ascii="Times New Roman" w:hAnsi="Times New Roman" w:cs="Times New Roman"/>
          <w:sz w:val="24"/>
          <w:szCs w:val="24"/>
        </w:rPr>
        <w:t>, Collection Psychologie Cognitive, 300 pages</w:t>
      </w:r>
    </w:p>
    <w:p w14:paraId="0EE639E3" w14:textId="4521C895" w:rsidR="0007322A" w:rsidRPr="00FB0D94" w:rsidRDefault="0007322A" w:rsidP="00FB0D94">
      <w:pPr>
        <w:ind w:left="708"/>
        <w:jc w:val="both"/>
        <w:rPr>
          <w:rFonts w:ascii="Times New Roman" w:hAnsi="Times New Roman" w:cs="Times New Roman"/>
          <w:sz w:val="24"/>
          <w:szCs w:val="24"/>
        </w:rPr>
      </w:pPr>
      <w:r w:rsidRPr="00FB0D94">
        <w:rPr>
          <w:rFonts w:ascii="Times New Roman" w:hAnsi="Times New Roman" w:cs="Times New Roman"/>
          <w:sz w:val="24"/>
          <w:szCs w:val="24"/>
        </w:rPr>
        <w:t>Capelle</w:t>
      </w:r>
      <w:r w:rsidR="00D511F4" w:rsidRPr="00FB0D94">
        <w:rPr>
          <w:rFonts w:ascii="Times New Roman" w:hAnsi="Times New Roman" w:cs="Times New Roman"/>
          <w:sz w:val="24"/>
          <w:szCs w:val="24"/>
        </w:rPr>
        <w:t xml:space="preserve">-Blancard </w:t>
      </w:r>
      <w:r w:rsidRPr="00FB0D94">
        <w:rPr>
          <w:rFonts w:ascii="Times New Roman" w:hAnsi="Times New Roman" w:cs="Times New Roman"/>
          <w:sz w:val="24"/>
          <w:szCs w:val="24"/>
        </w:rPr>
        <w:t>G., (2003),</w:t>
      </w:r>
      <w:r w:rsidR="004B2596" w:rsidRPr="00FB0D94">
        <w:rPr>
          <w:rFonts w:ascii="Times New Roman" w:hAnsi="Times New Roman" w:cs="Times New Roman"/>
          <w:sz w:val="24"/>
          <w:szCs w:val="24"/>
        </w:rPr>
        <w:t xml:space="preserve"> </w:t>
      </w:r>
      <w:r w:rsidRPr="00FB0D94">
        <w:rPr>
          <w:rFonts w:ascii="Times New Roman" w:hAnsi="Times New Roman" w:cs="Times New Roman"/>
          <w:sz w:val="24"/>
          <w:szCs w:val="24"/>
        </w:rPr>
        <w:t>«</w:t>
      </w:r>
      <w:r w:rsidR="00A050A5">
        <w:rPr>
          <w:rFonts w:ascii="Times New Roman" w:hAnsi="Times New Roman" w:cs="Times New Roman"/>
          <w:sz w:val="24"/>
          <w:szCs w:val="24"/>
        </w:rPr>
        <w:t xml:space="preserve"> </w:t>
      </w:r>
      <w:r w:rsidRPr="00FB0D94">
        <w:rPr>
          <w:rFonts w:ascii="Times New Roman" w:hAnsi="Times New Roman" w:cs="Times New Roman"/>
          <w:sz w:val="24"/>
          <w:szCs w:val="24"/>
        </w:rPr>
        <w:t xml:space="preserve">Marchés dérivés et trading de volatilité », </w:t>
      </w:r>
      <w:r w:rsidRPr="00FB0D94">
        <w:rPr>
          <w:rFonts w:ascii="Times New Roman" w:hAnsi="Times New Roman" w:cs="Times New Roman"/>
          <w:i/>
          <w:sz w:val="24"/>
          <w:szCs w:val="24"/>
        </w:rPr>
        <w:t>Revue Economique</w:t>
      </w:r>
      <w:r w:rsidRPr="00FB0D94">
        <w:rPr>
          <w:rFonts w:ascii="Times New Roman" w:hAnsi="Times New Roman" w:cs="Times New Roman"/>
          <w:sz w:val="24"/>
          <w:szCs w:val="24"/>
        </w:rPr>
        <w:t>, Vol.54, pp.663-673</w:t>
      </w:r>
    </w:p>
    <w:p w14:paraId="31477004" w14:textId="77777777" w:rsidR="00EB2B80" w:rsidRPr="00FB0D94" w:rsidRDefault="00EB2B80" w:rsidP="00FB0D94">
      <w:pPr>
        <w:spacing w:line="240" w:lineRule="auto"/>
        <w:ind w:left="708"/>
        <w:jc w:val="both"/>
        <w:rPr>
          <w:rFonts w:ascii="Times New Roman" w:hAnsi="Times New Roman" w:cs="Times New Roman"/>
          <w:sz w:val="24"/>
          <w:szCs w:val="24"/>
        </w:rPr>
      </w:pPr>
      <w:proofErr w:type="spellStart"/>
      <w:r w:rsidRPr="00FB0D94">
        <w:rPr>
          <w:rFonts w:ascii="Times New Roman" w:hAnsi="Times New Roman" w:cs="Times New Roman"/>
          <w:sz w:val="24"/>
          <w:szCs w:val="24"/>
        </w:rPr>
        <w:t>Chartoire</w:t>
      </w:r>
      <w:proofErr w:type="spellEnd"/>
      <w:r w:rsidRPr="00FB0D94">
        <w:rPr>
          <w:rFonts w:ascii="Times New Roman" w:hAnsi="Times New Roman" w:cs="Times New Roman"/>
          <w:sz w:val="24"/>
          <w:szCs w:val="24"/>
        </w:rPr>
        <w:t xml:space="preserve"> R., (2012), « Comment expliquer l'évolution des cours boursiers ? », </w:t>
      </w:r>
      <w:r w:rsidRPr="00FB0D94">
        <w:rPr>
          <w:rFonts w:ascii="Times New Roman" w:hAnsi="Times New Roman" w:cs="Times New Roman"/>
          <w:i/>
          <w:sz w:val="24"/>
          <w:szCs w:val="24"/>
        </w:rPr>
        <w:t>Idées économiques et sociales</w:t>
      </w:r>
      <w:r w:rsidRPr="00FB0D94">
        <w:rPr>
          <w:rFonts w:ascii="Times New Roman" w:hAnsi="Times New Roman" w:cs="Times New Roman"/>
          <w:sz w:val="24"/>
          <w:szCs w:val="24"/>
        </w:rPr>
        <w:t>, Vol.3, n°169, pp.44-52</w:t>
      </w:r>
    </w:p>
    <w:p w14:paraId="1CA105EC" w14:textId="77777777" w:rsidR="00226A2D" w:rsidRPr="00FB0D94" w:rsidRDefault="00226A2D" w:rsidP="00FB0D94">
      <w:pPr>
        <w:spacing w:line="240" w:lineRule="auto"/>
        <w:ind w:left="708"/>
        <w:jc w:val="both"/>
        <w:rPr>
          <w:rFonts w:ascii="Times New Roman" w:hAnsi="Times New Roman" w:cs="Times New Roman"/>
          <w:sz w:val="24"/>
          <w:szCs w:val="24"/>
        </w:rPr>
      </w:pPr>
      <w:r w:rsidRPr="00FB0D94">
        <w:rPr>
          <w:rFonts w:ascii="Times New Roman" w:hAnsi="Times New Roman" w:cs="Times New Roman"/>
          <w:sz w:val="24"/>
          <w:szCs w:val="24"/>
        </w:rPr>
        <w:t xml:space="preserve">Claudon P., Weber M. (2009), « « L'émotion : contribution à l'étude psychodynamique du développement de la pensée de l'enfant sans langage en interaction », </w:t>
      </w:r>
      <w:r w:rsidRPr="00FB0D94">
        <w:rPr>
          <w:rFonts w:ascii="Times New Roman" w:hAnsi="Times New Roman" w:cs="Times New Roman"/>
          <w:i/>
          <w:sz w:val="24"/>
          <w:szCs w:val="24"/>
        </w:rPr>
        <w:t>Devenir</w:t>
      </w:r>
      <w:r w:rsidRPr="00FB0D94">
        <w:rPr>
          <w:rFonts w:ascii="Times New Roman" w:hAnsi="Times New Roman" w:cs="Times New Roman"/>
          <w:sz w:val="24"/>
          <w:szCs w:val="24"/>
        </w:rPr>
        <w:t>, Vol.21, n°1, pp.61-99</w:t>
      </w:r>
    </w:p>
    <w:p w14:paraId="686CF89D" w14:textId="77777777" w:rsidR="007116FD" w:rsidRPr="00FB0D94" w:rsidRDefault="007116FD" w:rsidP="00FB0D94">
      <w:pPr>
        <w:ind w:left="708"/>
        <w:jc w:val="both"/>
        <w:rPr>
          <w:rFonts w:ascii="Times New Roman" w:hAnsi="Times New Roman" w:cs="Times New Roman"/>
          <w:sz w:val="24"/>
          <w:szCs w:val="24"/>
        </w:rPr>
      </w:pPr>
      <w:r w:rsidRPr="00FB0D94">
        <w:rPr>
          <w:rFonts w:ascii="Times New Roman" w:hAnsi="Times New Roman" w:cs="Times New Roman"/>
          <w:sz w:val="24"/>
          <w:szCs w:val="24"/>
        </w:rPr>
        <w:t xml:space="preserve">Cousin J., Levasseur M., </w:t>
      </w:r>
      <w:proofErr w:type="spellStart"/>
      <w:r w:rsidRPr="00FB0D94">
        <w:rPr>
          <w:rFonts w:ascii="Times New Roman" w:hAnsi="Times New Roman" w:cs="Times New Roman"/>
          <w:sz w:val="24"/>
          <w:szCs w:val="24"/>
        </w:rPr>
        <w:t>Romon</w:t>
      </w:r>
      <w:proofErr w:type="spellEnd"/>
      <w:r w:rsidRPr="00FB0D94">
        <w:rPr>
          <w:rFonts w:ascii="Times New Roman" w:hAnsi="Times New Roman" w:cs="Times New Roman"/>
          <w:sz w:val="24"/>
          <w:szCs w:val="24"/>
        </w:rPr>
        <w:t xml:space="preserve"> F. (2013), « La réactivité des analystes financiers en temps de crise au sein de la zone Euro », </w:t>
      </w:r>
      <w:r w:rsidRPr="00FB0D94">
        <w:rPr>
          <w:rFonts w:ascii="Times New Roman" w:hAnsi="Times New Roman" w:cs="Times New Roman"/>
          <w:i/>
          <w:sz w:val="24"/>
          <w:szCs w:val="24"/>
        </w:rPr>
        <w:t>Comptabilité Contrôle Audit</w:t>
      </w:r>
      <w:r w:rsidRPr="00FB0D94">
        <w:rPr>
          <w:rFonts w:ascii="Times New Roman" w:hAnsi="Times New Roman" w:cs="Times New Roman"/>
          <w:sz w:val="24"/>
          <w:szCs w:val="24"/>
        </w:rPr>
        <w:t>, Vol.19, n°1, pp.117-142</w:t>
      </w:r>
    </w:p>
    <w:p w14:paraId="378A7C9F" w14:textId="77777777" w:rsidR="00F36038" w:rsidRPr="00FB0D94" w:rsidRDefault="00F36038" w:rsidP="00FB0D94">
      <w:pPr>
        <w:ind w:left="708"/>
        <w:jc w:val="both"/>
        <w:rPr>
          <w:rFonts w:ascii="Times New Roman" w:hAnsi="Times New Roman" w:cs="Times New Roman"/>
          <w:sz w:val="24"/>
          <w:szCs w:val="24"/>
        </w:rPr>
      </w:pPr>
      <w:r w:rsidRPr="00FB0D94">
        <w:rPr>
          <w:rFonts w:ascii="Times New Roman" w:hAnsi="Times New Roman" w:cs="Times New Roman"/>
          <w:sz w:val="24"/>
          <w:szCs w:val="24"/>
        </w:rPr>
        <w:t xml:space="preserve">De </w:t>
      </w:r>
      <w:proofErr w:type="spellStart"/>
      <w:r w:rsidRPr="00FB0D94">
        <w:rPr>
          <w:rFonts w:ascii="Times New Roman" w:hAnsi="Times New Roman" w:cs="Times New Roman"/>
          <w:sz w:val="24"/>
          <w:szCs w:val="24"/>
        </w:rPr>
        <w:t>Larminat</w:t>
      </w:r>
      <w:proofErr w:type="spellEnd"/>
      <w:r w:rsidRPr="00FB0D94">
        <w:rPr>
          <w:rFonts w:ascii="Times New Roman" w:hAnsi="Times New Roman" w:cs="Times New Roman"/>
          <w:sz w:val="24"/>
          <w:szCs w:val="24"/>
        </w:rPr>
        <w:t xml:space="preserve"> P., (2013), « Entre « quantitatif » et « qualitatif ». Comment les investisseurs professionnels évaluent les gérants d'actifs financiers », </w:t>
      </w:r>
      <w:r w:rsidRPr="00FB0D94">
        <w:rPr>
          <w:rFonts w:ascii="Times New Roman" w:hAnsi="Times New Roman" w:cs="Times New Roman"/>
          <w:i/>
          <w:sz w:val="24"/>
          <w:szCs w:val="24"/>
        </w:rPr>
        <w:t>L’Année sociologique</w:t>
      </w:r>
      <w:r w:rsidRPr="00FB0D94">
        <w:rPr>
          <w:rFonts w:ascii="Times New Roman" w:hAnsi="Times New Roman" w:cs="Times New Roman"/>
          <w:sz w:val="24"/>
          <w:szCs w:val="24"/>
        </w:rPr>
        <w:t xml:space="preserve">, Vol.63, n°1, pp.77-105 </w:t>
      </w:r>
    </w:p>
    <w:p w14:paraId="56DBB494" w14:textId="56CFD68A" w:rsidR="00571B8E" w:rsidRDefault="006F61FF" w:rsidP="00FB0D94">
      <w:pPr>
        <w:ind w:left="708"/>
        <w:jc w:val="both"/>
        <w:rPr>
          <w:rFonts w:ascii="Times New Roman" w:hAnsi="Times New Roman" w:cs="Times New Roman"/>
          <w:sz w:val="24"/>
          <w:szCs w:val="24"/>
        </w:rPr>
      </w:pPr>
      <w:r w:rsidRPr="00FB0D94">
        <w:rPr>
          <w:rFonts w:ascii="Times New Roman" w:hAnsi="Times New Roman" w:cs="Times New Roman"/>
          <w:sz w:val="24"/>
          <w:szCs w:val="24"/>
        </w:rPr>
        <w:t xml:space="preserve">De </w:t>
      </w:r>
      <w:proofErr w:type="spellStart"/>
      <w:r w:rsidRPr="00FB0D94">
        <w:rPr>
          <w:rFonts w:ascii="Times New Roman" w:hAnsi="Times New Roman" w:cs="Times New Roman"/>
          <w:sz w:val="24"/>
          <w:szCs w:val="24"/>
        </w:rPr>
        <w:t>Montricher</w:t>
      </w:r>
      <w:proofErr w:type="spellEnd"/>
      <w:r w:rsidRPr="00FB0D94">
        <w:rPr>
          <w:rFonts w:ascii="Times New Roman" w:hAnsi="Times New Roman" w:cs="Times New Roman"/>
          <w:sz w:val="24"/>
          <w:szCs w:val="24"/>
        </w:rPr>
        <w:t xml:space="preserve">, N. </w:t>
      </w:r>
      <w:r w:rsidR="00571B8E" w:rsidRPr="00FB0D94">
        <w:rPr>
          <w:rFonts w:ascii="Times New Roman" w:hAnsi="Times New Roman" w:cs="Times New Roman"/>
          <w:sz w:val="24"/>
          <w:szCs w:val="24"/>
        </w:rPr>
        <w:t xml:space="preserve">(2009), « Norme légale et internationalisation des marchés boursiers : la délinquance financière en liberté surveillée », </w:t>
      </w:r>
      <w:r w:rsidR="00571B8E" w:rsidRPr="00FB0D94">
        <w:rPr>
          <w:rFonts w:ascii="Times New Roman" w:hAnsi="Times New Roman" w:cs="Times New Roman"/>
          <w:i/>
          <w:sz w:val="24"/>
          <w:szCs w:val="24"/>
        </w:rPr>
        <w:t>Droit et Société</w:t>
      </w:r>
      <w:r w:rsidR="00571B8E" w:rsidRPr="00FB0D94">
        <w:rPr>
          <w:rFonts w:ascii="Times New Roman" w:hAnsi="Times New Roman" w:cs="Times New Roman"/>
          <w:sz w:val="24"/>
          <w:szCs w:val="24"/>
        </w:rPr>
        <w:t>, Vol.1, n°71, pp.130-160</w:t>
      </w:r>
    </w:p>
    <w:p w14:paraId="7E664D50" w14:textId="24FF7E17" w:rsidR="004E6433" w:rsidRDefault="004E6433" w:rsidP="00FB0D94">
      <w:pPr>
        <w:ind w:left="708"/>
        <w:jc w:val="both"/>
        <w:rPr>
          <w:rFonts w:ascii="Times New Roman" w:hAnsi="Times New Roman" w:cs="Times New Roman"/>
          <w:sz w:val="24"/>
          <w:szCs w:val="24"/>
        </w:rPr>
      </w:pPr>
      <w:r>
        <w:rPr>
          <w:rFonts w:ascii="Times New Roman" w:hAnsi="Times New Roman" w:cs="Times New Roman"/>
          <w:sz w:val="24"/>
          <w:szCs w:val="24"/>
        </w:rPr>
        <w:t xml:space="preserve">De </w:t>
      </w:r>
      <w:proofErr w:type="spellStart"/>
      <w:r>
        <w:rPr>
          <w:rFonts w:ascii="Times New Roman" w:hAnsi="Times New Roman" w:cs="Times New Roman"/>
          <w:sz w:val="24"/>
          <w:szCs w:val="24"/>
        </w:rPr>
        <w:t>Winne</w:t>
      </w:r>
      <w:proofErr w:type="spellEnd"/>
      <w:r>
        <w:rPr>
          <w:rFonts w:ascii="Times New Roman" w:hAnsi="Times New Roman" w:cs="Times New Roman"/>
          <w:sz w:val="24"/>
          <w:szCs w:val="24"/>
        </w:rPr>
        <w:t xml:space="preserve"> R, D’</w:t>
      </w:r>
      <w:proofErr w:type="spellStart"/>
      <w:r>
        <w:rPr>
          <w:rFonts w:ascii="Times New Roman" w:hAnsi="Times New Roman" w:cs="Times New Roman"/>
          <w:sz w:val="24"/>
          <w:szCs w:val="24"/>
        </w:rPr>
        <w:t>Hondt</w:t>
      </w:r>
      <w:proofErr w:type="spellEnd"/>
      <w:r>
        <w:rPr>
          <w:rFonts w:ascii="Times New Roman" w:hAnsi="Times New Roman" w:cs="Times New Roman"/>
          <w:sz w:val="24"/>
          <w:szCs w:val="24"/>
        </w:rPr>
        <w:t xml:space="preserve"> C. (2017), « </w:t>
      </w:r>
      <w:r w:rsidR="00D90900" w:rsidRPr="00D90900">
        <w:rPr>
          <w:rFonts w:ascii="Times New Roman" w:hAnsi="Times New Roman" w:cs="Times New Roman"/>
          <w:sz w:val="24"/>
          <w:szCs w:val="24"/>
        </w:rPr>
        <w:t>La finance comportementale : enjeux et perspectives</w:t>
      </w:r>
      <w:r w:rsidR="00D90900">
        <w:rPr>
          <w:rFonts w:ascii="Times New Roman" w:hAnsi="Times New Roman" w:cs="Times New Roman"/>
          <w:sz w:val="24"/>
          <w:szCs w:val="24"/>
        </w:rPr>
        <w:t xml:space="preserve"> », </w:t>
      </w:r>
      <w:r w:rsidR="00D90900" w:rsidRPr="00B82E3D">
        <w:rPr>
          <w:rFonts w:ascii="Times New Roman" w:hAnsi="Times New Roman" w:cs="Times New Roman"/>
          <w:i/>
          <w:iCs/>
          <w:sz w:val="24"/>
          <w:szCs w:val="24"/>
        </w:rPr>
        <w:t>Regards Economiques</w:t>
      </w:r>
      <w:r w:rsidR="00D90900">
        <w:rPr>
          <w:rFonts w:ascii="Times New Roman" w:hAnsi="Times New Roman" w:cs="Times New Roman"/>
          <w:sz w:val="24"/>
          <w:szCs w:val="24"/>
        </w:rPr>
        <w:t xml:space="preserve">, </w:t>
      </w:r>
      <w:r w:rsidR="00B82E3D">
        <w:rPr>
          <w:rFonts w:ascii="Times New Roman" w:hAnsi="Times New Roman" w:cs="Times New Roman"/>
          <w:sz w:val="24"/>
          <w:szCs w:val="24"/>
        </w:rPr>
        <w:t>n°131, pp.1-10</w:t>
      </w:r>
    </w:p>
    <w:p w14:paraId="56B9437B" w14:textId="78424948" w:rsidR="00647583" w:rsidRPr="00647583" w:rsidRDefault="00647583" w:rsidP="00956958">
      <w:pPr>
        <w:ind w:left="708"/>
        <w:jc w:val="both"/>
        <w:rPr>
          <w:rFonts w:ascii="Times New Roman" w:hAnsi="Times New Roman" w:cs="Times New Roman"/>
          <w:sz w:val="24"/>
          <w:szCs w:val="24"/>
        </w:rPr>
      </w:pPr>
      <w:proofErr w:type="spellStart"/>
      <w:r w:rsidRPr="00647583">
        <w:rPr>
          <w:rFonts w:ascii="Times New Roman" w:hAnsi="Times New Roman" w:cs="Times New Roman"/>
          <w:sz w:val="24"/>
          <w:szCs w:val="24"/>
        </w:rPr>
        <w:t>Delefosse</w:t>
      </w:r>
      <w:proofErr w:type="spellEnd"/>
      <w:r w:rsidRPr="00647583">
        <w:rPr>
          <w:rFonts w:ascii="Times New Roman" w:hAnsi="Times New Roman" w:cs="Times New Roman"/>
          <w:sz w:val="24"/>
          <w:szCs w:val="24"/>
        </w:rPr>
        <w:t xml:space="preserve"> </w:t>
      </w:r>
      <w:r w:rsidR="00956958">
        <w:rPr>
          <w:rFonts w:ascii="Times New Roman" w:hAnsi="Times New Roman" w:cs="Times New Roman"/>
          <w:sz w:val="24"/>
          <w:szCs w:val="24"/>
        </w:rPr>
        <w:t xml:space="preserve">M. </w:t>
      </w:r>
      <w:r w:rsidRPr="00647583">
        <w:rPr>
          <w:rFonts w:ascii="Times New Roman" w:hAnsi="Times New Roman" w:cs="Times New Roman"/>
          <w:sz w:val="24"/>
          <w:szCs w:val="24"/>
        </w:rPr>
        <w:t>(2015)</w:t>
      </w:r>
      <w:r w:rsidR="00956958">
        <w:rPr>
          <w:rFonts w:ascii="Times New Roman" w:hAnsi="Times New Roman" w:cs="Times New Roman"/>
          <w:sz w:val="24"/>
          <w:szCs w:val="24"/>
        </w:rPr>
        <w:t>, « </w:t>
      </w:r>
      <w:r w:rsidR="00956958" w:rsidRPr="00956958">
        <w:rPr>
          <w:rFonts w:ascii="Times New Roman" w:hAnsi="Times New Roman" w:cs="Times New Roman"/>
          <w:sz w:val="24"/>
          <w:szCs w:val="24"/>
        </w:rPr>
        <w:t>D</w:t>
      </w:r>
      <w:r w:rsidR="00956958">
        <w:rPr>
          <w:rFonts w:ascii="Times New Roman" w:hAnsi="Times New Roman" w:cs="Times New Roman"/>
          <w:sz w:val="24"/>
          <w:szCs w:val="24"/>
        </w:rPr>
        <w:t>es liens entre recherche</w:t>
      </w:r>
      <w:r w:rsidR="00956958" w:rsidRPr="00956958">
        <w:rPr>
          <w:rFonts w:ascii="Times New Roman" w:hAnsi="Times New Roman" w:cs="Times New Roman"/>
          <w:sz w:val="24"/>
          <w:szCs w:val="24"/>
        </w:rPr>
        <w:t xml:space="preserve"> </w:t>
      </w:r>
      <w:r w:rsidR="00956958">
        <w:rPr>
          <w:rFonts w:ascii="Times New Roman" w:hAnsi="Times New Roman" w:cs="Times New Roman"/>
          <w:sz w:val="24"/>
          <w:szCs w:val="24"/>
        </w:rPr>
        <w:t>théorico</w:t>
      </w:r>
      <w:r w:rsidR="00956958" w:rsidRPr="00956958">
        <w:rPr>
          <w:rFonts w:ascii="Times New Roman" w:hAnsi="Times New Roman" w:cs="Times New Roman"/>
          <w:sz w:val="24"/>
          <w:szCs w:val="24"/>
        </w:rPr>
        <w:t>-</w:t>
      </w:r>
      <w:r w:rsidR="00956958">
        <w:rPr>
          <w:rFonts w:ascii="Times New Roman" w:hAnsi="Times New Roman" w:cs="Times New Roman"/>
          <w:sz w:val="24"/>
          <w:szCs w:val="24"/>
        </w:rPr>
        <w:t>expérimentale</w:t>
      </w:r>
      <w:r w:rsidR="00956958" w:rsidRPr="00956958">
        <w:rPr>
          <w:rFonts w:ascii="Times New Roman" w:hAnsi="Times New Roman" w:cs="Times New Roman"/>
          <w:sz w:val="24"/>
          <w:szCs w:val="24"/>
        </w:rPr>
        <w:t xml:space="preserve"> </w:t>
      </w:r>
      <w:r w:rsidR="00956958">
        <w:rPr>
          <w:rFonts w:ascii="Times New Roman" w:hAnsi="Times New Roman" w:cs="Times New Roman"/>
          <w:sz w:val="24"/>
          <w:szCs w:val="24"/>
        </w:rPr>
        <w:t>et applications/pratiques en psychologie</w:t>
      </w:r>
      <w:r w:rsidR="00713917">
        <w:rPr>
          <w:rFonts w:ascii="Times New Roman" w:hAnsi="Times New Roman" w:cs="Times New Roman"/>
          <w:sz w:val="24"/>
          <w:szCs w:val="24"/>
        </w:rPr>
        <w:t> : u</w:t>
      </w:r>
      <w:r w:rsidR="00956958" w:rsidRPr="00956958">
        <w:rPr>
          <w:rFonts w:ascii="Times New Roman" w:hAnsi="Times New Roman" w:cs="Times New Roman"/>
          <w:sz w:val="24"/>
          <w:szCs w:val="24"/>
        </w:rPr>
        <w:t>ne analyse comparative France/États-Unis</w:t>
      </w:r>
      <w:r w:rsidR="00713917">
        <w:rPr>
          <w:rFonts w:ascii="Times New Roman" w:hAnsi="Times New Roman" w:cs="Times New Roman"/>
          <w:sz w:val="24"/>
          <w:szCs w:val="24"/>
        </w:rPr>
        <w:t xml:space="preserve"> », </w:t>
      </w:r>
      <w:r w:rsidR="00713917" w:rsidRPr="00647DBF">
        <w:rPr>
          <w:rFonts w:ascii="Times New Roman" w:hAnsi="Times New Roman" w:cs="Times New Roman"/>
          <w:i/>
          <w:iCs/>
          <w:sz w:val="24"/>
          <w:szCs w:val="24"/>
        </w:rPr>
        <w:t>Bulletin de Psychologie</w:t>
      </w:r>
      <w:r w:rsidR="00713917">
        <w:rPr>
          <w:rFonts w:ascii="Times New Roman" w:hAnsi="Times New Roman" w:cs="Times New Roman"/>
          <w:sz w:val="24"/>
          <w:szCs w:val="24"/>
        </w:rPr>
        <w:t xml:space="preserve">, </w:t>
      </w:r>
      <w:r w:rsidR="00647DBF">
        <w:rPr>
          <w:rFonts w:ascii="Times New Roman" w:hAnsi="Times New Roman" w:cs="Times New Roman"/>
          <w:sz w:val="24"/>
          <w:szCs w:val="24"/>
        </w:rPr>
        <w:t>Vol.4, n°538, pp.293-302</w:t>
      </w:r>
    </w:p>
    <w:p w14:paraId="45AB8348" w14:textId="77777777" w:rsidR="00B154D9" w:rsidRPr="00FB0D94" w:rsidRDefault="00B154D9" w:rsidP="00FB0D94">
      <w:pPr>
        <w:ind w:left="708"/>
        <w:jc w:val="both"/>
        <w:rPr>
          <w:rFonts w:ascii="Times New Roman" w:hAnsi="Times New Roman" w:cs="Times New Roman"/>
          <w:sz w:val="24"/>
          <w:szCs w:val="24"/>
        </w:rPr>
      </w:pPr>
      <w:r w:rsidRPr="00FB0D94">
        <w:rPr>
          <w:rFonts w:ascii="Times New Roman" w:hAnsi="Times New Roman" w:cs="Times New Roman"/>
          <w:sz w:val="24"/>
          <w:szCs w:val="24"/>
        </w:rPr>
        <w:t xml:space="preserve">Dinh T., </w:t>
      </w:r>
      <w:proofErr w:type="spellStart"/>
      <w:r w:rsidRPr="00FB0D94">
        <w:rPr>
          <w:rFonts w:ascii="Times New Roman" w:hAnsi="Times New Roman" w:cs="Times New Roman"/>
          <w:sz w:val="24"/>
          <w:szCs w:val="24"/>
        </w:rPr>
        <w:t>Gajewski</w:t>
      </w:r>
      <w:proofErr w:type="spellEnd"/>
      <w:r w:rsidRPr="00FB0D94">
        <w:rPr>
          <w:rFonts w:ascii="Times New Roman" w:hAnsi="Times New Roman" w:cs="Times New Roman"/>
          <w:sz w:val="24"/>
          <w:szCs w:val="24"/>
        </w:rPr>
        <w:t xml:space="preserve"> J.</w:t>
      </w:r>
      <w:r w:rsidR="0049049E" w:rsidRPr="00FB0D94">
        <w:rPr>
          <w:rFonts w:ascii="Times New Roman" w:hAnsi="Times New Roman" w:cs="Times New Roman"/>
          <w:sz w:val="24"/>
          <w:szCs w:val="24"/>
        </w:rPr>
        <w:t>,</w:t>
      </w:r>
      <w:r w:rsidRPr="00FB0D94">
        <w:rPr>
          <w:rFonts w:ascii="Times New Roman" w:hAnsi="Times New Roman" w:cs="Times New Roman"/>
          <w:sz w:val="24"/>
          <w:szCs w:val="24"/>
        </w:rPr>
        <w:t xml:space="preserve"> (2005), « Une étude expérimentale des prévisions des analystes et de l'efficience informationnelle des marchés », </w:t>
      </w:r>
      <w:r w:rsidRPr="00FB0D94">
        <w:rPr>
          <w:rFonts w:ascii="Times New Roman" w:hAnsi="Times New Roman" w:cs="Times New Roman"/>
          <w:i/>
          <w:sz w:val="24"/>
          <w:szCs w:val="24"/>
        </w:rPr>
        <w:t>Revue Française de Gestion</w:t>
      </w:r>
      <w:r w:rsidRPr="00FB0D94">
        <w:rPr>
          <w:rFonts w:ascii="Times New Roman" w:hAnsi="Times New Roman" w:cs="Times New Roman"/>
          <w:sz w:val="24"/>
          <w:szCs w:val="24"/>
        </w:rPr>
        <w:t>, n°157, pp.189-202</w:t>
      </w:r>
    </w:p>
    <w:p w14:paraId="5FD8421D" w14:textId="77777777" w:rsidR="0049049E" w:rsidRPr="00FB0D94" w:rsidRDefault="0049049E" w:rsidP="00FB0D94">
      <w:pPr>
        <w:ind w:left="708"/>
        <w:jc w:val="both"/>
        <w:rPr>
          <w:rFonts w:ascii="Times New Roman" w:hAnsi="Times New Roman" w:cs="Times New Roman"/>
          <w:sz w:val="24"/>
          <w:szCs w:val="24"/>
        </w:rPr>
      </w:pPr>
      <w:proofErr w:type="spellStart"/>
      <w:r w:rsidRPr="00FB0D94">
        <w:rPr>
          <w:rFonts w:ascii="Times New Roman" w:hAnsi="Times New Roman" w:cs="Times New Roman"/>
          <w:sz w:val="24"/>
          <w:szCs w:val="24"/>
        </w:rPr>
        <w:t>Doojin</w:t>
      </w:r>
      <w:proofErr w:type="spellEnd"/>
      <w:r w:rsidRPr="00FB0D94">
        <w:rPr>
          <w:rFonts w:ascii="Times New Roman" w:hAnsi="Times New Roman" w:cs="Times New Roman"/>
          <w:sz w:val="24"/>
          <w:szCs w:val="24"/>
        </w:rPr>
        <w:t xml:space="preserve"> R., </w:t>
      </w:r>
      <w:proofErr w:type="spellStart"/>
      <w:r w:rsidRPr="00FB0D94">
        <w:rPr>
          <w:rFonts w:ascii="Times New Roman" w:hAnsi="Times New Roman" w:cs="Times New Roman"/>
          <w:sz w:val="24"/>
          <w:szCs w:val="24"/>
        </w:rPr>
        <w:t>Hyeyoen</w:t>
      </w:r>
      <w:proofErr w:type="spellEnd"/>
      <w:r w:rsidRPr="00FB0D94">
        <w:rPr>
          <w:rFonts w:ascii="Times New Roman" w:hAnsi="Times New Roman" w:cs="Times New Roman"/>
          <w:sz w:val="24"/>
          <w:szCs w:val="24"/>
        </w:rPr>
        <w:t xml:space="preserve"> K., </w:t>
      </w:r>
      <w:proofErr w:type="spellStart"/>
      <w:r w:rsidRPr="00FB0D94">
        <w:rPr>
          <w:rFonts w:ascii="Times New Roman" w:hAnsi="Times New Roman" w:cs="Times New Roman"/>
          <w:sz w:val="24"/>
          <w:szCs w:val="24"/>
        </w:rPr>
        <w:t>Heejin</w:t>
      </w:r>
      <w:proofErr w:type="spellEnd"/>
      <w:r w:rsidRPr="00FB0D94">
        <w:rPr>
          <w:rFonts w:ascii="Times New Roman" w:hAnsi="Times New Roman" w:cs="Times New Roman"/>
          <w:sz w:val="24"/>
          <w:szCs w:val="24"/>
        </w:rPr>
        <w:t xml:space="preserve"> Y., (2017), « </w:t>
      </w:r>
      <w:proofErr w:type="spellStart"/>
      <w:r w:rsidRPr="00FB0D94">
        <w:rPr>
          <w:rFonts w:ascii="Times New Roman" w:hAnsi="Times New Roman" w:cs="Times New Roman"/>
          <w:sz w:val="24"/>
          <w:szCs w:val="24"/>
        </w:rPr>
        <w:t>Investor</w:t>
      </w:r>
      <w:proofErr w:type="spellEnd"/>
      <w:r w:rsidRPr="00FB0D94">
        <w:rPr>
          <w:rFonts w:ascii="Times New Roman" w:hAnsi="Times New Roman" w:cs="Times New Roman"/>
          <w:sz w:val="24"/>
          <w:szCs w:val="24"/>
        </w:rPr>
        <w:t xml:space="preserve"> sentiment, trading </w:t>
      </w:r>
      <w:proofErr w:type="spellStart"/>
      <w:r w:rsidRPr="00FB0D94">
        <w:rPr>
          <w:rFonts w:ascii="Times New Roman" w:hAnsi="Times New Roman" w:cs="Times New Roman"/>
          <w:sz w:val="24"/>
          <w:szCs w:val="24"/>
        </w:rPr>
        <w:t>behavior</w:t>
      </w:r>
      <w:proofErr w:type="spellEnd"/>
      <w:r w:rsidRPr="00FB0D94">
        <w:rPr>
          <w:rFonts w:ascii="Times New Roman" w:hAnsi="Times New Roman" w:cs="Times New Roman"/>
          <w:sz w:val="24"/>
          <w:szCs w:val="24"/>
        </w:rPr>
        <w:t xml:space="preserve"> and stock </w:t>
      </w:r>
      <w:proofErr w:type="spellStart"/>
      <w:r w:rsidRPr="00FB0D94">
        <w:rPr>
          <w:rFonts w:ascii="Times New Roman" w:hAnsi="Times New Roman" w:cs="Times New Roman"/>
          <w:sz w:val="24"/>
          <w:szCs w:val="24"/>
        </w:rPr>
        <w:t>returns</w:t>
      </w:r>
      <w:proofErr w:type="spellEnd"/>
      <w:r w:rsidRPr="00FB0D94">
        <w:rPr>
          <w:rFonts w:ascii="Times New Roman" w:hAnsi="Times New Roman" w:cs="Times New Roman"/>
          <w:sz w:val="24"/>
          <w:szCs w:val="24"/>
        </w:rPr>
        <w:t xml:space="preserve"> », </w:t>
      </w:r>
      <w:proofErr w:type="spellStart"/>
      <w:r w:rsidRPr="00FB0D94">
        <w:rPr>
          <w:rFonts w:ascii="Times New Roman" w:hAnsi="Times New Roman" w:cs="Times New Roman"/>
          <w:i/>
          <w:sz w:val="24"/>
          <w:szCs w:val="24"/>
        </w:rPr>
        <w:t>Applied</w:t>
      </w:r>
      <w:proofErr w:type="spellEnd"/>
      <w:r w:rsidRPr="00FB0D94">
        <w:rPr>
          <w:rFonts w:ascii="Times New Roman" w:hAnsi="Times New Roman" w:cs="Times New Roman"/>
          <w:i/>
          <w:sz w:val="24"/>
          <w:szCs w:val="24"/>
        </w:rPr>
        <w:t xml:space="preserve"> </w:t>
      </w:r>
      <w:proofErr w:type="spellStart"/>
      <w:r w:rsidRPr="00FB0D94">
        <w:rPr>
          <w:rFonts w:ascii="Times New Roman" w:hAnsi="Times New Roman" w:cs="Times New Roman"/>
          <w:i/>
          <w:sz w:val="24"/>
          <w:szCs w:val="24"/>
        </w:rPr>
        <w:t>Economics</w:t>
      </w:r>
      <w:proofErr w:type="spellEnd"/>
      <w:r w:rsidRPr="00FB0D94">
        <w:rPr>
          <w:rFonts w:ascii="Times New Roman" w:hAnsi="Times New Roman" w:cs="Times New Roman"/>
          <w:i/>
          <w:sz w:val="24"/>
          <w:szCs w:val="24"/>
        </w:rPr>
        <w:t xml:space="preserve"> </w:t>
      </w:r>
      <w:proofErr w:type="spellStart"/>
      <w:r w:rsidRPr="00FB0D94">
        <w:rPr>
          <w:rFonts w:ascii="Times New Roman" w:hAnsi="Times New Roman" w:cs="Times New Roman"/>
          <w:i/>
          <w:sz w:val="24"/>
          <w:szCs w:val="24"/>
        </w:rPr>
        <w:t>Letters</w:t>
      </w:r>
      <w:proofErr w:type="spellEnd"/>
      <w:r w:rsidRPr="00FB0D94">
        <w:rPr>
          <w:rFonts w:ascii="Times New Roman" w:hAnsi="Times New Roman" w:cs="Times New Roman"/>
          <w:sz w:val="24"/>
          <w:szCs w:val="24"/>
        </w:rPr>
        <w:t>, Vol.24, n°12, pp.826-830</w:t>
      </w:r>
    </w:p>
    <w:p w14:paraId="066D2E07" w14:textId="77777777" w:rsidR="00AC7CF9" w:rsidRPr="00FB0D94" w:rsidRDefault="00AC7CF9" w:rsidP="00FB0D94">
      <w:pPr>
        <w:ind w:left="708"/>
        <w:jc w:val="both"/>
        <w:rPr>
          <w:rFonts w:ascii="Times New Roman" w:hAnsi="Times New Roman" w:cs="Times New Roman"/>
          <w:sz w:val="24"/>
          <w:szCs w:val="24"/>
        </w:rPr>
      </w:pPr>
      <w:proofErr w:type="spellStart"/>
      <w:r w:rsidRPr="00FB0D94">
        <w:rPr>
          <w:rFonts w:ascii="Times New Roman" w:hAnsi="Times New Roman" w:cs="Times New Roman"/>
          <w:sz w:val="24"/>
          <w:szCs w:val="24"/>
        </w:rPr>
        <w:t>Eugster</w:t>
      </w:r>
      <w:proofErr w:type="spellEnd"/>
      <w:r w:rsidRPr="00FB0D94">
        <w:rPr>
          <w:rFonts w:ascii="Times New Roman" w:hAnsi="Times New Roman" w:cs="Times New Roman"/>
          <w:sz w:val="24"/>
          <w:szCs w:val="24"/>
        </w:rPr>
        <w:t xml:space="preserve"> N. (2018</w:t>
      </w:r>
      <w:r w:rsidRPr="00FB0D94">
        <w:rPr>
          <w:rFonts w:ascii="Times New Roman" w:hAnsi="Times New Roman" w:cs="Times New Roman"/>
          <w:bCs/>
          <w:sz w:val="24"/>
          <w:szCs w:val="24"/>
        </w:rPr>
        <w:t xml:space="preserve">), « Family </w:t>
      </w:r>
      <w:proofErr w:type="spellStart"/>
      <w:r w:rsidRPr="00FB0D94">
        <w:rPr>
          <w:rFonts w:ascii="Times New Roman" w:hAnsi="Times New Roman" w:cs="Times New Roman"/>
          <w:bCs/>
          <w:sz w:val="24"/>
          <w:szCs w:val="24"/>
        </w:rPr>
        <w:t>firms</w:t>
      </w:r>
      <w:proofErr w:type="spellEnd"/>
      <w:r w:rsidRPr="00FB0D94">
        <w:rPr>
          <w:rFonts w:ascii="Times New Roman" w:hAnsi="Times New Roman" w:cs="Times New Roman"/>
          <w:bCs/>
          <w:sz w:val="24"/>
          <w:szCs w:val="24"/>
        </w:rPr>
        <w:t xml:space="preserve"> and </w:t>
      </w:r>
      <w:proofErr w:type="spellStart"/>
      <w:r w:rsidRPr="00FB0D94">
        <w:rPr>
          <w:rFonts w:ascii="Times New Roman" w:hAnsi="Times New Roman" w:cs="Times New Roman"/>
          <w:bCs/>
          <w:sz w:val="24"/>
          <w:szCs w:val="24"/>
        </w:rPr>
        <w:t>financial</w:t>
      </w:r>
      <w:proofErr w:type="spellEnd"/>
      <w:r w:rsidRPr="00FB0D94">
        <w:rPr>
          <w:rFonts w:ascii="Times New Roman" w:hAnsi="Times New Roman" w:cs="Times New Roman"/>
          <w:bCs/>
          <w:sz w:val="24"/>
          <w:szCs w:val="24"/>
        </w:rPr>
        <w:t xml:space="preserve"> </w:t>
      </w:r>
      <w:proofErr w:type="spellStart"/>
      <w:r w:rsidRPr="00FB0D94">
        <w:rPr>
          <w:rFonts w:ascii="Times New Roman" w:hAnsi="Times New Roman" w:cs="Times New Roman"/>
          <w:bCs/>
          <w:sz w:val="24"/>
          <w:szCs w:val="24"/>
        </w:rPr>
        <w:t>analyst</w:t>
      </w:r>
      <w:proofErr w:type="spellEnd"/>
      <w:r w:rsidRPr="00FB0D94">
        <w:rPr>
          <w:rFonts w:ascii="Times New Roman" w:hAnsi="Times New Roman" w:cs="Times New Roman"/>
          <w:bCs/>
          <w:sz w:val="24"/>
          <w:szCs w:val="24"/>
        </w:rPr>
        <w:t xml:space="preserve"> </w:t>
      </w:r>
      <w:proofErr w:type="spellStart"/>
      <w:r w:rsidRPr="00FB0D94">
        <w:rPr>
          <w:rFonts w:ascii="Times New Roman" w:hAnsi="Times New Roman" w:cs="Times New Roman"/>
          <w:bCs/>
          <w:sz w:val="24"/>
          <w:szCs w:val="24"/>
        </w:rPr>
        <w:t>activity</w:t>
      </w:r>
      <w:proofErr w:type="spellEnd"/>
      <w:r w:rsidRPr="00FB0D94">
        <w:rPr>
          <w:rFonts w:ascii="Times New Roman" w:hAnsi="Times New Roman" w:cs="Times New Roman"/>
          <w:bCs/>
          <w:sz w:val="24"/>
          <w:szCs w:val="24"/>
        </w:rPr>
        <w:t xml:space="preserve"> », </w:t>
      </w:r>
      <w:r w:rsidRPr="00FB0D94">
        <w:rPr>
          <w:rFonts w:ascii="Times New Roman" w:hAnsi="Times New Roman" w:cs="Times New Roman"/>
          <w:bCs/>
          <w:i/>
          <w:sz w:val="24"/>
          <w:szCs w:val="24"/>
        </w:rPr>
        <w:t>Pacific-Basin Finance Journal</w:t>
      </w:r>
      <w:r w:rsidRPr="00FB0D94">
        <w:rPr>
          <w:rFonts w:ascii="Times New Roman" w:hAnsi="Times New Roman" w:cs="Times New Roman"/>
          <w:bCs/>
          <w:sz w:val="24"/>
          <w:szCs w:val="24"/>
        </w:rPr>
        <w:t>, 44 pages</w:t>
      </w:r>
    </w:p>
    <w:p w14:paraId="258B6DB4" w14:textId="5D927BEB" w:rsidR="00CB1B53" w:rsidRDefault="00CB1B53" w:rsidP="00FB0D94">
      <w:pPr>
        <w:spacing w:line="240" w:lineRule="auto"/>
        <w:ind w:left="708"/>
        <w:jc w:val="both"/>
        <w:rPr>
          <w:rFonts w:ascii="Times New Roman" w:hAnsi="Times New Roman" w:cs="Times New Roman"/>
          <w:sz w:val="24"/>
          <w:szCs w:val="24"/>
        </w:rPr>
      </w:pPr>
      <w:r w:rsidRPr="00FB0D94">
        <w:rPr>
          <w:rFonts w:ascii="Times New Roman" w:hAnsi="Times New Roman" w:cs="Times New Roman"/>
          <w:sz w:val="24"/>
          <w:szCs w:val="24"/>
        </w:rPr>
        <w:t xml:space="preserve">Fama E. (1970), « Efficient Capital </w:t>
      </w:r>
      <w:proofErr w:type="spellStart"/>
      <w:proofErr w:type="gramStart"/>
      <w:r w:rsidRPr="00FB0D94">
        <w:rPr>
          <w:rFonts w:ascii="Times New Roman" w:hAnsi="Times New Roman" w:cs="Times New Roman"/>
          <w:sz w:val="24"/>
          <w:szCs w:val="24"/>
        </w:rPr>
        <w:t>Markets</w:t>
      </w:r>
      <w:proofErr w:type="spellEnd"/>
      <w:r w:rsidRPr="00FB0D94">
        <w:rPr>
          <w:rFonts w:ascii="Times New Roman" w:hAnsi="Times New Roman" w:cs="Times New Roman"/>
          <w:sz w:val="24"/>
          <w:szCs w:val="24"/>
        </w:rPr>
        <w:t>:</w:t>
      </w:r>
      <w:proofErr w:type="gramEnd"/>
      <w:r w:rsidRPr="00FB0D94">
        <w:rPr>
          <w:rFonts w:ascii="Times New Roman" w:hAnsi="Times New Roman" w:cs="Times New Roman"/>
          <w:sz w:val="24"/>
          <w:szCs w:val="24"/>
        </w:rPr>
        <w:t xml:space="preserve"> A </w:t>
      </w:r>
      <w:proofErr w:type="spellStart"/>
      <w:r w:rsidRPr="00FB0D94">
        <w:rPr>
          <w:rFonts w:ascii="Times New Roman" w:hAnsi="Times New Roman" w:cs="Times New Roman"/>
          <w:sz w:val="24"/>
          <w:szCs w:val="24"/>
        </w:rPr>
        <w:t>Review</w:t>
      </w:r>
      <w:proofErr w:type="spellEnd"/>
      <w:r w:rsidRPr="00FB0D94">
        <w:rPr>
          <w:rFonts w:ascii="Times New Roman" w:hAnsi="Times New Roman" w:cs="Times New Roman"/>
          <w:sz w:val="24"/>
          <w:szCs w:val="24"/>
        </w:rPr>
        <w:t xml:space="preserve"> of Theory and </w:t>
      </w:r>
      <w:proofErr w:type="spellStart"/>
      <w:r w:rsidRPr="00FB0D94">
        <w:rPr>
          <w:rFonts w:ascii="Times New Roman" w:hAnsi="Times New Roman" w:cs="Times New Roman"/>
          <w:sz w:val="24"/>
          <w:szCs w:val="24"/>
        </w:rPr>
        <w:t>Empirical</w:t>
      </w:r>
      <w:proofErr w:type="spellEnd"/>
      <w:r w:rsidRPr="00FB0D94">
        <w:rPr>
          <w:rFonts w:ascii="Times New Roman" w:hAnsi="Times New Roman" w:cs="Times New Roman"/>
          <w:sz w:val="24"/>
          <w:szCs w:val="24"/>
        </w:rPr>
        <w:t xml:space="preserve"> Work », </w:t>
      </w:r>
      <w:r w:rsidRPr="00FB0D94">
        <w:rPr>
          <w:rFonts w:ascii="Times New Roman" w:hAnsi="Times New Roman" w:cs="Times New Roman"/>
          <w:i/>
          <w:sz w:val="24"/>
          <w:szCs w:val="24"/>
        </w:rPr>
        <w:t>Journal of Finance</w:t>
      </w:r>
      <w:r w:rsidRPr="00FB0D94">
        <w:rPr>
          <w:rFonts w:ascii="Times New Roman" w:hAnsi="Times New Roman" w:cs="Times New Roman"/>
          <w:sz w:val="24"/>
          <w:szCs w:val="24"/>
        </w:rPr>
        <w:t>, Vol.25, n°3, pp.383-417</w:t>
      </w:r>
    </w:p>
    <w:p w14:paraId="57A8D44A" w14:textId="2B73B84A" w:rsidR="005C157A" w:rsidRPr="00FB0D94" w:rsidRDefault="005C157A" w:rsidP="00FB0D94">
      <w:pPr>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Frugier A. (2014), « </w:t>
      </w:r>
      <w:r w:rsidR="005305EF" w:rsidRPr="005305EF">
        <w:rPr>
          <w:rFonts w:ascii="Times New Roman" w:hAnsi="Times New Roman" w:cs="Times New Roman"/>
          <w:sz w:val="24"/>
          <w:szCs w:val="24"/>
        </w:rPr>
        <w:t>L</w:t>
      </w:r>
      <w:r w:rsidR="005305EF">
        <w:rPr>
          <w:rFonts w:ascii="Times New Roman" w:hAnsi="Times New Roman" w:cs="Times New Roman"/>
          <w:sz w:val="24"/>
          <w:szCs w:val="24"/>
        </w:rPr>
        <w:t>e</w:t>
      </w:r>
      <w:r w:rsidR="005305EF" w:rsidRPr="005305EF">
        <w:rPr>
          <w:rFonts w:ascii="Times New Roman" w:hAnsi="Times New Roman" w:cs="Times New Roman"/>
          <w:sz w:val="24"/>
          <w:szCs w:val="24"/>
        </w:rPr>
        <w:t xml:space="preserve"> </w:t>
      </w:r>
      <w:r w:rsidR="005305EF">
        <w:rPr>
          <w:rFonts w:ascii="Times New Roman" w:hAnsi="Times New Roman" w:cs="Times New Roman"/>
          <w:sz w:val="24"/>
          <w:szCs w:val="24"/>
        </w:rPr>
        <w:t>sentiment de marché</w:t>
      </w:r>
      <w:r w:rsidR="005305EF" w:rsidRPr="005305EF">
        <w:rPr>
          <w:rFonts w:ascii="Times New Roman" w:hAnsi="Times New Roman" w:cs="Times New Roman"/>
          <w:sz w:val="24"/>
          <w:szCs w:val="24"/>
        </w:rPr>
        <w:t xml:space="preserve"> : </w:t>
      </w:r>
      <w:r w:rsidR="005305EF">
        <w:rPr>
          <w:rFonts w:ascii="Times New Roman" w:hAnsi="Times New Roman" w:cs="Times New Roman"/>
          <w:sz w:val="24"/>
          <w:szCs w:val="24"/>
        </w:rPr>
        <w:t xml:space="preserve">un indicateur </w:t>
      </w:r>
      <w:proofErr w:type="spellStart"/>
      <w:r w:rsidR="005305EF" w:rsidRPr="005305EF">
        <w:rPr>
          <w:rFonts w:ascii="Times New Roman" w:hAnsi="Times New Roman" w:cs="Times New Roman"/>
          <w:i/>
          <w:iCs/>
          <w:sz w:val="24"/>
          <w:szCs w:val="24"/>
        </w:rPr>
        <w:t>contrarian</w:t>
      </w:r>
      <w:proofErr w:type="spellEnd"/>
      <w:r w:rsidR="005305EF" w:rsidRPr="005305EF">
        <w:rPr>
          <w:rFonts w:ascii="Times New Roman" w:hAnsi="Times New Roman" w:cs="Times New Roman"/>
          <w:sz w:val="24"/>
          <w:szCs w:val="24"/>
        </w:rPr>
        <w:t xml:space="preserve"> ?</w:t>
      </w:r>
      <w:r w:rsidR="005305EF">
        <w:rPr>
          <w:rFonts w:ascii="Times New Roman" w:hAnsi="Times New Roman" w:cs="Times New Roman"/>
          <w:sz w:val="24"/>
          <w:szCs w:val="24"/>
        </w:rPr>
        <w:t xml:space="preserve"> », </w:t>
      </w:r>
      <w:r w:rsidR="00B07A90" w:rsidRPr="00166EF1">
        <w:rPr>
          <w:rFonts w:ascii="Times New Roman" w:hAnsi="Times New Roman" w:cs="Times New Roman"/>
          <w:i/>
          <w:iCs/>
          <w:sz w:val="24"/>
          <w:szCs w:val="24"/>
        </w:rPr>
        <w:t>Management et Avenir</w:t>
      </w:r>
      <w:r w:rsidR="00B07A90">
        <w:rPr>
          <w:rFonts w:ascii="Times New Roman" w:hAnsi="Times New Roman" w:cs="Times New Roman"/>
          <w:sz w:val="24"/>
          <w:szCs w:val="24"/>
        </w:rPr>
        <w:t xml:space="preserve">, Vol.8, n°74, pp. </w:t>
      </w:r>
      <w:r w:rsidR="00166EF1">
        <w:rPr>
          <w:rFonts w:ascii="Times New Roman" w:hAnsi="Times New Roman" w:cs="Times New Roman"/>
          <w:sz w:val="24"/>
          <w:szCs w:val="24"/>
        </w:rPr>
        <w:t>53</w:t>
      </w:r>
      <w:r w:rsidR="00B07A90">
        <w:rPr>
          <w:rFonts w:ascii="Times New Roman" w:hAnsi="Times New Roman" w:cs="Times New Roman"/>
          <w:sz w:val="24"/>
          <w:szCs w:val="24"/>
        </w:rPr>
        <w:t>-</w:t>
      </w:r>
      <w:r w:rsidR="00166EF1">
        <w:rPr>
          <w:rFonts w:ascii="Times New Roman" w:hAnsi="Times New Roman" w:cs="Times New Roman"/>
          <w:sz w:val="24"/>
          <w:szCs w:val="24"/>
        </w:rPr>
        <w:t>69</w:t>
      </w:r>
    </w:p>
    <w:p w14:paraId="70FC5DD7" w14:textId="77777777" w:rsidR="009744F0" w:rsidRPr="00FB0D94" w:rsidRDefault="009744F0" w:rsidP="00FB0D94">
      <w:pPr>
        <w:pStyle w:val="Paragraphedeliste"/>
        <w:spacing w:line="264" w:lineRule="auto"/>
        <w:ind w:left="708"/>
        <w:jc w:val="both"/>
        <w:rPr>
          <w:rFonts w:ascii="Times New Roman" w:hAnsi="Times New Roman" w:cs="Times New Roman"/>
          <w:sz w:val="24"/>
          <w:szCs w:val="24"/>
        </w:rPr>
      </w:pPr>
      <w:proofErr w:type="spellStart"/>
      <w:r w:rsidRPr="00FB0D94">
        <w:rPr>
          <w:rFonts w:ascii="Times New Roman" w:hAnsi="Times New Roman" w:cs="Times New Roman"/>
          <w:sz w:val="24"/>
          <w:szCs w:val="24"/>
        </w:rPr>
        <w:t>Godechot</w:t>
      </w:r>
      <w:proofErr w:type="spellEnd"/>
      <w:r w:rsidRPr="00FB0D94">
        <w:rPr>
          <w:rFonts w:ascii="Times New Roman" w:hAnsi="Times New Roman" w:cs="Times New Roman"/>
          <w:sz w:val="24"/>
          <w:szCs w:val="24"/>
        </w:rPr>
        <w:t xml:space="preserve"> O. (2001), « Les traders, essai sociologique sur les marchés financiers », Editions La Découverte, 299 pages</w:t>
      </w:r>
    </w:p>
    <w:p w14:paraId="1CA8FDF0" w14:textId="46AA2CEA" w:rsidR="00CD7704" w:rsidRPr="00FB0D94" w:rsidRDefault="00CD7704" w:rsidP="00FB0D94">
      <w:pPr>
        <w:ind w:left="708"/>
        <w:jc w:val="both"/>
        <w:rPr>
          <w:rFonts w:ascii="Times New Roman" w:hAnsi="Times New Roman" w:cs="Times New Roman"/>
          <w:sz w:val="24"/>
          <w:szCs w:val="24"/>
        </w:rPr>
      </w:pPr>
      <w:proofErr w:type="spellStart"/>
      <w:r w:rsidRPr="00FB0D94">
        <w:rPr>
          <w:rFonts w:ascii="Times New Roman" w:hAnsi="Times New Roman" w:cs="Times New Roman"/>
          <w:sz w:val="24"/>
          <w:szCs w:val="24"/>
        </w:rPr>
        <w:t>Godechot</w:t>
      </w:r>
      <w:proofErr w:type="spellEnd"/>
      <w:r w:rsidRPr="00FB0D94">
        <w:rPr>
          <w:rFonts w:ascii="Times New Roman" w:hAnsi="Times New Roman" w:cs="Times New Roman"/>
          <w:sz w:val="24"/>
          <w:szCs w:val="24"/>
        </w:rPr>
        <w:t xml:space="preserve"> O. (2008), « Stratégies financières autour d'une table », </w:t>
      </w:r>
      <w:r w:rsidRPr="00FB0D94">
        <w:rPr>
          <w:rFonts w:ascii="Times New Roman" w:hAnsi="Times New Roman" w:cs="Times New Roman"/>
          <w:i/>
          <w:sz w:val="24"/>
          <w:szCs w:val="24"/>
        </w:rPr>
        <w:t>Regards croisés sur l'économie</w:t>
      </w:r>
      <w:r w:rsidRPr="00FB0D94">
        <w:rPr>
          <w:rFonts w:ascii="Times New Roman" w:hAnsi="Times New Roman" w:cs="Times New Roman"/>
          <w:sz w:val="24"/>
          <w:szCs w:val="24"/>
        </w:rPr>
        <w:t>, Vol.1, n°3, pp.144-156</w:t>
      </w:r>
    </w:p>
    <w:p w14:paraId="1A22AB58" w14:textId="77777777" w:rsidR="006F61FF" w:rsidRPr="00FB0D94" w:rsidRDefault="006F61FF" w:rsidP="00FB0D94">
      <w:pPr>
        <w:ind w:left="708"/>
        <w:jc w:val="both"/>
        <w:rPr>
          <w:rFonts w:ascii="Times New Roman" w:hAnsi="Times New Roman" w:cs="Times New Roman"/>
          <w:sz w:val="24"/>
          <w:szCs w:val="24"/>
        </w:rPr>
      </w:pPr>
      <w:proofErr w:type="spellStart"/>
      <w:r w:rsidRPr="00FB0D94">
        <w:rPr>
          <w:rFonts w:ascii="Times New Roman" w:hAnsi="Times New Roman" w:cs="Times New Roman"/>
          <w:sz w:val="24"/>
          <w:szCs w:val="24"/>
        </w:rPr>
        <w:lastRenderedPageBreak/>
        <w:t>Halilbegovic</w:t>
      </w:r>
      <w:proofErr w:type="spellEnd"/>
      <w:r w:rsidRPr="00FB0D94">
        <w:rPr>
          <w:rFonts w:ascii="Times New Roman" w:hAnsi="Times New Roman" w:cs="Times New Roman"/>
          <w:sz w:val="24"/>
          <w:szCs w:val="24"/>
        </w:rPr>
        <w:t xml:space="preserve"> S. (2016), « MACD - </w:t>
      </w:r>
      <w:proofErr w:type="spellStart"/>
      <w:r w:rsidRPr="00FB0D94">
        <w:rPr>
          <w:rFonts w:ascii="Times New Roman" w:hAnsi="Times New Roman" w:cs="Times New Roman"/>
          <w:sz w:val="24"/>
          <w:szCs w:val="24"/>
        </w:rPr>
        <w:t>Analysis</w:t>
      </w:r>
      <w:proofErr w:type="spellEnd"/>
      <w:r w:rsidRPr="00FB0D94">
        <w:rPr>
          <w:rFonts w:ascii="Times New Roman" w:hAnsi="Times New Roman" w:cs="Times New Roman"/>
          <w:sz w:val="24"/>
          <w:szCs w:val="24"/>
        </w:rPr>
        <w:t xml:space="preserve"> of </w:t>
      </w:r>
      <w:proofErr w:type="spellStart"/>
      <w:r w:rsidRPr="00FB0D94">
        <w:rPr>
          <w:rFonts w:ascii="Times New Roman" w:hAnsi="Times New Roman" w:cs="Times New Roman"/>
          <w:sz w:val="24"/>
          <w:szCs w:val="24"/>
        </w:rPr>
        <w:t>Weaknesses</w:t>
      </w:r>
      <w:proofErr w:type="spellEnd"/>
      <w:r w:rsidRPr="00FB0D94">
        <w:rPr>
          <w:rFonts w:ascii="Times New Roman" w:hAnsi="Times New Roman" w:cs="Times New Roman"/>
          <w:sz w:val="24"/>
          <w:szCs w:val="24"/>
        </w:rPr>
        <w:t xml:space="preserve"> of the Most </w:t>
      </w:r>
      <w:proofErr w:type="spellStart"/>
      <w:r w:rsidRPr="00FB0D94">
        <w:rPr>
          <w:rFonts w:ascii="Times New Roman" w:hAnsi="Times New Roman" w:cs="Times New Roman"/>
          <w:sz w:val="24"/>
          <w:szCs w:val="24"/>
        </w:rPr>
        <w:t>Powerful</w:t>
      </w:r>
      <w:proofErr w:type="spellEnd"/>
      <w:r w:rsidRPr="00FB0D94">
        <w:rPr>
          <w:rFonts w:ascii="Times New Roman" w:hAnsi="Times New Roman" w:cs="Times New Roman"/>
          <w:sz w:val="24"/>
          <w:szCs w:val="24"/>
        </w:rPr>
        <w:t xml:space="preserve"> </w:t>
      </w:r>
      <w:proofErr w:type="spellStart"/>
      <w:r w:rsidRPr="00FB0D94">
        <w:rPr>
          <w:rFonts w:ascii="Times New Roman" w:hAnsi="Times New Roman" w:cs="Times New Roman"/>
          <w:sz w:val="24"/>
          <w:szCs w:val="24"/>
        </w:rPr>
        <w:t>Technical</w:t>
      </w:r>
      <w:proofErr w:type="spellEnd"/>
      <w:r w:rsidRPr="00FB0D94">
        <w:rPr>
          <w:rFonts w:ascii="Times New Roman" w:hAnsi="Times New Roman" w:cs="Times New Roman"/>
          <w:sz w:val="24"/>
          <w:szCs w:val="24"/>
        </w:rPr>
        <w:t xml:space="preserve"> </w:t>
      </w:r>
      <w:proofErr w:type="spellStart"/>
      <w:r w:rsidRPr="00FB0D94">
        <w:rPr>
          <w:rFonts w:ascii="Times New Roman" w:hAnsi="Times New Roman" w:cs="Times New Roman"/>
          <w:sz w:val="24"/>
          <w:szCs w:val="24"/>
        </w:rPr>
        <w:t>Analysis</w:t>
      </w:r>
      <w:proofErr w:type="spellEnd"/>
      <w:r w:rsidRPr="00FB0D94">
        <w:rPr>
          <w:rFonts w:ascii="Times New Roman" w:hAnsi="Times New Roman" w:cs="Times New Roman"/>
          <w:sz w:val="24"/>
          <w:szCs w:val="24"/>
        </w:rPr>
        <w:t xml:space="preserve"> Tool », </w:t>
      </w:r>
      <w:r w:rsidRPr="001709EC">
        <w:rPr>
          <w:rFonts w:ascii="Times New Roman" w:hAnsi="Times New Roman" w:cs="Times New Roman"/>
          <w:i/>
          <w:iCs/>
          <w:sz w:val="24"/>
          <w:szCs w:val="24"/>
        </w:rPr>
        <w:t>Independent Journal of Management &amp; Production</w:t>
      </w:r>
      <w:r w:rsidRPr="00FB0D94">
        <w:rPr>
          <w:rFonts w:ascii="Times New Roman" w:hAnsi="Times New Roman" w:cs="Times New Roman"/>
          <w:sz w:val="24"/>
          <w:szCs w:val="24"/>
        </w:rPr>
        <w:t>, Vol.7, n°2, pp.367-379</w:t>
      </w:r>
    </w:p>
    <w:p w14:paraId="3F140990" w14:textId="00628EBA" w:rsidR="00DB45B6" w:rsidRDefault="00DB45B6" w:rsidP="00FB0D94">
      <w:pPr>
        <w:spacing w:line="240" w:lineRule="auto"/>
        <w:ind w:left="708"/>
        <w:jc w:val="both"/>
        <w:rPr>
          <w:rFonts w:ascii="Times New Roman" w:hAnsi="Times New Roman" w:cs="Times New Roman"/>
          <w:sz w:val="24"/>
          <w:szCs w:val="24"/>
        </w:rPr>
      </w:pPr>
      <w:r w:rsidRPr="00FB0D94">
        <w:rPr>
          <w:rFonts w:ascii="Times New Roman" w:hAnsi="Times New Roman" w:cs="Times New Roman"/>
          <w:sz w:val="24"/>
          <w:szCs w:val="24"/>
        </w:rPr>
        <w:t xml:space="preserve">Han B., Tang Y., Yang L., (2016), « Public information and </w:t>
      </w:r>
      <w:proofErr w:type="spellStart"/>
      <w:r w:rsidRPr="00FB0D94">
        <w:rPr>
          <w:rFonts w:ascii="Times New Roman" w:hAnsi="Times New Roman" w:cs="Times New Roman"/>
          <w:sz w:val="24"/>
          <w:szCs w:val="24"/>
        </w:rPr>
        <w:t>uninformed</w:t>
      </w:r>
      <w:proofErr w:type="spellEnd"/>
      <w:r w:rsidRPr="00FB0D94">
        <w:rPr>
          <w:rFonts w:ascii="Times New Roman" w:hAnsi="Times New Roman" w:cs="Times New Roman"/>
          <w:sz w:val="24"/>
          <w:szCs w:val="24"/>
        </w:rPr>
        <w:t xml:space="preserve"> </w:t>
      </w:r>
      <w:proofErr w:type="gramStart"/>
      <w:r w:rsidRPr="00FB0D94">
        <w:rPr>
          <w:rFonts w:ascii="Times New Roman" w:hAnsi="Times New Roman" w:cs="Times New Roman"/>
          <w:sz w:val="24"/>
          <w:szCs w:val="24"/>
        </w:rPr>
        <w:t>trading:</w:t>
      </w:r>
      <w:proofErr w:type="gramEnd"/>
      <w:r w:rsidRPr="00FB0D94">
        <w:rPr>
          <w:rFonts w:ascii="Times New Roman" w:hAnsi="Times New Roman" w:cs="Times New Roman"/>
          <w:sz w:val="24"/>
          <w:szCs w:val="24"/>
        </w:rPr>
        <w:t xml:space="preserve"> Implications for </w:t>
      </w:r>
      <w:proofErr w:type="spellStart"/>
      <w:r w:rsidRPr="00FB0D94">
        <w:rPr>
          <w:rFonts w:ascii="Times New Roman" w:hAnsi="Times New Roman" w:cs="Times New Roman"/>
          <w:sz w:val="24"/>
          <w:szCs w:val="24"/>
        </w:rPr>
        <w:t>market</w:t>
      </w:r>
      <w:proofErr w:type="spellEnd"/>
      <w:r w:rsidRPr="00FB0D94">
        <w:rPr>
          <w:rFonts w:ascii="Times New Roman" w:hAnsi="Times New Roman" w:cs="Times New Roman"/>
          <w:sz w:val="24"/>
          <w:szCs w:val="24"/>
        </w:rPr>
        <w:t xml:space="preserve"> </w:t>
      </w:r>
      <w:proofErr w:type="spellStart"/>
      <w:r w:rsidRPr="00FB0D94">
        <w:rPr>
          <w:rFonts w:ascii="Times New Roman" w:hAnsi="Times New Roman" w:cs="Times New Roman"/>
          <w:sz w:val="24"/>
          <w:szCs w:val="24"/>
        </w:rPr>
        <w:t>liquidity</w:t>
      </w:r>
      <w:proofErr w:type="spellEnd"/>
      <w:r w:rsidRPr="00FB0D94">
        <w:rPr>
          <w:rFonts w:ascii="Times New Roman" w:hAnsi="Times New Roman" w:cs="Times New Roman"/>
          <w:sz w:val="24"/>
          <w:szCs w:val="24"/>
        </w:rPr>
        <w:t xml:space="preserve"> and </w:t>
      </w:r>
      <w:proofErr w:type="spellStart"/>
      <w:r w:rsidRPr="00FB0D94">
        <w:rPr>
          <w:rFonts w:ascii="Times New Roman" w:hAnsi="Times New Roman" w:cs="Times New Roman"/>
          <w:sz w:val="24"/>
          <w:szCs w:val="24"/>
        </w:rPr>
        <w:t>price</w:t>
      </w:r>
      <w:proofErr w:type="spellEnd"/>
      <w:r w:rsidRPr="00FB0D94">
        <w:rPr>
          <w:rFonts w:ascii="Times New Roman" w:hAnsi="Times New Roman" w:cs="Times New Roman"/>
          <w:sz w:val="24"/>
          <w:szCs w:val="24"/>
        </w:rPr>
        <w:t xml:space="preserve"> </w:t>
      </w:r>
      <w:proofErr w:type="spellStart"/>
      <w:r w:rsidRPr="00FB0D94">
        <w:rPr>
          <w:rFonts w:ascii="Times New Roman" w:hAnsi="Times New Roman" w:cs="Times New Roman"/>
          <w:sz w:val="24"/>
          <w:szCs w:val="24"/>
        </w:rPr>
        <w:t>efficiency</w:t>
      </w:r>
      <w:proofErr w:type="spellEnd"/>
      <w:r w:rsidRPr="00FB0D94">
        <w:rPr>
          <w:rFonts w:ascii="Times New Roman" w:hAnsi="Times New Roman" w:cs="Times New Roman"/>
          <w:sz w:val="24"/>
          <w:szCs w:val="24"/>
        </w:rPr>
        <w:t xml:space="preserve"> », </w:t>
      </w:r>
      <w:r w:rsidRPr="00FB0D94">
        <w:rPr>
          <w:rFonts w:ascii="Times New Roman" w:hAnsi="Times New Roman" w:cs="Times New Roman"/>
          <w:i/>
          <w:sz w:val="24"/>
          <w:szCs w:val="24"/>
        </w:rPr>
        <w:t xml:space="preserve">Journal of </w:t>
      </w:r>
      <w:proofErr w:type="spellStart"/>
      <w:r w:rsidRPr="00FB0D94">
        <w:rPr>
          <w:rFonts w:ascii="Times New Roman" w:hAnsi="Times New Roman" w:cs="Times New Roman"/>
          <w:i/>
          <w:sz w:val="24"/>
          <w:szCs w:val="24"/>
        </w:rPr>
        <w:t>Economic</w:t>
      </w:r>
      <w:proofErr w:type="spellEnd"/>
      <w:r w:rsidRPr="00FB0D94">
        <w:rPr>
          <w:rFonts w:ascii="Times New Roman" w:hAnsi="Times New Roman" w:cs="Times New Roman"/>
          <w:i/>
          <w:sz w:val="24"/>
          <w:szCs w:val="24"/>
        </w:rPr>
        <w:t xml:space="preserve"> Theory</w:t>
      </w:r>
      <w:r w:rsidRPr="00FB0D94">
        <w:rPr>
          <w:rFonts w:ascii="Times New Roman" w:hAnsi="Times New Roman" w:cs="Times New Roman"/>
          <w:sz w:val="24"/>
          <w:szCs w:val="24"/>
        </w:rPr>
        <w:t>, Vol.163, pp.604-643</w:t>
      </w:r>
    </w:p>
    <w:p w14:paraId="600A2D77" w14:textId="578D917C" w:rsidR="005548E9" w:rsidRPr="00D624F3" w:rsidRDefault="005548E9" w:rsidP="00FB0D94">
      <w:pPr>
        <w:spacing w:line="240" w:lineRule="auto"/>
        <w:ind w:left="708"/>
        <w:jc w:val="both"/>
        <w:rPr>
          <w:rFonts w:ascii="Times New Roman" w:hAnsi="Times New Roman" w:cs="Times New Roman"/>
          <w:sz w:val="24"/>
          <w:szCs w:val="24"/>
        </w:rPr>
      </w:pPr>
      <w:r w:rsidRPr="00D624F3">
        <w:rPr>
          <w:rFonts w:ascii="Times New Roman" w:hAnsi="Times New Roman" w:cs="Times New Roman"/>
          <w:sz w:val="24"/>
          <w:szCs w:val="24"/>
        </w:rPr>
        <w:t xml:space="preserve">Harrison G., List J., </w:t>
      </w:r>
      <w:r w:rsidR="00D624F3">
        <w:rPr>
          <w:rFonts w:ascii="Times New Roman" w:hAnsi="Times New Roman" w:cs="Times New Roman"/>
          <w:sz w:val="24"/>
          <w:szCs w:val="24"/>
        </w:rPr>
        <w:t>(</w:t>
      </w:r>
      <w:r w:rsidRPr="00D624F3">
        <w:rPr>
          <w:rFonts w:ascii="Times New Roman" w:hAnsi="Times New Roman" w:cs="Times New Roman"/>
          <w:sz w:val="24"/>
          <w:szCs w:val="24"/>
        </w:rPr>
        <w:t>2004</w:t>
      </w:r>
      <w:r w:rsidR="00D624F3">
        <w:rPr>
          <w:rFonts w:ascii="Times New Roman" w:hAnsi="Times New Roman" w:cs="Times New Roman"/>
          <w:sz w:val="24"/>
          <w:szCs w:val="24"/>
        </w:rPr>
        <w:t>), « </w:t>
      </w:r>
      <w:r w:rsidR="00FE3034" w:rsidRPr="00FE3034">
        <w:rPr>
          <w:rFonts w:ascii="Times New Roman" w:hAnsi="Times New Roman" w:cs="Times New Roman"/>
          <w:sz w:val="24"/>
          <w:szCs w:val="24"/>
        </w:rPr>
        <w:t xml:space="preserve">Field </w:t>
      </w:r>
      <w:proofErr w:type="spellStart"/>
      <w:r w:rsidR="00FE3034" w:rsidRPr="00FE3034">
        <w:rPr>
          <w:rFonts w:ascii="Times New Roman" w:hAnsi="Times New Roman" w:cs="Times New Roman"/>
          <w:sz w:val="24"/>
          <w:szCs w:val="24"/>
        </w:rPr>
        <w:t>Experiments</w:t>
      </w:r>
      <w:proofErr w:type="spellEnd"/>
      <w:r w:rsidR="00FE3034">
        <w:rPr>
          <w:rFonts w:ascii="Times New Roman" w:hAnsi="Times New Roman" w:cs="Times New Roman"/>
          <w:sz w:val="24"/>
          <w:szCs w:val="24"/>
        </w:rPr>
        <w:t xml:space="preserve"> », </w:t>
      </w:r>
      <w:r w:rsidR="00FE3034" w:rsidRPr="00FE3034">
        <w:rPr>
          <w:rFonts w:ascii="Times New Roman" w:hAnsi="Times New Roman" w:cs="Times New Roman"/>
          <w:i/>
          <w:iCs/>
          <w:sz w:val="24"/>
          <w:szCs w:val="24"/>
        </w:rPr>
        <w:t xml:space="preserve">Journal of </w:t>
      </w:r>
      <w:proofErr w:type="spellStart"/>
      <w:r w:rsidR="00FE3034" w:rsidRPr="00FE3034">
        <w:rPr>
          <w:rFonts w:ascii="Times New Roman" w:hAnsi="Times New Roman" w:cs="Times New Roman"/>
          <w:i/>
          <w:iCs/>
          <w:sz w:val="24"/>
          <w:szCs w:val="24"/>
        </w:rPr>
        <w:t>Economic</w:t>
      </w:r>
      <w:proofErr w:type="spellEnd"/>
      <w:r w:rsidR="00FE3034" w:rsidRPr="00FE3034">
        <w:rPr>
          <w:rFonts w:ascii="Times New Roman" w:hAnsi="Times New Roman" w:cs="Times New Roman"/>
          <w:i/>
          <w:iCs/>
          <w:sz w:val="24"/>
          <w:szCs w:val="24"/>
        </w:rPr>
        <w:t xml:space="preserve"> </w:t>
      </w:r>
      <w:proofErr w:type="spellStart"/>
      <w:r w:rsidR="00FE3034" w:rsidRPr="00FE3034">
        <w:rPr>
          <w:rFonts w:ascii="Times New Roman" w:hAnsi="Times New Roman" w:cs="Times New Roman"/>
          <w:i/>
          <w:iCs/>
          <w:sz w:val="24"/>
          <w:szCs w:val="24"/>
        </w:rPr>
        <w:t>Literature</w:t>
      </w:r>
      <w:proofErr w:type="spellEnd"/>
      <w:r w:rsidR="00FE3034" w:rsidRPr="00FE3034">
        <w:rPr>
          <w:rFonts w:ascii="Times New Roman" w:hAnsi="Times New Roman" w:cs="Times New Roman"/>
          <w:i/>
          <w:iCs/>
          <w:sz w:val="24"/>
          <w:szCs w:val="24"/>
        </w:rPr>
        <w:t>,</w:t>
      </w:r>
      <w:r w:rsidR="00FE3034" w:rsidRPr="00FE3034">
        <w:rPr>
          <w:rFonts w:ascii="Times New Roman" w:hAnsi="Times New Roman" w:cs="Times New Roman"/>
          <w:sz w:val="24"/>
          <w:szCs w:val="24"/>
        </w:rPr>
        <w:t xml:space="preserve"> </w:t>
      </w:r>
      <w:r w:rsidR="00FE3034">
        <w:rPr>
          <w:rFonts w:ascii="Times New Roman" w:hAnsi="Times New Roman" w:cs="Times New Roman"/>
          <w:sz w:val="24"/>
          <w:szCs w:val="24"/>
        </w:rPr>
        <w:t xml:space="preserve">Vol.42, n°4, </w:t>
      </w:r>
      <w:r w:rsidR="00093000">
        <w:rPr>
          <w:rFonts w:ascii="Times New Roman" w:hAnsi="Times New Roman" w:cs="Times New Roman"/>
          <w:sz w:val="24"/>
          <w:szCs w:val="24"/>
        </w:rPr>
        <w:t>pp.1009-1055</w:t>
      </w:r>
    </w:p>
    <w:p w14:paraId="7EBFB4CC" w14:textId="5D2A1E5F" w:rsidR="0006376E" w:rsidRDefault="0006376E" w:rsidP="00FB0D94">
      <w:pPr>
        <w:spacing w:line="240" w:lineRule="auto"/>
        <w:ind w:left="708"/>
        <w:jc w:val="both"/>
        <w:rPr>
          <w:rFonts w:ascii="Times New Roman" w:hAnsi="Times New Roman" w:cs="Times New Roman"/>
          <w:sz w:val="24"/>
          <w:szCs w:val="24"/>
        </w:rPr>
      </w:pPr>
      <w:proofErr w:type="spellStart"/>
      <w:r w:rsidRPr="00FB0D94">
        <w:rPr>
          <w:rFonts w:ascii="Times New Roman" w:hAnsi="Times New Roman" w:cs="Times New Roman"/>
          <w:sz w:val="24"/>
          <w:szCs w:val="24"/>
        </w:rPr>
        <w:t>Hautcoeur</w:t>
      </w:r>
      <w:proofErr w:type="spellEnd"/>
      <w:r w:rsidRPr="00FB0D94">
        <w:rPr>
          <w:rFonts w:ascii="Times New Roman" w:hAnsi="Times New Roman" w:cs="Times New Roman"/>
          <w:sz w:val="24"/>
          <w:szCs w:val="24"/>
        </w:rPr>
        <w:t xml:space="preserve"> P., (2011), « Les marchés financiers : péril ou opportunité pour l'industrie ? Quelques enseignements d'un épisode oublié de l'histoire de la Bourse de Paris », </w:t>
      </w:r>
      <w:r w:rsidRPr="00FB0D94">
        <w:rPr>
          <w:rFonts w:ascii="Times New Roman" w:hAnsi="Times New Roman" w:cs="Times New Roman"/>
          <w:i/>
          <w:sz w:val="24"/>
          <w:szCs w:val="24"/>
        </w:rPr>
        <w:t>Revue d’Economie Financière</w:t>
      </w:r>
      <w:r w:rsidRPr="00FB0D94">
        <w:rPr>
          <w:rFonts w:ascii="Times New Roman" w:hAnsi="Times New Roman" w:cs="Times New Roman"/>
          <w:sz w:val="24"/>
          <w:szCs w:val="24"/>
        </w:rPr>
        <w:t>, Vol.4, n°104, pp.51-70</w:t>
      </w:r>
    </w:p>
    <w:p w14:paraId="33DC1381" w14:textId="64E6BCE8" w:rsidR="00900322" w:rsidRDefault="00900322" w:rsidP="00B367A5">
      <w:pPr>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Holt C. (1996), « </w:t>
      </w:r>
      <w:r w:rsidR="00B367A5" w:rsidRPr="00B367A5">
        <w:rPr>
          <w:rFonts w:ascii="Times New Roman" w:hAnsi="Times New Roman" w:cs="Times New Roman"/>
          <w:sz w:val="24"/>
          <w:szCs w:val="24"/>
        </w:rPr>
        <w:t>Classroom Games</w:t>
      </w:r>
      <w:r w:rsidR="00B367A5">
        <w:rPr>
          <w:rFonts w:ascii="Times New Roman" w:hAnsi="Times New Roman" w:cs="Times New Roman"/>
          <w:sz w:val="24"/>
          <w:szCs w:val="24"/>
        </w:rPr>
        <w:t xml:space="preserve"> : </w:t>
      </w:r>
      <w:r w:rsidR="00B367A5" w:rsidRPr="00B367A5">
        <w:rPr>
          <w:rFonts w:ascii="Times New Roman" w:hAnsi="Times New Roman" w:cs="Times New Roman"/>
          <w:sz w:val="24"/>
          <w:szCs w:val="24"/>
        </w:rPr>
        <w:t xml:space="preserve">Trading in a Pit </w:t>
      </w:r>
      <w:proofErr w:type="spellStart"/>
      <w:r w:rsidR="00B367A5" w:rsidRPr="00B367A5">
        <w:rPr>
          <w:rFonts w:ascii="Times New Roman" w:hAnsi="Times New Roman" w:cs="Times New Roman"/>
          <w:sz w:val="24"/>
          <w:szCs w:val="24"/>
        </w:rPr>
        <w:t>Market</w:t>
      </w:r>
      <w:proofErr w:type="spellEnd"/>
      <w:r w:rsidR="00B367A5">
        <w:rPr>
          <w:rFonts w:ascii="Times New Roman" w:hAnsi="Times New Roman" w:cs="Times New Roman"/>
          <w:sz w:val="24"/>
          <w:szCs w:val="24"/>
        </w:rPr>
        <w:t xml:space="preserve"> », </w:t>
      </w:r>
      <w:r w:rsidR="00B367A5" w:rsidRPr="001847FF">
        <w:rPr>
          <w:rFonts w:ascii="Times New Roman" w:hAnsi="Times New Roman" w:cs="Times New Roman"/>
          <w:i/>
          <w:iCs/>
          <w:sz w:val="24"/>
          <w:szCs w:val="24"/>
        </w:rPr>
        <w:t xml:space="preserve">Journal of </w:t>
      </w:r>
      <w:proofErr w:type="spellStart"/>
      <w:r w:rsidR="00B367A5" w:rsidRPr="001847FF">
        <w:rPr>
          <w:rFonts w:ascii="Times New Roman" w:hAnsi="Times New Roman" w:cs="Times New Roman"/>
          <w:i/>
          <w:iCs/>
          <w:sz w:val="24"/>
          <w:szCs w:val="24"/>
        </w:rPr>
        <w:t>Economic</w:t>
      </w:r>
      <w:proofErr w:type="spellEnd"/>
      <w:r w:rsidR="00B367A5" w:rsidRPr="001847FF">
        <w:rPr>
          <w:rFonts w:ascii="Times New Roman" w:hAnsi="Times New Roman" w:cs="Times New Roman"/>
          <w:i/>
          <w:iCs/>
          <w:sz w:val="24"/>
          <w:szCs w:val="24"/>
        </w:rPr>
        <w:t xml:space="preserve"> Perspectives</w:t>
      </w:r>
      <w:r w:rsidR="00B367A5">
        <w:rPr>
          <w:rFonts w:ascii="Times New Roman" w:hAnsi="Times New Roman" w:cs="Times New Roman"/>
          <w:sz w:val="24"/>
          <w:szCs w:val="24"/>
        </w:rPr>
        <w:t xml:space="preserve">, </w:t>
      </w:r>
      <w:r w:rsidR="00B367A5" w:rsidRPr="00B367A5">
        <w:rPr>
          <w:rFonts w:ascii="Times New Roman" w:hAnsi="Times New Roman" w:cs="Times New Roman"/>
          <w:sz w:val="24"/>
          <w:szCs w:val="24"/>
        </w:rPr>
        <w:t>Vol</w:t>
      </w:r>
      <w:r w:rsidR="00B367A5">
        <w:rPr>
          <w:rFonts w:ascii="Times New Roman" w:hAnsi="Times New Roman" w:cs="Times New Roman"/>
          <w:sz w:val="24"/>
          <w:szCs w:val="24"/>
        </w:rPr>
        <w:t>.</w:t>
      </w:r>
      <w:r w:rsidR="00B367A5" w:rsidRPr="00B367A5">
        <w:rPr>
          <w:rFonts w:ascii="Times New Roman" w:hAnsi="Times New Roman" w:cs="Times New Roman"/>
          <w:sz w:val="24"/>
          <w:szCs w:val="24"/>
        </w:rPr>
        <w:t>10,</w:t>
      </w:r>
      <w:r w:rsidR="00B367A5">
        <w:rPr>
          <w:rFonts w:ascii="Times New Roman" w:hAnsi="Times New Roman" w:cs="Times New Roman"/>
          <w:sz w:val="24"/>
          <w:szCs w:val="24"/>
        </w:rPr>
        <w:t xml:space="preserve"> n°</w:t>
      </w:r>
      <w:r w:rsidR="00B367A5" w:rsidRPr="00B367A5">
        <w:rPr>
          <w:rFonts w:ascii="Times New Roman" w:hAnsi="Times New Roman" w:cs="Times New Roman"/>
          <w:sz w:val="24"/>
          <w:szCs w:val="24"/>
        </w:rPr>
        <w:t>1</w:t>
      </w:r>
      <w:r w:rsidR="001847FF">
        <w:rPr>
          <w:rFonts w:ascii="Times New Roman" w:hAnsi="Times New Roman" w:cs="Times New Roman"/>
          <w:sz w:val="24"/>
          <w:szCs w:val="24"/>
        </w:rPr>
        <w:t>, pp.193-203</w:t>
      </w:r>
    </w:p>
    <w:p w14:paraId="12170D6B" w14:textId="0D4BEE52" w:rsidR="00A81F95" w:rsidRDefault="001C4EE4" w:rsidP="00FB0D94">
      <w:pPr>
        <w:spacing w:line="240" w:lineRule="auto"/>
        <w:ind w:left="708"/>
        <w:jc w:val="both"/>
        <w:rPr>
          <w:rFonts w:ascii="Times New Roman" w:hAnsi="Times New Roman" w:cs="Times New Roman"/>
          <w:sz w:val="24"/>
          <w:szCs w:val="24"/>
        </w:rPr>
      </w:pPr>
      <w:r w:rsidRPr="001C4EE4">
        <w:rPr>
          <w:rFonts w:ascii="Times New Roman" w:hAnsi="Times New Roman" w:cs="Times New Roman"/>
          <w:sz w:val="24"/>
          <w:szCs w:val="24"/>
        </w:rPr>
        <w:t>Jacquemet N., L’</w:t>
      </w:r>
      <w:proofErr w:type="spellStart"/>
      <w:r w:rsidRPr="001C4EE4">
        <w:rPr>
          <w:rFonts w:ascii="Times New Roman" w:hAnsi="Times New Roman" w:cs="Times New Roman"/>
          <w:sz w:val="24"/>
          <w:szCs w:val="24"/>
        </w:rPr>
        <w:t>Haridon</w:t>
      </w:r>
      <w:proofErr w:type="spellEnd"/>
      <w:r w:rsidRPr="001C4EE4">
        <w:rPr>
          <w:rFonts w:ascii="Times New Roman" w:hAnsi="Times New Roman" w:cs="Times New Roman"/>
          <w:sz w:val="24"/>
          <w:szCs w:val="24"/>
        </w:rPr>
        <w:t>, O., Morin P.</w:t>
      </w:r>
      <w:r w:rsidR="00652654">
        <w:rPr>
          <w:rFonts w:ascii="Times New Roman" w:hAnsi="Times New Roman" w:cs="Times New Roman"/>
          <w:sz w:val="24"/>
          <w:szCs w:val="24"/>
        </w:rPr>
        <w:t xml:space="preserve"> (2013), « </w:t>
      </w:r>
      <w:r w:rsidR="00652654" w:rsidRPr="00652654">
        <w:rPr>
          <w:rFonts w:ascii="Times New Roman" w:hAnsi="Times New Roman" w:cs="Times New Roman"/>
          <w:sz w:val="24"/>
          <w:szCs w:val="24"/>
        </w:rPr>
        <w:t>E</w:t>
      </w:r>
      <w:r w:rsidR="00652654">
        <w:rPr>
          <w:rFonts w:ascii="Times New Roman" w:hAnsi="Times New Roman" w:cs="Times New Roman"/>
          <w:sz w:val="24"/>
          <w:szCs w:val="24"/>
        </w:rPr>
        <w:t>conomie expérimentale</w:t>
      </w:r>
      <w:r w:rsidR="00652654" w:rsidRPr="00652654">
        <w:rPr>
          <w:rFonts w:ascii="Times New Roman" w:hAnsi="Times New Roman" w:cs="Times New Roman"/>
          <w:sz w:val="24"/>
          <w:szCs w:val="24"/>
        </w:rPr>
        <w:t xml:space="preserve"> </w:t>
      </w:r>
      <w:r w:rsidR="000F6126">
        <w:rPr>
          <w:rFonts w:ascii="Times New Roman" w:hAnsi="Times New Roman" w:cs="Times New Roman"/>
          <w:sz w:val="24"/>
          <w:szCs w:val="24"/>
        </w:rPr>
        <w:t xml:space="preserve">et comportements », </w:t>
      </w:r>
      <w:r w:rsidR="000F6126" w:rsidRPr="002B7E8C">
        <w:rPr>
          <w:rFonts w:ascii="Times New Roman" w:hAnsi="Times New Roman" w:cs="Times New Roman"/>
          <w:i/>
          <w:iCs/>
          <w:sz w:val="24"/>
          <w:szCs w:val="24"/>
        </w:rPr>
        <w:t>Revue Française d’Economie</w:t>
      </w:r>
      <w:r w:rsidR="000F6126">
        <w:rPr>
          <w:rFonts w:ascii="Times New Roman" w:hAnsi="Times New Roman" w:cs="Times New Roman"/>
          <w:sz w:val="24"/>
          <w:szCs w:val="24"/>
        </w:rPr>
        <w:t xml:space="preserve">, </w:t>
      </w:r>
      <w:r w:rsidR="002B7E8C">
        <w:rPr>
          <w:rFonts w:ascii="Times New Roman" w:hAnsi="Times New Roman" w:cs="Times New Roman"/>
          <w:sz w:val="24"/>
          <w:szCs w:val="24"/>
        </w:rPr>
        <w:t>Vol.28, n°2, pp.3-8</w:t>
      </w:r>
      <w:r w:rsidR="00652654" w:rsidRPr="00652654">
        <w:rPr>
          <w:rFonts w:ascii="Times New Roman" w:hAnsi="Times New Roman" w:cs="Times New Roman"/>
          <w:sz w:val="24"/>
          <w:szCs w:val="24"/>
        </w:rPr>
        <w:cr/>
      </w:r>
    </w:p>
    <w:p w14:paraId="3502767D" w14:textId="115A3CE8" w:rsidR="00BF5EB9" w:rsidRDefault="00BF5EB9" w:rsidP="00FB0D94">
      <w:pPr>
        <w:spacing w:line="240" w:lineRule="auto"/>
        <w:ind w:left="708"/>
        <w:jc w:val="both"/>
        <w:rPr>
          <w:rFonts w:ascii="Times New Roman" w:hAnsi="Times New Roman" w:cs="Times New Roman"/>
          <w:sz w:val="24"/>
          <w:szCs w:val="24"/>
        </w:rPr>
      </w:pPr>
      <w:proofErr w:type="spellStart"/>
      <w:r w:rsidRPr="00BF5EB9">
        <w:rPr>
          <w:rFonts w:ascii="Times New Roman" w:hAnsi="Times New Roman" w:cs="Times New Roman"/>
          <w:sz w:val="24"/>
          <w:szCs w:val="24"/>
        </w:rPr>
        <w:t>Koebel</w:t>
      </w:r>
      <w:proofErr w:type="spellEnd"/>
      <w:r w:rsidRPr="00BF5EB9">
        <w:rPr>
          <w:rFonts w:ascii="Times New Roman" w:hAnsi="Times New Roman" w:cs="Times New Roman"/>
          <w:sz w:val="24"/>
          <w:szCs w:val="24"/>
        </w:rPr>
        <w:t xml:space="preserve"> B., Schmitt A., </w:t>
      </w:r>
      <w:proofErr w:type="spellStart"/>
      <w:r w:rsidRPr="00BF5EB9">
        <w:rPr>
          <w:rFonts w:ascii="Times New Roman" w:hAnsi="Times New Roman" w:cs="Times New Roman"/>
          <w:sz w:val="24"/>
          <w:szCs w:val="24"/>
        </w:rPr>
        <w:t>Spaeter</w:t>
      </w:r>
      <w:proofErr w:type="spellEnd"/>
      <w:r w:rsidRPr="00BF5EB9">
        <w:rPr>
          <w:rFonts w:ascii="Times New Roman" w:hAnsi="Times New Roman" w:cs="Times New Roman"/>
          <w:sz w:val="24"/>
          <w:szCs w:val="24"/>
        </w:rPr>
        <w:t xml:space="preserve"> S. (2016)</w:t>
      </w:r>
      <w:r w:rsidR="00201F20">
        <w:rPr>
          <w:rFonts w:ascii="Times New Roman" w:hAnsi="Times New Roman" w:cs="Times New Roman"/>
          <w:sz w:val="24"/>
          <w:szCs w:val="24"/>
        </w:rPr>
        <w:t>, « </w:t>
      </w:r>
      <w:r w:rsidR="00201F20" w:rsidRPr="00201F20">
        <w:rPr>
          <w:rFonts w:ascii="Times New Roman" w:hAnsi="Times New Roman" w:cs="Times New Roman"/>
          <w:sz w:val="24"/>
          <w:szCs w:val="24"/>
        </w:rPr>
        <w:t>Théories implicites et excès de confiance : une expérience de terrain</w:t>
      </w:r>
      <w:r w:rsidR="00201F20">
        <w:rPr>
          <w:rFonts w:ascii="Times New Roman" w:hAnsi="Times New Roman" w:cs="Times New Roman"/>
          <w:sz w:val="24"/>
          <w:szCs w:val="24"/>
        </w:rPr>
        <w:t xml:space="preserve"> », </w:t>
      </w:r>
      <w:r w:rsidR="002E22E4" w:rsidRPr="001E40B1">
        <w:rPr>
          <w:rFonts w:ascii="Times New Roman" w:hAnsi="Times New Roman" w:cs="Times New Roman"/>
          <w:i/>
          <w:iCs/>
          <w:sz w:val="24"/>
          <w:szCs w:val="24"/>
        </w:rPr>
        <w:t>Revue économique</w:t>
      </w:r>
      <w:r w:rsidR="002E22E4">
        <w:rPr>
          <w:rFonts w:ascii="Times New Roman" w:hAnsi="Times New Roman" w:cs="Times New Roman"/>
          <w:sz w:val="24"/>
          <w:szCs w:val="24"/>
        </w:rPr>
        <w:t xml:space="preserve">, </w:t>
      </w:r>
      <w:r w:rsidR="002E22E4" w:rsidRPr="002E22E4">
        <w:rPr>
          <w:rFonts w:ascii="Times New Roman" w:hAnsi="Times New Roman" w:cs="Times New Roman"/>
          <w:sz w:val="24"/>
          <w:szCs w:val="24"/>
        </w:rPr>
        <w:t xml:space="preserve">Vol. 67, </w:t>
      </w:r>
      <w:r w:rsidR="002E22E4">
        <w:rPr>
          <w:rFonts w:ascii="Times New Roman" w:hAnsi="Times New Roman" w:cs="Times New Roman"/>
          <w:sz w:val="24"/>
          <w:szCs w:val="24"/>
        </w:rPr>
        <w:t xml:space="preserve">n°5, </w:t>
      </w:r>
      <w:r w:rsidR="002E22E4" w:rsidRPr="002E22E4">
        <w:rPr>
          <w:rFonts w:ascii="Times New Roman" w:hAnsi="Times New Roman" w:cs="Times New Roman"/>
          <w:sz w:val="24"/>
          <w:szCs w:val="24"/>
        </w:rPr>
        <w:t>p</w:t>
      </w:r>
      <w:r w:rsidR="002E22E4">
        <w:rPr>
          <w:rFonts w:ascii="Times New Roman" w:hAnsi="Times New Roman" w:cs="Times New Roman"/>
          <w:sz w:val="24"/>
          <w:szCs w:val="24"/>
        </w:rPr>
        <w:t>p.</w:t>
      </w:r>
      <w:r w:rsidR="002E22E4" w:rsidRPr="002E22E4">
        <w:rPr>
          <w:rFonts w:ascii="Times New Roman" w:hAnsi="Times New Roman" w:cs="Times New Roman"/>
          <w:sz w:val="24"/>
          <w:szCs w:val="24"/>
        </w:rPr>
        <w:t xml:space="preserve"> 977</w:t>
      </w:r>
      <w:r w:rsidR="002E22E4">
        <w:rPr>
          <w:rFonts w:ascii="Times New Roman" w:hAnsi="Times New Roman" w:cs="Times New Roman"/>
          <w:sz w:val="24"/>
          <w:szCs w:val="24"/>
        </w:rPr>
        <w:t>-</w:t>
      </w:r>
      <w:r w:rsidR="002E22E4" w:rsidRPr="002E22E4">
        <w:rPr>
          <w:rFonts w:ascii="Times New Roman" w:hAnsi="Times New Roman" w:cs="Times New Roman"/>
          <w:sz w:val="24"/>
          <w:szCs w:val="24"/>
        </w:rPr>
        <w:t>1006</w:t>
      </w:r>
    </w:p>
    <w:p w14:paraId="43D40F75" w14:textId="491DAA32" w:rsidR="00867BD1" w:rsidRDefault="00867BD1" w:rsidP="00FB0D94">
      <w:pPr>
        <w:spacing w:line="240" w:lineRule="auto"/>
        <w:ind w:left="708"/>
        <w:jc w:val="both"/>
        <w:rPr>
          <w:rFonts w:ascii="Times New Roman" w:hAnsi="Times New Roman" w:cs="Times New Roman"/>
          <w:sz w:val="24"/>
          <w:szCs w:val="24"/>
        </w:rPr>
      </w:pPr>
      <w:r w:rsidRPr="00867BD1">
        <w:rPr>
          <w:rFonts w:ascii="Times New Roman" w:hAnsi="Times New Roman" w:cs="Times New Roman"/>
          <w:sz w:val="24"/>
          <w:szCs w:val="24"/>
        </w:rPr>
        <w:t xml:space="preserve">Kohn L., </w:t>
      </w:r>
      <w:proofErr w:type="spellStart"/>
      <w:r w:rsidRPr="00867BD1">
        <w:rPr>
          <w:rFonts w:ascii="Times New Roman" w:hAnsi="Times New Roman" w:cs="Times New Roman"/>
          <w:sz w:val="24"/>
          <w:szCs w:val="24"/>
        </w:rPr>
        <w:t>Christiaens</w:t>
      </w:r>
      <w:proofErr w:type="spellEnd"/>
      <w:r w:rsidRPr="00867BD1">
        <w:rPr>
          <w:rFonts w:ascii="Times New Roman" w:hAnsi="Times New Roman" w:cs="Times New Roman"/>
          <w:sz w:val="24"/>
          <w:szCs w:val="24"/>
        </w:rPr>
        <w:t xml:space="preserve"> W. (2014), « Les méthodes de recherches qualitatives dans la recherche en soins de santé : apports et croyances », </w:t>
      </w:r>
      <w:r w:rsidRPr="00867BD1">
        <w:rPr>
          <w:rFonts w:ascii="Times New Roman" w:hAnsi="Times New Roman" w:cs="Times New Roman"/>
          <w:i/>
          <w:iCs/>
          <w:sz w:val="24"/>
          <w:szCs w:val="24"/>
        </w:rPr>
        <w:t>Reflets et Perspectives de la Vie Economique</w:t>
      </w:r>
      <w:r w:rsidRPr="00867BD1">
        <w:rPr>
          <w:rFonts w:ascii="Times New Roman" w:hAnsi="Times New Roman" w:cs="Times New Roman"/>
          <w:sz w:val="24"/>
          <w:szCs w:val="24"/>
        </w:rPr>
        <w:t>, Vol.53, n°4, pp.67-82</w:t>
      </w:r>
    </w:p>
    <w:p w14:paraId="1B87EDFF" w14:textId="15038A0F" w:rsidR="00A0200F" w:rsidRPr="00FB0D94" w:rsidRDefault="00A0200F" w:rsidP="00FB0D94">
      <w:pPr>
        <w:spacing w:line="240" w:lineRule="auto"/>
        <w:ind w:left="708"/>
        <w:jc w:val="both"/>
        <w:rPr>
          <w:rFonts w:ascii="Times New Roman" w:hAnsi="Times New Roman" w:cs="Times New Roman"/>
          <w:sz w:val="24"/>
          <w:szCs w:val="24"/>
        </w:rPr>
      </w:pPr>
      <w:proofErr w:type="spellStart"/>
      <w:r w:rsidRPr="00FB0D94">
        <w:rPr>
          <w:rFonts w:ascii="Times New Roman" w:hAnsi="Times New Roman" w:cs="Times New Roman"/>
          <w:sz w:val="24"/>
          <w:szCs w:val="24"/>
        </w:rPr>
        <w:t>Kubińska</w:t>
      </w:r>
      <w:proofErr w:type="spellEnd"/>
      <w:r w:rsidRPr="00FB0D94">
        <w:rPr>
          <w:rFonts w:ascii="Times New Roman" w:hAnsi="Times New Roman" w:cs="Times New Roman"/>
          <w:sz w:val="24"/>
          <w:szCs w:val="24"/>
        </w:rPr>
        <w:t xml:space="preserve"> E., </w:t>
      </w:r>
      <w:proofErr w:type="spellStart"/>
      <w:r w:rsidRPr="00FB0D94">
        <w:rPr>
          <w:rFonts w:ascii="Times New Roman" w:hAnsi="Times New Roman" w:cs="Times New Roman"/>
          <w:sz w:val="24"/>
          <w:szCs w:val="24"/>
        </w:rPr>
        <w:t>Czupryna</w:t>
      </w:r>
      <w:proofErr w:type="spellEnd"/>
      <w:r w:rsidRPr="00FB0D94">
        <w:rPr>
          <w:rFonts w:ascii="Times New Roman" w:hAnsi="Times New Roman" w:cs="Times New Roman"/>
          <w:sz w:val="24"/>
          <w:szCs w:val="24"/>
        </w:rPr>
        <w:t xml:space="preserve"> M., </w:t>
      </w:r>
      <w:proofErr w:type="spellStart"/>
      <w:r w:rsidRPr="00FB0D94">
        <w:rPr>
          <w:rFonts w:ascii="Times New Roman" w:hAnsi="Times New Roman" w:cs="Times New Roman"/>
          <w:sz w:val="24"/>
          <w:szCs w:val="24"/>
        </w:rPr>
        <w:t>Markiewicz</w:t>
      </w:r>
      <w:proofErr w:type="spellEnd"/>
      <w:r w:rsidRPr="00FB0D94">
        <w:rPr>
          <w:rFonts w:ascii="Times New Roman" w:hAnsi="Times New Roman" w:cs="Times New Roman"/>
          <w:sz w:val="24"/>
          <w:szCs w:val="24"/>
        </w:rPr>
        <w:t xml:space="preserve"> L., </w:t>
      </w:r>
      <w:proofErr w:type="spellStart"/>
      <w:r w:rsidRPr="00FB0D94">
        <w:rPr>
          <w:rFonts w:ascii="Times New Roman" w:hAnsi="Times New Roman" w:cs="Times New Roman"/>
          <w:sz w:val="24"/>
          <w:szCs w:val="24"/>
        </w:rPr>
        <w:t>Czekaj</w:t>
      </w:r>
      <w:proofErr w:type="spellEnd"/>
      <w:r w:rsidRPr="00FB0D94">
        <w:rPr>
          <w:rFonts w:ascii="Times New Roman" w:hAnsi="Times New Roman" w:cs="Times New Roman"/>
          <w:sz w:val="24"/>
          <w:szCs w:val="24"/>
        </w:rPr>
        <w:t xml:space="preserve"> J., (2016), « </w:t>
      </w:r>
      <w:proofErr w:type="spellStart"/>
      <w:r w:rsidRPr="00FB0D94">
        <w:rPr>
          <w:rFonts w:ascii="Times New Roman" w:hAnsi="Times New Roman" w:cs="Times New Roman"/>
          <w:sz w:val="24"/>
          <w:szCs w:val="24"/>
        </w:rPr>
        <w:t>Technical</w:t>
      </w:r>
      <w:proofErr w:type="spellEnd"/>
      <w:r w:rsidRPr="00FB0D94">
        <w:rPr>
          <w:rFonts w:ascii="Times New Roman" w:hAnsi="Times New Roman" w:cs="Times New Roman"/>
          <w:sz w:val="24"/>
          <w:szCs w:val="24"/>
        </w:rPr>
        <w:t xml:space="preserve"> </w:t>
      </w:r>
      <w:proofErr w:type="spellStart"/>
      <w:r w:rsidRPr="00FB0D94">
        <w:rPr>
          <w:rFonts w:ascii="Times New Roman" w:hAnsi="Times New Roman" w:cs="Times New Roman"/>
          <w:sz w:val="24"/>
          <w:szCs w:val="24"/>
        </w:rPr>
        <w:t>Analysis</w:t>
      </w:r>
      <w:proofErr w:type="spellEnd"/>
      <w:r w:rsidRPr="00FB0D94">
        <w:rPr>
          <w:rFonts w:ascii="Times New Roman" w:hAnsi="Times New Roman" w:cs="Times New Roman"/>
          <w:sz w:val="24"/>
          <w:szCs w:val="24"/>
        </w:rPr>
        <w:t xml:space="preserve"> as </w:t>
      </w:r>
      <w:proofErr w:type="gramStart"/>
      <w:r w:rsidRPr="00FB0D94">
        <w:rPr>
          <w:rFonts w:ascii="Times New Roman" w:hAnsi="Times New Roman" w:cs="Times New Roman"/>
          <w:sz w:val="24"/>
          <w:szCs w:val="24"/>
        </w:rPr>
        <w:t>a</w:t>
      </w:r>
      <w:proofErr w:type="gramEnd"/>
      <w:r w:rsidRPr="00FB0D94">
        <w:rPr>
          <w:rFonts w:ascii="Times New Roman" w:hAnsi="Times New Roman" w:cs="Times New Roman"/>
          <w:sz w:val="24"/>
          <w:szCs w:val="24"/>
        </w:rPr>
        <w:t xml:space="preserve"> Rational Tool of </w:t>
      </w:r>
      <w:proofErr w:type="spellStart"/>
      <w:r w:rsidRPr="00FB0D94">
        <w:rPr>
          <w:rFonts w:ascii="Times New Roman" w:hAnsi="Times New Roman" w:cs="Times New Roman"/>
          <w:sz w:val="24"/>
          <w:szCs w:val="24"/>
        </w:rPr>
        <w:t>Decision</w:t>
      </w:r>
      <w:proofErr w:type="spellEnd"/>
      <w:r w:rsidRPr="00FB0D94">
        <w:rPr>
          <w:rFonts w:ascii="Times New Roman" w:hAnsi="Times New Roman" w:cs="Times New Roman"/>
          <w:sz w:val="24"/>
          <w:szCs w:val="24"/>
        </w:rPr>
        <w:t xml:space="preserve"> </w:t>
      </w:r>
      <w:proofErr w:type="spellStart"/>
      <w:r w:rsidRPr="00FB0D94">
        <w:rPr>
          <w:rFonts w:ascii="Times New Roman" w:hAnsi="Times New Roman" w:cs="Times New Roman"/>
          <w:sz w:val="24"/>
          <w:szCs w:val="24"/>
        </w:rPr>
        <w:t>Making</w:t>
      </w:r>
      <w:proofErr w:type="spellEnd"/>
      <w:r w:rsidRPr="00FB0D94">
        <w:rPr>
          <w:rFonts w:ascii="Times New Roman" w:hAnsi="Times New Roman" w:cs="Times New Roman"/>
          <w:sz w:val="24"/>
          <w:szCs w:val="24"/>
        </w:rPr>
        <w:t xml:space="preserve"> for Professional Traders », </w:t>
      </w:r>
      <w:proofErr w:type="spellStart"/>
      <w:r w:rsidRPr="00FB0D94">
        <w:rPr>
          <w:rFonts w:ascii="Times New Roman" w:hAnsi="Times New Roman" w:cs="Times New Roman"/>
          <w:i/>
          <w:sz w:val="24"/>
          <w:szCs w:val="24"/>
        </w:rPr>
        <w:t>Emerging</w:t>
      </w:r>
      <w:proofErr w:type="spellEnd"/>
      <w:r w:rsidRPr="00FB0D94">
        <w:rPr>
          <w:rFonts w:ascii="Times New Roman" w:hAnsi="Times New Roman" w:cs="Times New Roman"/>
          <w:i/>
          <w:sz w:val="24"/>
          <w:szCs w:val="24"/>
        </w:rPr>
        <w:t xml:space="preserve"> </w:t>
      </w:r>
      <w:proofErr w:type="spellStart"/>
      <w:r w:rsidRPr="00FB0D94">
        <w:rPr>
          <w:rFonts w:ascii="Times New Roman" w:hAnsi="Times New Roman" w:cs="Times New Roman"/>
          <w:i/>
          <w:sz w:val="24"/>
          <w:szCs w:val="24"/>
        </w:rPr>
        <w:t>Markets</w:t>
      </w:r>
      <w:proofErr w:type="spellEnd"/>
      <w:r w:rsidRPr="00FB0D94">
        <w:rPr>
          <w:rFonts w:ascii="Times New Roman" w:hAnsi="Times New Roman" w:cs="Times New Roman"/>
          <w:i/>
          <w:sz w:val="24"/>
          <w:szCs w:val="24"/>
        </w:rPr>
        <w:t xml:space="preserve"> Finance and Trade</w:t>
      </w:r>
      <w:r w:rsidRPr="00FB0D94">
        <w:rPr>
          <w:rFonts w:ascii="Times New Roman" w:hAnsi="Times New Roman" w:cs="Times New Roman"/>
          <w:sz w:val="24"/>
          <w:szCs w:val="24"/>
        </w:rPr>
        <w:t>, Vol.52, n°12, pp.2756-2771</w:t>
      </w:r>
    </w:p>
    <w:p w14:paraId="48C21B17" w14:textId="77777777" w:rsidR="008B2AE2" w:rsidRPr="00FB0D94" w:rsidRDefault="008B2AE2" w:rsidP="00FB0D94">
      <w:pPr>
        <w:ind w:left="708"/>
        <w:jc w:val="both"/>
        <w:rPr>
          <w:rFonts w:ascii="Times New Roman" w:hAnsi="Times New Roman" w:cs="Times New Roman"/>
          <w:sz w:val="24"/>
          <w:szCs w:val="24"/>
        </w:rPr>
      </w:pPr>
      <w:proofErr w:type="spellStart"/>
      <w:r w:rsidRPr="00FB0D94">
        <w:rPr>
          <w:rFonts w:ascii="Times New Roman" w:hAnsi="Times New Roman" w:cs="Times New Roman"/>
          <w:sz w:val="24"/>
          <w:szCs w:val="24"/>
        </w:rPr>
        <w:t>Labégorre</w:t>
      </w:r>
      <w:proofErr w:type="spellEnd"/>
      <w:r w:rsidRPr="00FB0D94">
        <w:rPr>
          <w:rFonts w:ascii="Times New Roman" w:hAnsi="Times New Roman" w:cs="Times New Roman"/>
          <w:sz w:val="24"/>
          <w:szCs w:val="24"/>
        </w:rPr>
        <w:t xml:space="preserve"> F. (2005), « L'indépendance des analystes évaluant les candidats à l'introduction en Bourse. Enquête exploratoire », </w:t>
      </w:r>
      <w:r w:rsidRPr="00FB0D94">
        <w:rPr>
          <w:rFonts w:ascii="Times New Roman" w:hAnsi="Times New Roman" w:cs="Times New Roman"/>
          <w:i/>
          <w:sz w:val="24"/>
          <w:szCs w:val="24"/>
        </w:rPr>
        <w:t>La Revue des Sciences de Gestion</w:t>
      </w:r>
      <w:r w:rsidRPr="00FB0D94">
        <w:rPr>
          <w:rFonts w:ascii="Times New Roman" w:hAnsi="Times New Roman" w:cs="Times New Roman"/>
          <w:sz w:val="24"/>
          <w:szCs w:val="24"/>
        </w:rPr>
        <w:t>, n°216, pp.49-58</w:t>
      </w:r>
    </w:p>
    <w:p w14:paraId="599617D2" w14:textId="77777777" w:rsidR="00C55AD8" w:rsidRPr="00FB0D94" w:rsidRDefault="00C55AD8" w:rsidP="00FB0D94">
      <w:pPr>
        <w:ind w:left="708"/>
        <w:jc w:val="both"/>
        <w:rPr>
          <w:rFonts w:ascii="Times New Roman" w:hAnsi="Times New Roman" w:cs="Times New Roman"/>
          <w:sz w:val="24"/>
          <w:szCs w:val="24"/>
        </w:rPr>
      </w:pPr>
      <w:r w:rsidRPr="00FB0D94">
        <w:rPr>
          <w:rFonts w:ascii="Times New Roman" w:hAnsi="Times New Roman" w:cs="Times New Roman"/>
          <w:sz w:val="24"/>
          <w:szCs w:val="24"/>
        </w:rPr>
        <w:t xml:space="preserve">Lenormand G., Touchais L. (2017), « Les prévisions des analystes financiers et les incorporels : les IAS/IFRS apportent-elles une amélioration ? », </w:t>
      </w:r>
      <w:r w:rsidRPr="00FB0D94">
        <w:rPr>
          <w:rFonts w:ascii="Times New Roman" w:hAnsi="Times New Roman" w:cs="Times New Roman"/>
          <w:i/>
          <w:sz w:val="24"/>
          <w:szCs w:val="24"/>
        </w:rPr>
        <w:t>La Revue des Sciences de Gestion</w:t>
      </w:r>
      <w:r w:rsidRPr="00FB0D94">
        <w:rPr>
          <w:rFonts w:ascii="Times New Roman" w:hAnsi="Times New Roman" w:cs="Times New Roman"/>
          <w:sz w:val="24"/>
          <w:szCs w:val="24"/>
        </w:rPr>
        <w:t>, n°287-288, pp.43-50</w:t>
      </w:r>
    </w:p>
    <w:p w14:paraId="6E1CC4A7" w14:textId="77777777" w:rsidR="00AF194E" w:rsidRPr="00FB0D94" w:rsidRDefault="00AF194E" w:rsidP="00FB0D94">
      <w:pPr>
        <w:ind w:left="708"/>
        <w:jc w:val="both"/>
        <w:rPr>
          <w:rFonts w:ascii="Times New Roman" w:hAnsi="Times New Roman" w:cs="Times New Roman"/>
          <w:sz w:val="24"/>
          <w:szCs w:val="24"/>
        </w:rPr>
      </w:pPr>
      <w:proofErr w:type="spellStart"/>
      <w:r w:rsidRPr="00FB0D94">
        <w:rPr>
          <w:rFonts w:ascii="Times New Roman" w:hAnsi="Times New Roman" w:cs="Times New Roman"/>
          <w:sz w:val="24"/>
          <w:szCs w:val="24"/>
        </w:rPr>
        <w:t>Louhichi</w:t>
      </w:r>
      <w:proofErr w:type="spellEnd"/>
      <w:r w:rsidRPr="00FB0D94">
        <w:rPr>
          <w:rFonts w:ascii="Times New Roman" w:hAnsi="Times New Roman" w:cs="Times New Roman"/>
          <w:sz w:val="24"/>
          <w:szCs w:val="24"/>
        </w:rPr>
        <w:t xml:space="preserve"> W. (2012), « L'asymétrie informationnelle autour des annonces de bénéfices : le cas du marché français », </w:t>
      </w:r>
      <w:r w:rsidRPr="00FB0D94">
        <w:rPr>
          <w:rFonts w:ascii="Times New Roman" w:hAnsi="Times New Roman" w:cs="Times New Roman"/>
          <w:i/>
          <w:sz w:val="24"/>
          <w:szCs w:val="24"/>
        </w:rPr>
        <w:t>La Revue des Sciences de Gestion</w:t>
      </w:r>
      <w:r w:rsidRPr="00FB0D94">
        <w:rPr>
          <w:rFonts w:ascii="Times New Roman" w:hAnsi="Times New Roman" w:cs="Times New Roman"/>
          <w:sz w:val="24"/>
          <w:szCs w:val="24"/>
        </w:rPr>
        <w:t>, Vol.2, n° 254, pp.49- 57</w:t>
      </w:r>
    </w:p>
    <w:p w14:paraId="2498121E" w14:textId="50A4D43E" w:rsidR="009A083A" w:rsidRDefault="009A083A" w:rsidP="002E166E">
      <w:pPr>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Martin D. (2016), « </w:t>
      </w:r>
      <w:r w:rsidR="002E166E" w:rsidRPr="002E166E">
        <w:rPr>
          <w:rFonts w:ascii="Times New Roman" w:hAnsi="Times New Roman" w:cs="Times New Roman"/>
          <w:sz w:val="24"/>
          <w:szCs w:val="24"/>
        </w:rPr>
        <w:t>C</w:t>
      </w:r>
      <w:r w:rsidR="002E166E">
        <w:rPr>
          <w:rFonts w:ascii="Times New Roman" w:hAnsi="Times New Roman" w:cs="Times New Roman"/>
          <w:sz w:val="24"/>
          <w:szCs w:val="24"/>
        </w:rPr>
        <w:t>royance et marchés financiers</w:t>
      </w:r>
      <w:r w:rsidR="002E166E" w:rsidRPr="002E166E">
        <w:rPr>
          <w:rFonts w:ascii="Times New Roman" w:hAnsi="Times New Roman" w:cs="Times New Roman"/>
          <w:sz w:val="24"/>
          <w:szCs w:val="24"/>
        </w:rPr>
        <w:t xml:space="preserve"> :</w:t>
      </w:r>
      <w:r w:rsidR="002E166E">
        <w:rPr>
          <w:rFonts w:ascii="Times New Roman" w:hAnsi="Times New Roman" w:cs="Times New Roman"/>
          <w:sz w:val="24"/>
          <w:szCs w:val="24"/>
        </w:rPr>
        <w:t xml:space="preserve"> </w:t>
      </w:r>
      <w:r w:rsidR="002E166E" w:rsidRPr="002E166E">
        <w:rPr>
          <w:rFonts w:ascii="Times New Roman" w:hAnsi="Times New Roman" w:cs="Times New Roman"/>
          <w:sz w:val="24"/>
          <w:szCs w:val="24"/>
        </w:rPr>
        <w:t>approches sociologiques</w:t>
      </w:r>
      <w:r w:rsidR="002E166E">
        <w:rPr>
          <w:rFonts w:ascii="Times New Roman" w:hAnsi="Times New Roman" w:cs="Times New Roman"/>
          <w:sz w:val="24"/>
          <w:szCs w:val="24"/>
        </w:rPr>
        <w:t xml:space="preserve"> », </w:t>
      </w:r>
      <w:r w:rsidR="00956E28" w:rsidRPr="00956E28">
        <w:rPr>
          <w:rFonts w:ascii="Times New Roman" w:hAnsi="Times New Roman" w:cs="Times New Roman"/>
          <w:i/>
          <w:iCs/>
          <w:sz w:val="24"/>
          <w:szCs w:val="24"/>
        </w:rPr>
        <w:t>Idées Economiques et Sociales</w:t>
      </w:r>
      <w:r w:rsidR="00956E28">
        <w:rPr>
          <w:rFonts w:ascii="Times New Roman" w:hAnsi="Times New Roman" w:cs="Times New Roman"/>
          <w:sz w:val="24"/>
          <w:szCs w:val="24"/>
        </w:rPr>
        <w:t>, Vol.1, n°183, pp.30-38</w:t>
      </w:r>
    </w:p>
    <w:p w14:paraId="79CF9540" w14:textId="437C5293" w:rsidR="00FA0013" w:rsidRDefault="00FA0013" w:rsidP="007A3F07">
      <w:pPr>
        <w:spacing w:line="240" w:lineRule="auto"/>
        <w:ind w:left="708"/>
        <w:jc w:val="both"/>
        <w:rPr>
          <w:rFonts w:ascii="Times New Roman" w:hAnsi="Times New Roman" w:cs="Times New Roman"/>
          <w:sz w:val="24"/>
          <w:szCs w:val="24"/>
        </w:rPr>
      </w:pPr>
      <w:proofErr w:type="spellStart"/>
      <w:r w:rsidRPr="00FA0013">
        <w:rPr>
          <w:rFonts w:ascii="Times New Roman" w:hAnsi="Times New Roman" w:cs="Times New Roman"/>
          <w:sz w:val="24"/>
          <w:szCs w:val="24"/>
        </w:rPr>
        <w:t>Mériade</w:t>
      </w:r>
      <w:proofErr w:type="spellEnd"/>
      <w:r w:rsidRPr="00FA0013">
        <w:rPr>
          <w:rFonts w:ascii="Times New Roman" w:hAnsi="Times New Roman" w:cs="Times New Roman"/>
          <w:sz w:val="24"/>
          <w:szCs w:val="24"/>
        </w:rPr>
        <w:t xml:space="preserve"> L., Sales J.</w:t>
      </w:r>
      <w:r>
        <w:rPr>
          <w:rFonts w:ascii="Times New Roman" w:hAnsi="Times New Roman" w:cs="Times New Roman"/>
          <w:sz w:val="24"/>
          <w:szCs w:val="24"/>
        </w:rPr>
        <w:t xml:space="preserve"> (</w:t>
      </w:r>
      <w:r w:rsidRPr="00FA0013">
        <w:rPr>
          <w:rFonts w:ascii="Times New Roman" w:hAnsi="Times New Roman" w:cs="Times New Roman"/>
          <w:sz w:val="24"/>
          <w:szCs w:val="24"/>
        </w:rPr>
        <w:t>2020</w:t>
      </w:r>
      <w:r w:rsidR="00275049">
        <w:rPr>
          <w:rFonts w:ascii="Times New Roman" w:hAnsi="Times New Roman" w:cs="Times New Roman"/>
          <w:sz w:val="24"/>
          <w:szCs w:val="24"/>
        </w:rPr>
        <w:t>), « </w:t>
      </w:r>
      <w:r w:rsidR="00275049" w:rsidRPr="00275049">
        <w:rPr>
          <w:rFonts w:ascii="Times New Roman" w:hAnsi="Times New Roman" w:cs="Times New Roman"/>
          <w:sz w:val="24"/>
          <w:szCs w:val="24"/>
        </w:rPr>
        <w:t>L</w:t>
      </w:r>
      <w:r w:rsidR="00275049">
        <w:rPr>
          <w:rFonts w:ascii="Times New Roman" w:hAnsi="Times New Roman" w:cs="Times New Roman"/>
          <w:sz w:val="24"/>
          <w:szCs w:val="24"/>
        </w:rPr>
        <w:t>e</w:t>
      </w:r>
      <w:r w:rsidR="00275049" w:rsidRPr="00275049">
        <w:rPr>
          <w:rFonts w:ascii="Times New Roman" w:hAnsi="Times New Roman" w:cs="Times New Roman"/>
          <w:sz w:val="24"/>
          <w:szCs w:val="24"/>
        </w:rPr>
        <w:t xml:space="preserve"> </w:t>
      </w:r>
      <w:r w:rsidR="00275049">
        <w:rPr>
          <w:rFonts w:ascii="Times New Roman" w:hAnsi="Times New Roman" w:cs="Times New Roman"/>
          <w:sz w:val="24"/>
          <w:szCs w:val="24"/>
        </w:rPr>
        <w:t>management de l’urgence dans les organisations</w:t>
      </w:r>
      <w:r w:rsidR="00250DFA">
        <w:rPr>
          <w:rFonts w:ascii="Times New Roman" w:hAnsi="Times New Roman" w:cs="Times New Roman"/>
          <w:sz w:val="24"/>
          <w:szCs w:val="24"/>
        </w:rPr>
        <w:t xml:space="preserve"> ? </w:t>
      </w:r>
      <w:r w:rsidR="007A3F07">
        <w:rPr>
          <w:rFonts w:ascii="Times New Roman" w:hAnsi="Times New Roman" w:cs="Times New Roman"/>
          <w:sz w:val="24"/>
          <w:szCs w:val="24"/>
        </w:rPr>
        <w:t xml:space="preserve">Les </w:t>
      </w:r>
      <w:r w:rsidR="007A3F07" w:rsidRPr="00275049">
        <w:rPr>
          <w:rFonts w:ascii="Times New Roman" w:hAnsi="Times New Roman" w:cs="Times New Roman"/>
          <w:sz w:val="24"/>
          <w:szCs w:val="24"/>
        </w:rPr>
        <w:t>réponses</w:t>
      </w:r>
      <w:r w:rsidR="00250DFA">
        <w:rPr>
          <w:rFonts w:ascii="Times New Roman" w:hAnsi="Times New Roman" w:cs="Times New Roman"/>
          <w:sz w:val="24"/>
          <w:szCs w:val="24"/>
        </w:rPr>
        <w:t xml:space="preserve"> apportées par Napoléon Bonaparte », </w:t>
      </w:r>
      <w:r w:rsidR="007A3F07" w:rsidRPr="007A3F07">
        <w:rPr>
          <w:rFonts w:ascii="Times New Roman" w:hAnsi="Times New Roman" w:cs="Times New Roman"/>
          <w:i/>
          <w:iCs/>
          <w:sz w:val="24"/>
          <w:szCs w:val="24"/>
        </w:rPr>
        <w:t>Revue internationale de psychosociologie et de gestion des comportements organisationnels</w:t>
      </w:r>
      <w:r w:rsidR="007A3F07">
        <w:rPr>
          <w:rFonts w:ascii="Times New Roman" w:hAnsi="Times New Roman" w:cs="Times New Roman"/>
          <w:sz w:val="24"/>
          <w:szCs w:val="24"/>
        </w:rPr>
        <w:t xml:space="preserve">, </w:t>
      </w:r>
      <w:r w:rsidR="00C8613A">
        <w:rPr>
          <w:rFonts w:ascii="Times New Roman" w:hAnsi="Times New Roman" w:cs="Times New Roman"/>
          <w:sz w:val="24"/>
          <w:szCs w:val="24"/>
        </w:rPr>
        <w:t>Vol.26, n°64, pp.165-196</w:t>
      </w:r>
    </w:p>
    <w:p w14:paraId="60B1340D" w14:textId="32BD55F9" w:rsidR="00826183" w:rsidRPr="00FB0D94" w:rsidRDefault="00826183" w:rsidP="00FB0D94">
      <w:pPr>
        <w:spacing w:line="240" w:lineRule="auto"/>
        <w:ind w:left="708"/>
        <w:jc w:val="both"/>
        <w:rPr>
          <w:rFonts w:ascii="Times New Roman" w:hAnsi="Times New Roman" w:cs="Times New Roman"/>
          <w:sz w:val="24"/>
          <w:szCs w:val="24"/>
        </w:rPr>
      </w:pPr>
      <w:proofErr w:type="spellStart"/>
      <w:r w:rsidRPr="00FB0D94">
        <w:rPr>
          <w:rFonts w:ascii="Times New Roman" w:hAnsi="Times New Roman" w:cs="Times New Roman"/>
          <w:sz w:val="24"/>
          <w:szCs w:val="24"/>
        </w:rPr>
        <w:t>Mottis</w:t>
      </w:r>
      <w:proofErr w:type="spellEnd"/>
      <w:r w:rsidRPr="00FB0D94">
        <w:rPr>
          <w:rFonts w:ascii="Times New Roman" w:hAnsi="Times New Roman" w:cs="Times New Roman"/>
          <w:sz w:val="24"/>
          <w:szCs w:val="24"/>
        </w:rPr>
        <w:t xml:space="preserve"> N., </w:t>
      </w:r>
      <w:proofErr w:type="spellStart"/>
      <w:r w:rsidRPr="00FB0D94">
        <w:rPr>
          <w:rFonts w:ascii="Times New Roman" w:hAnsi="Times New Roman" w:cs="Times New Roman"/>
          <w:sz w:val="24"/>
          <w:szCs w:val="24"/>
        </w:rPr>
        <w:t>Zarlowski</w:t>
      </w:r>
      <w:proofErr w:type="spellEnd"/>
      <w:r w:rsidRPr="00FB0D94">
        <w:rPr>
          <w:rFonts w:ascii="Times New Roman" w:hAnsi="Times New Roman" w:cs="Times New Roman"/>
          <w:sz w:val="24"/>
          <w:szCs w:val="24"/>
        </w:rPr>
        <w:t xml:space="preserve"> P., (2003), «</w:t>
      </w:r>
      <w:r w:rsidR="00AA6FCF" w:rsidRPr="00FB0D94">
        <w:rPr>
          <w:rFonts w:ascii="Times New Roman" w:hAnsi="Times New Roman" w:cs="Times New Roman"/>
          <w:sz w:val="24"/>
          <w:szCs w:val="24"/>
        </w:rPr>
        <w:t xml:space="preserve"> </w:t>
      </w:r>
      <w:r w:rsidRPr="00FB0D94">
        <w:rPr>
          <w:rFonts w:ascii="Times New Roman" w:hAnsi="Times New Roman" w:cs="Times New Roman"/>
          <w:sz w:val="24"/>
          <w:szCs w:val="24"/>
        </w:rPr>
        <w:t xml:space="preserve">Relations investisseurs et contrôle des marchés financiers », </w:t>
      </w:r>
      <w:r w:rsidRPr="00FB0D94">
        <w:rPr>
          <w:rFonts w:ascii="Times New Roman" w:hAnsi="Times New Roman" w:cs="Times New Roman"/>
          <w:i/>
          <w:sz w:val="24"/>
          <w:szCs w:val="24"/>
        </w:rPr>
        <w:t>Revue Française de Gestion</w:t>
      </w:r>
      <w:r w:rsidRPr="00FB0D94">
        <w:rPr>
          <w:rFonts w:ascii="Times New Roman" w:hAnsi="Times New Roman" w:cs="Times New Roman"/>
          <w:sz w:val="24"/>
          <w:szCs w:val="24"/>
        </w:rPr>
        <w:t>, n°147, pp.161-172</w:t>
      </w:r>
    </w:p>
    <w:p w14:paraId="0926BA75" w14:textId="3B428E01" w:rsidR="00BE5597" w:rsidRDefault="00BE5597" w:rsidP="00FB0D94">
      <w:pPr>
        <w:spacing w:line="240" w:lineRule="auto"/>
        <w:ind w:left="708"/>
        <w:jc w:val="both"/>
        <w:rPr>
          <w:rFonts w:ascii="Times New Roman" w:hAnsi="Times New Roman" w:cs="Times New Roman"/>
          <w:sz w:val="24"/>
          <w:szCs w:val="24"/>
        </w:rPr>
      </w:pPr>
      <w:proofErr w:type="spellStart"/>
      <w:r w:rsidRPr="00FB0D94">
        <w:rPr>
          <w:rFonts w:ascii="Times New Roman" w:hAnsi="Times New Roman" w:cs="Times New Roman"/>
          <w:sz w:val="24"/>
          <w:szCs w:val="24"/>
        </w:rPr>
        <w:lastRenderedPageBreak/>
        <w:t>Orléan</w:t>
      </w:r>
      <w:proofErr w:type="spellEnd"/>
      <w:r w:rsidRPr="00FB0D94">
        <w:rPr>
          <w:rFonts w:ascii="Times New Roman" w:hAnsi="Times New Roman" w:cs="Times New Roman"/>
          <w:sz w:val="24"/>
          <w:szCs w:val="24"/>
        </w:rPr>
        <w:t xml:space="preserve"> A. (2004), « Les marchés financiers sont-ils rationnels ? », </w:t>
      </w:r>
      <w:r w:rsidRPr="00FB0D94">
        <w:rPr>
          <w:rFonts w:ascii="Times New Roman" w:hAnsi="Times New Roman" w:cs="Times New Roman"/>
          <w:i/>
          <w:sz w:val="24"/>
          <w:szCs w:val="24"/>
        </w:rPr>
        <w:t>Reflets et Perspectives de la Vie Economique</w:t>
      </w:r>
      <w:r w:rsidRPr="00FB0D94">
        <w:rPr>
          <w:rFonts w:ascii="Times New Roman" w:hAnsi="Times New Roman" w:cs="Times New Roman"/>
          <w:sz w:val="24"/>
          <w:szCs w:val="24"/>
        </w:rPr>
        <w:t>, Vol.43, n°2, pp.35-41</w:t>
      </w:r>
    </w:p>
    <w:p w14:paraId="034E8EA3" w14:textId="4C6DA1D4" w:rsidR="005C19A1" w:rsidRPr="005C19A1" w:rsidRDefault="005C19A1" w:rsidP="00FB0D94">
      <w:pPr>
        <w:spacing w:line="240" w:lineRule="auto"/>
        <w:ind w:left="708"/>
        <w:jc w:val="both"/>
        <w:rPr>
          <w:rFonts w:ascii="Times New Roman" w:hAnsi="Times New Roman" w:cs="Times New Roman"/>
          <w:sz w:val="24"/>
          <w:szCs w:val="24"/>
        </w:rPr>
      </w:pPr>
      <w:r w:rsidRPr="005C19A1">
        <w:rPr>
          <w:rFonts w:ascii="Times New Roman" w:hAnsi="Times New Roman" w:cs="Times New Roman"/>
          <w:sz w:val="24"/>
          <w:szCs w:val="24"/>
        </w:rPr>
        <w:t>Petit E.</w:t>
      </w:r>
      <w:r>
        <w:rPr>
          <w:rFonts w:ascii="Times New Roman" w:hAnsi="Times New Roman" w:cs="Times New Roman"/>
          <w:sz w:val="24"/>
          <w:szCs w:val="24"/>
        </w:rPr>
        <w:t xml:space="preserve"> (</w:t>
      </w:r>
      <w:r w:rsidRPr="005C19A1">
        <w:rPr>
          <w:rFonts w:ascii="Times New Roman" w:hAnsi="Times New Roman" w:cs="Times New Roman"/>
          <w:sz w:val="24"/>
          <w:szCs w:val="24"/>
        </w:rPr>
        <w:t>2011</w:t>
      </w:r>
      <w:r>
        <w:rPr>
          <w:rFonts w:ascii="Times New Roman" w:hAnsi="Times New Roman" w:cs="Times New Roman"/>
          <w:sz w:val="24"/>
          <w:szCs w:val="24"/>
        </w:rPr>
        <w:t>), « </w:t>
      </w:r>
      <w:r w:rsidR="00443347" w:rsidRPr="00443347">
        <w:rPr>
          <w:rFonts w:ascii="Times New Roman" w:hAnsi="Times New Roman" w:cs="Times New Roman"/>
          <w:sz w:val="24"/>
          <w:szCs w:val="24"/>
        </w:rPr>
        <w:t>L'</w:t>
      </w:r>
      <w:r w:rsidR="00443347">
        <w:rPr>
          <w:rFonts w:ascii="Times New Roman" w:hAnsi="Times New Roman" w:cs="Times New Roman"/>
          <w:sz w:val="24"/>
          <w:szCs w:val="24"/>
        </w:rPr>
        <w:t xml:space="preserve">apport de la psychologie sociale </w:t>
      </w:r>
      <w:r w:rsidR="00177753">
        <w:rPr>
          <w:rFonts w:ascii="Times New Roman" w:hAnsi="Times New Roman" w:cs="Times New Roman"/>
          <w:sz w:val="24"/>
          <w:szCs w:val="24"/>
        </w:rPr>
        <w:t xml:space="preserve">à l’analyse économique », </w:t>
      </w:r>
      <w:r w:rsidR="00177753" w:rsidRPr="00E61EE2">
        <w:rPr>
          <w:rFonts w:ascii="Times New Roman" w:hAnsi="Times New Roman" w:cs="Times New Roman"/>
          <w:i/>
          <w:iCs/>
          <w:sz w:val="24"/>
          <w:szCs w:val="24"/>
        </w:rPr>
        <w:t>Revue d’Economie Politique</w:t>
      </w:r>
      <w:r w:rsidR="00177753">
        <w:rPr>
          <w:rFonts w:ascii="Times New Roman" w:hAnsi="Times New Roman" w:cs="Times New Roman"/>
          <w:sz w:val="24"/>
          <w:szCs w:val="24"/>
        </w:rPr>
        <w:t xml:space="preserve">, </w:t>
      </w:r>
      <w:r w:rsidR="00E61EE2">
        <w:rPr>
          <w:rFonts w:ascii="Times New Roman" w:hAnsi="Times New Roman" w:cs="Times New Roman"/>
          <w:sz w:val="24"/>
          <w:szCs w:val="24"/>
        </w:rPr>
        <w:t>Vol.121, n°6, pp.797-837</w:t>
      </w:r>
    </w:p>
    <w:p w14:paraId="2DCBC4EA" w14:textId="510974C3" w:rsidR="0023311C" w:rsidRDefault="00985E21" w:rsidP="00FB0D94">
      <w:pPr>
        <w:spacing w:line="240" w:lineRule="auto"/>
        <w:ind w:left="708"/>
        <w:jc w:val="both"/>
        <w:rPr>
          <w:rFonts w:ascii="Times New Roman" w:hAnsi="Times New Roman" w:cs="Times New Roman"/>
          <w:sz w:val="24"/>
          <w:szCs w:val="24"/>
        </w:rPr>
      </w:pPr>
      <w:proofErr w:type="spellStart"/>
      <w:r w:rsidRPr="00FB0D94">
        <w:rPr>
          <w:rFonts w:ascii="Times New Roman" w:hAnsi="Times New Roman" w:cs="Times New Roman"/>
          <w:sz w:val="24"/>
          <w:szCs w:val="24"/>
        </w:rPr>
        <w:t>Piluso</w:t>
      </w:r>
      <w:proofErr w:type="spellEnd"/>
      <w:r w:rsidRPr="00FB0D94">
        <w:rPr>
          <w:rFonts w:ascii="Times New Roman" w:hAnsi="Times New Roman" w:cs="Times New Roman"/>
          <w:sz w:val="24"/>
          <w:szCs w:val="24"/>
        </w:rPr>
        <w:t xml:space="preserve"> N. (</w:t>
      </w:r>
      <w:r w:rsidR="0023311C" w:rsidRPr="00FB0D94">
        <w:rPr>
          <w:rFonts w:ascii="Times New Roman" w:hAnsi="Times New Roman" w:cs="Times New Roman"/>
          <w:sz w:val="24"/>
          <w:szCs w:val="24"/>
        </w:rPr>
        <w:t>2007</w:t>
      </w:r>
      <w:r w:rsidRPr="00FB0D94">
        <w:rPr>
          <w:rFonts w:ascii="Times New Roman" w:hAnsi="Times New Roman" w:cs="Times New Roman"/>
          <w:sz w:val="24"/>
          <w:szCs w:val="24"/>
        </w:rPr>
        <w:t xml:space="preserve">), « Le rôle de l’incertitude dans la théorie du chômage de Keynes Le rôle de l’incertitude dans la théorie du chômage de Keynes », </w:t>
      </w:r>
      <w:r w:rsidRPr="00FB0D94">
        <w:rPr>
          <w:rFonts w:ascii="Times New Roman" w:hAnsi="Times New Roman" w:cs="Times New Roman"/>
          <w:i/>
          <w:sz w:val="24"/>
          <w:szCs w:val="24"/>
        </w:rPr>
        <w:t>Cahiers d’Economie Politique</w:t>
      </w:r>
      <w:r w:rsidRPr="00FB0D94">
        <w:rPr>
          <w:rFonts w:ascii="Times New Roman" w:hAnsi="Times New Roman" w:cs="Times New Roman"/>
          <w:sz w:val="24"/>
          <w:szCs w:val="24"/>
        </w:rPr>
        <w:t xml:space="preserve">, </w:t>
      </w:r>
      <w:proofErr w:type="spellStart"/>
      <w:r w:rsidRPr="00FB0D94">
        <w:rPr>
          <w:rFonts w:ascii="Times New Roman" w:hAnsi="Times New Roman" w:cs="Times New Roman"/>
          <w:sz w:val="24"/>
          <w:szCs w:val="24"/>
        </w:rPr>
        <w:t>L’Harmattan</w:t>
      </w:r>
      <w:proofErr w:type="spellEnd"/>
      <w:r w:rsidRPr="00FB0D94">
        <w:rPr>
          <w:rFonts w:ascii="Times New Roman" w:hAnsi="Times New Roman" w:cs="Times New Roman"/>
          <w:sz w:val="24"/>
          <w:szCs w:val="24"/>
        </w:rPr>
        <w:t>, 13 pages</w:t>
      </w:r>
    </w:p>
    <w:p w14:paraId="72D14F7A" w14:textId="4311FCE5" w:rsidR="007E1BBC" w:rsidRPr="00FB0D94" w:rsidRDefault="007E1BBC" w:rsidP="00FB0D94">
      <w:pPr>
        <w:spacing w:line="240" w:lineRule="auto"/>
        <w:ind w:left="708"/>
        <w:jc w:val="both"/>
        <w:rPr>
          <w:rFonts w:ascii="Times New Roman" w:hAnsi="Times New Roman" w:cs="Times New Roman"/>
          <w:sz w:val="24"/>
          <w:szCs w:val="24"/>
        </w:rPr>
      </w:pPr>
      <w:proofErr w:type="spellStart"/>
      <w:r>
        <w:rPr>
          <w:rFonts w:ascii="Times New Roman" w:hAnsi="Times New Roman" w:cs="Times New Roman"/>
          <w:sz w:val="24"/>
          <w:szCs w:val="24"/>
        </w:rPr>
        <w:t>Pozniak</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Scoubeau</w:t>
      </w:r>
      <w:proofErr w:type="spellEnd"/>
      <w:r>
        <w:rPr>
          <w:rFonts w:ascii="Times New Roman" w:hAnsi="Times New Roman" w:cs="Times New Roman"/>
          <w:sz w:val="24"/>
          <w:szCs w:val="24"/>
        </w:rPr>
        <w:t xml:space="preserve"> C. (2020), « </w:t>
      </w:r>
      <w:r w:rsidR="00F3422F" w:rsidRPr="00F3422F">
        <w:rPr>
          <w:rFonts w:ascii="Times New Roman" w:hAnsi="Times New Roman" w:cs="Times New Roman"/>
          <w:sz w:val="24"/>
          <w:szCs w:val="24"/>
        </w:rPr>
        <w:t>Quel investisseur êtes-vous ? Proposition de profils</w:t>
      </w:r>
      <w:r w:rsidR="00F3422F">
        <w:rPr>
          <w:rFonts w:ascii="Times New Roman" w:hAnsi="Times New Roman" w:cs="Times New Roman"/>
          <w:sz w:val="24"/>
          <w:szCs w:val="24"/>
        </w:rPr>
        <w:t xml:space="preserve"> », </w:t>
      </w:r>
      <w:r w:rsidR="00E642AE" w:rsidRPr="00E642AE">
        <w:rPr>
          <w:rFonts w:ascii="Times New Roman" w:hAnsi="Times New Roman" w:cs="Times New Roman"/>
          <w:i/>
          <w:iCs/>
          <w:sz w:val="24"/>
          <w:szCs w:val="24"/>
        </w:rPr>
        <w:t>Management &amp; Avenir</w:t>
      </w:r>
      <w:r w:rsidR="00E642AE">
        <w:rPr>
          <w:rFonts w:ascii="Times New Roman" w:hAnsi="Times New Roman" w:cs="Times New Roman"/>
          <w:sz w:val="24"/>
          <w:szCs w:val="24"/>
        </w:rPr>
        <w:t>, Vol.3,</w:t>
      </w:r>
      <w:r w:rsidR="00E642AE" w:rsidRPr="00E642AE">
        <w:rPr>
          <w:rFonts w:ascii="Times New Roman" w:hAnsi="Times New Roman" w:cs="Times New Roman"/>
          <w:sz w:val="24"/>
          <w:szCs w:val="24"/>
        </w:rPr>
        <w:t xml:space="preserve"> </w:t>
      </w:r>
      <w:r w:rsidR="00E642AE">
        <w:rPr>
          <w:rFonts w:ascii="Times New Roman" w:hAnsi="Times New Roman" w:cs="Times New Roman"/>
          <w:sz w:val="24"/>
          <w:szCs w:val="24"/>
        </w:rPr>
        <w:t>n</w:t>
      </w:r>
      <w:r w:rsidR="00E642AE" w:rsidRPr="00E642AE">
        <w:rPr>
          <w:rFonts w:ascii="Times New Roman" w:hAnsi="Times New Roman" w:cs="Times New Roman"/>
          <w:sz w:val="24"/>
          <w:szCs w:val="24"/>
        </w:rPr>
        <w:t>° 117</w:t>
      </w:r>
      <w:r w:rsidR="00E642AE">
        <w:rPr>
          <w:rFonts w:ascii="Times New Roman" w:hAnsi="Times New Roman" w:cs="Times New Roman"/>
          <w:sz w:val="24"/>
          <w:szCs w:val="24"/>
        </w:rPr>
        <w:t xml:space="preserve">, </w:t>
      </w:r>
      <w:r w:rsidR="00E642AE" w:rsidRPr="00E642AE">
        <w:rPr>
          <w:rFonts w:ascii="Times New Roman" w:hAnsi="Times New Roman" w:cs="Times New Roman"/>
          <w:sz w:val="24"/>
          <w:szCs w:val="24"/>
        </w:rPr>
        <w:t>p</w:t>
      </w:r>
      <w:r w:rsidR="00E642AE">
        <w:rPr>
          <w:rFonts w:ascii="Times New Roman" w:hAnsi="Times New Roman" w:cs="Times New Roman"/>
          <w:sz w:val="24"/>
          <w:szCs w:val="24"/>
        </w:rPr>
        <w:t>p.</w:t>
      </w:r>
      <w:r w:rsidR="00E642AE" w:rsidRPr="00E642AE">
        <w:rPr>
          <w:rFonts w:ascii="Times New Roman" w:hAnsi="Times New Roman" w:cs="Times New Roman"/>
          <w:sz w:val="24"/>
          <w:szCs w:val="24"/>
        </w:rPr>
        <w:t xml:space="preserve"> 83</w:t>
      </w:r>
      <w:r w:rsidR="00E642AE">
        <w:rPr>
          <w:rFonts w:ascii="Times New Roman" w:hAnsi="Times New Roman" w:cs="Times New Roman"/>
          <w:sz w:val="24"/>
          <w:szCs w:val="24"/>
        </w:rPr>
        <w:t>-</w:t>
      </w:r>
      <w:r w:rsidR="00E642AE" w:rsidRPr="00E642AE">
        <w:rPr>
          <w:rFonts w:ascii="Times New Roman" w:hAnsi="Times New Roman" w:cs="Times New Roman"/>
          <w:sz w:val="24"/>
          <w:szCs w:val="24"/>
        </w:rPr>
        <w:t>102</w:t>
      </w:r>
    </w:p>
    <w:p w14:paraId="7D4E1780" w14:textId="77777777" w:rsidR="00DB45B6" w:rsidRPr="00FB0D94" w:rsidRDefault="00DB45B6" w:rsidP="00FB0D94">
      <w:pPr>
        <w:spacing w:line="240" w:lineRule="auto"/>
        <w:ind w:left="708"/>
        <w:jc w:val="both"/>
        <w:rPr>
          <w:rFonts w:ascii="Times New Roman" w:hAnsi="Times New Roman" w:cs="Times New Roman"/>
          <w:sz w:val="24"/>
          <w:szCs w:val="24"/>
        </w:rPr>
      </w:pPr>
      <w:r w:rsidRPr="00FB0D94">
        <w:rPr>
          <w:rFonts w:ascii="Times New Roman" w:hAnsi="Times New Roman" w:cs="Times New Roman"/>
          <w:sz w:val="24"/>
          <w:szCs w:val="24"/>
        </w:rPr>
        <w:t>Prigent J., Hu Y., (2019)</w:t>
      </w:r>
      <w:r w:rsidR="00E74F6C" w:rsidRPr="00FB0D94">
        <w:rPr>
          <w:rFonts w:ascii="Times New Roman" w:hAnsi="Times New Roman" w:cs="Times New Roman"/>
          <w:sz w:val="24"/>
          <w:szCs w:val="24"/>
        </w:rPr>
        <w:t xml:space="preserve">, « Information </w:t>
      </w:r>
      <w:proofErr w:type="spellStart"/>
      <w:r w:rsidR="00E74F6C" w:rsidRPr="00FB0D94">
        <w:rPr>
          <w:rFonts w:ascii="Times New Roman" w:hAnsi="Times New Roman" w:cs="Times New Roman"/>
          <w:sz w:val="24"/>
          <w:szCs w:val="24"/>
        </w:rPr>
        <w:t>asymmetry</w:t>
      </w:r>
      <w:proofErr w:type="spellEnd"/>
      <w:r w:rsidR="00E74F6C" w:rsidRPr="00FB0D94">
        <w:rPr>
          <w:rFonts w:ascii="Times New Roman" w:hAnsi="Times New Roman" w:cs="Times New Roman"/>
          <w:sz w:val="24"/>
          <w:szCs w:val="24"/>
        </w:rPr>
        <w:t xml:space="preserve">, cluster trading, and </w:t>
      </w:r>
      <w:proofErr w:type="spellStart"/>
      <w:r w:rsidR="00E74F6C" w:rsidRPr="00FB0D94">
        <w:rPr>
          <w:rFonts w:ascii="Times New Roman" w:hAnsi="Times New Roman" w:cs="Times New Roman"/>
          <w:sz w:val="24"/>
          <w:szCs w:val="24"/>
        </w:rPr>
        <w:t>market</w:t>
      </w:r>
      <w:proofErr w:type="spellEnd"/>
      <w:r w:rsidR="00E74F6C" w:rsidRPr="00FB0D94">
        <w:rPr>
          <w:rFonts w:ascii="Times New Roman" w:hAnsi="Times New Roman" w:cs="Times New Roman"/>
          <w:sz w:val="24"/>
          <w:szCs w:val="24"/>
        </w:rPr>
        <w:t xml:space="preserve"> </w:t>
      </w:r>
      <w:proofErr w:type="spellStart"/>
      <w:proofErr w:type="gramStart"/>
      <w:r w:rsidR="00E74F6C" w:rsidRPr="00FB0D94">
        <w:rPr>
          <w:rFonts w:ascii="Times New Roman" w:hAnsi="Times New Roman" w:cs="Times New Roman"/>
          <w:sz w:val="24"/>
          <w:szCs w:val="24"/>
        </w:rPr>
        <w:t>efficiency</w:t>
      </w:r>
      <w:proofErr w:type="spellEnd"/>
      <w:r w:rsidR="00E74F6C" w:rsidRPr="00FB0D94">
        <w:rPr>
          <w:rFonts w:ascii="Times New Roman" w:hAnsi="Times New Roman" w:cs="Times New Roman"/>
          <w:sz w:val="24"/>
          <w:szCs w:val="24"/>
        </w:rPr>
        <w:t>:</w:t>
      </w:r>
      <w:proofErr w:type="gramEnd"/>
      <w:r w:rsidR="00E74F6C" w:rsidRPr="00FB0D94">
        <w:rPr>
          <w:rFonts w:ascii="Times New Roman" w:hAnsi="Times New Roman" w:cs="Times New Roman"/>
          <w:sz w:val="24"/>
          <w:szCs w:val="24"/>
        </w:rPr>
        <w:t xml:space="preserve"> Evidence </w:t>
      </w:r>
      <w:proofErr w:type="spellStart"/>
      <w:r w:rsidR="00E74F6C" w:rsidRPr="00FB0D94">
        <w:rPr>
          <w:rFonts w:ascii="Times New Roman" w:hAnsi="Times New Roman" w:cs="Times New Roman"/>
          <w:sz w:val="24"/>
          <w:szCs w:val="24"/>
        </w:rPr>
        <w:t>from</w:t>
      </w:r>
      <w:proofErr w:type="spellEnd"/>
      <w:r w:rsidR="00E74F6C" w:rsidRPr="00FB0D94">
        <w:rPr>
          <w:rFonts w:ascii="Times New Roman" w:hAnsi="Times New Roman" w:cs="Times New Roman"/>
          <w:sz w:val="24"/>
          <w:szCs w:val="24"/>
        </w:rPr>
        <w:t xml:space="preserve"> the </w:t>
      </w:r>
      <w:proofErr w:type="spellStart"/>
      <w:r w:rsidR="00E74F6C" w:rsidRPr="00FB0D94">
        <w:rPr>
          <w:rFonts w:ascii="Times New Roman" w:hAnsi="Times New Roman" w:cs="Times New Roman"/>
          <w:sz w:val="24"/>
          <w:szCs w:val="24"/>
        </w:rPr>
        <w:t>Chinese</w:t>
      </w:r>
      <w:proofErr w:type="spellEnd"/>
      <w:r w:rsidR="00E74F6C" w:rsidRPr="00FB0D94">
        <w:rPr>
          <w:rFonts w:ascii="Times New Roman" w:hAnsi="Times New Roman" w:cs="Times New Roman"/>
          <w:sz w:val="24"/>
          <w:szCs w:val="24"/>
        </w:rPr>
        <w:t xml:space="preserve"> stock </w:t>
      </w:r>
      <w:proofErr w:type="spellStart"/>
      <w:r w:rsidR="00E74F6C" w:rsidRPr="00FB0D94">
        <w:rPr>
          <w:rFonts w:ascii="Times New Roman" w:hAnsi="Times New Roman" w:cs="Times New Roman"/>
          <w:sz w:val="24"/>
          <w:szCs w:val="24"/>
        </w:rPr>
        <w:t>market</w:t>
      </w:r>
      <w:proofErr w:type="spellEnd"/>
      <w:r w:rsidR="00E74F6C" w:rsidRPr="00FB0D94">
        <w:rPr>
          <w:rFonts w:ascii="Times New Roman" w:hAnsi="Times New Roman" w:cs="Times New Roman"/>
          <w:sz w:val="24"/>
          <w:szCs w:val="24"/>
        </w:rPr>
        <w:t xml:space="preserve"> », </w:t>
      </w:r>
      <w:proofErr w:type="spellStart"/>
      <w:r w:rsidR="00E74F6C" w:rsidRPr="00FB0D94">
        <w:rPr>
          <w:rFonts w:ascii="Times New Roman" w:hAnsi="Times New Roman" w:cs="Times New Roman"/>
          <w:i/>
          <w:sz w:val="24"/>
          <w:szCs w:val="24"/>
        </w:rPr>
        <w:t>Economic</w:t>
      </w:r>
      <w:proofErr w:type="spellEnd"/>
      <w:r w:rsidR="00E74F6C" w:rsidRPr="00FB0D94">
        <w:rPr>
          <w:rFonts w:ascii="Times New Roman" w:hAnsi="Times New Roman" w:cs="Times New Roman"/>
          <w:i/>
          <w:sz w:val="24"/>
          <w:szCs w:val="24"/>
        </w:rPr>
        <w:t xml:space="preserve"> </w:t>
      </w:r>
      <w:proofErr w:type="spellStart"/>
      <w:r w:rsidR="00E74F6C" w:rsidRPr="00FB0D94">
        <w:rPr>
          <w:rFonts w:ascii="Times New Roman" w:hAnsi="Times New Roman" w:cs="Times New Roman"/>
          <w:i/>
          <w:sz w:val="24"/>
          <w:szCs w:val="24"/>
        </w:rPr>
        <w:t>Modelling</w:t>
      </w:r>
      <w:proofErr w:type="spellEnd"/>
      <w:r w:rsidR="00E74F6C" w:rsidRPr="00FB0D94">
        <w:rPr>
          <w:rFonts w:ascii="Times New Roman" w:hAnsi="Times New Roman" w:cs="Times New Roman"/>
          <w:sz w:val="24"/>
          <w:szCs w:val="24"/>
        </w:rPr>
        <w:t>, Vol.80, pp.11-22</w:t>
      </w:r>
    </w:p>
    <w:p w14:paraId="37E8892E" w14:textId="77777777" w:rsidR="00826183" w:rsidRPr="00FB0D94" w:rsidRDefault="00826183" w:rsidP="00FB0D94">
      <w:pPr>
        <w:spacing w:line="240" w:lineRule="auto"/>
        <w:ind w:left="708"/>
        <w:jc w:val="both"/>
        <w:rPr>
          <w:rFonts w:ascii="Times New Roman" w:hAnsi="Times New Roman" w:cs="Times New Roman"/>
          <w:sz w:val="24"/>
          <w:szCs w:val="24"/>
        </w:rPr>
      </w:pPr>
      <w:proofErr w:type="spellStart"/>
      <w:r w:rsidRPr="00FB0D94">
        <w:rPr>
          <w:rFonts w:ascii="Times New Roman" w:hAnsi="Times New Roman" w:cs="Times New Roman"/>
          <w:sz w:val="24"/>
          <w:szCs w:val="24"/>
        </w:rPr>
        <w:t>Saghroun</w:t>
      </w:r>
      <w:proofErr w:type="spellEnd"/>
      <w:r w:rsidRPr="00FB0D94">
        <w:rPr>
          <w:rFonts w:ascii="Times New Roman" w:hAnsi="Times New Roman" w:cs="Times New Roman"/>
          <w:sz w:val="24"/>
          <w:szCs w:val="24"/>
        </w:rPr>
        <w:t xml:space="preserve"> J., </w:t>
      </w:r>
      <w:proofErr w:type="spellStart"/>
      <w:r w:rsidRPr="00FB0D94">
        <w:rPr>
          <w:rFonts w:ascii="Times New Roman" w:hAnsi="Times New Roman" w:cs="Times New Roman"/>
          <w:sz w:val="24"/>
          <w:szCs w:val="24"/>
        </w:rPr>
        <w:t>Eglem</w:t>
      </w:r>
      <w:proofErr w:type="spellEnd"/>
      <w:r w:rsidRPr="00FB0D94">
        <w:rPr>
          <w:rFonts w:ascii="Times New Roman" w:hAnsi="Times New Roman" w:cs="Times New Roman"/>
          <w:sz w:val="24"/>
          <w:szCs w:val="24"/>
        </w:rPr>
        <w:t xml:space="preserve"> J., (2008), « À la recherche de la performance globale de l'entreprise : la perception des analystes financiers », </w:t>
      </w:r>
      <w:r w:rsidRPr="00FB0D94">
        <w:rPr>
          <w:rFonts w:ascii="Times New Roman" w:hAnsi="Times New Roman" w:cs="Times New Roman"/>
          <w:i/>
          <w:sz w:val="24"/>
          <w:szCs w:val="24"/>
        </w:rPr>
        <w:t>Comptabilité, Contrôle Audit</w:t>
      </w:r>
      <w:r w:rsidRPr="00FB0D94">
        <w:rPr>
          <w:rFonts w:ascii="Times New Roman" w:hAnsi="Times New Roman" w:cs="Times New Roman"/>
          <w:sz w:val="24"/>
          <w:szCs w:val="24"/>
        </w:rPr>
        <w:t>, Vol.14, n°1, pp.93-118</w:t>
      </w:r>
    </w:p>
    <w:p w14:paraId="6EE370F7" w14:textId="1022813F" w:rsidR="007116FD" w:rsidRDefault="007116FD" w:rsidP="00FB0D94">
      <w:pPr>
        <w:ind w:left="708"/>
        <w:jc w:val="both"/>
        <w:rPr>
          <w:rFonts w:ascii="Times New Roman" w:hAnsi="Times New Roman" w:cs="Times New Roman"/>
          <w:sz w:val="24"/>
          <w:szCs w:val="24"/>
        </w:rPr>
      </w:pPr>
      <w:r w:rsidRPr="00FB0D94">
        <w:rPr>
          <w:rFonts w:ascii="Times New Roman" w:hAnsi="Times New Roman" w:cs="Times New Roman"/>
          <w:sz w:val="24"/>
          <w:szCs w:val="24"/>
        </w:rPr>
        <w:t xml:space="preserve">Sauviat C. (2003), « Deux professions dans la tourmente : l'audit et l'analyse financière », </w:t>
      </w:r>
      <w:r w:rsidRPr="00FB0D94">
        <w:rPr>
          <w:rFonts w:ascii="Times New Roman" w:hAnsi="Times New Roman" w:cs="Times New Roman"/>
          <w:i/>
          <w:sz w:val="24"/>
          <w:szCs w:val="24"/>
        </w:rPr>
        <w:t>Actes de la recherche en sciences sociales</w:t>
      </w:r>
      <w:r w:rsidRPr="00FB0D94">
        <w:rPr>
          <w:rFonts w:ascii="Times New Roman" w:hAnsi="Times New Roman" w:cs="Times New Roman"/>
          <w:sz w:val="24"/>
          <w:szCs w:val="24"/>
        </w:rPr>
        <w:t>, n°146-147, pp.21-41</w:t>
      </w:r>
    </w:p>
    <w:p w14:paraId="16C4F60D" w14:textId="7ABDABB7" w:rsidR="00337C79" w:rsidRPr="00FB0D94" w:rsidRDefault="00337C79" w:rsidP="00FB0D94">
      <w:pPr>
        <w:ind w:left="708"/>
        <w:jc w:val="both"/>
        <w:rPr>
          <w:rFonts w:ascii="Times New Roman" w:hAnsi="Times New Roman" w:cs="Times New Roman"/>
          <w:sz w:val="24"/>
          <w:szCs w:val="24"/>
        </w:rPr>
      </w:pPr>
      <w:proofErr w:type="spellStart"/>
      <w:r>
        <w:rPr>
          <w:rFonts w:ascii="Times New Roman" w:hAnsi="Times New Roman" w:cs="Times New Roman"/>
          <w:sz w:val="24"/>
          <w:szCs w:val="24"/>
        </w:rPr>
        <w:t>Schunk</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Betsch</w:t>
      </w:r>
      <w:proofErr w:type="spellEnd"/>
      <w:r>
        <w:rPr>
          <w:rFonts w:ascii="Times New Roman" w:hAnsi="Times New Roman" w:cs="Times New Roman"/>
          <w:sz w:val="24"/>
          <w:szCs w:val="24"/>
        </w:rPr>
        <w:t xml:space="preserve"> C. (2006), « </w:t>
      </w:r>
      <w:proofErr w:type="spellStart"/>
      <w:r w:rsidR="00E3135D" w:rsidRPr="00E3135D">
        <w:rPr>
          <w:rFonts w:ascii="Times New Roman" w:hAnsi="Times New Roman" w:cs="Times New Roman"/>
          <w:sz w:val="24"/>
          <w:szCs w:val="24"/>
        </w:rPr>
        <w:t>Explaining</w:t>
      </w:r>
      <w:proofErr w:type="spellEnd"/>
      <w:r w:rsidR="00E3135D" w:rsidRPr="00E3135D">
        <w:rPr>
          <w:rFonts w:ascii="Times New Roman" w:hAnsi="Times New Roman" w:cs="Times New Roman"/>
          <w:sz w:val="24"/>
          <w:szCs w:val="24"/>
        </w:rPr>
        <w:t xml:space="preserve"> </w:t>
      </w:r>
      <w:proofErr w:type="spellStart"/>
      <w:r w:rsidR="00E3135D" w:rsidRPr="00E3135D">
        <w:rPr>
          <w:rFonts w:ascii="Times New Roman" w:hAnsi="Times New Roman" w:cs="Times New Roman"/>
          <w:sz w:val="24"/>
          <w:szCs w:val="24"/>
        </w:rPr>
        <w:t>heterogeneity</w:t>
      </w:r>
      <w:proofErr w:type="spellEnd"/>
      <w:r w:rsidR="00E3135D" w:rsidRPr="00E3135D">
        <w:rPr>
          <w:rFonts w:ascii="Times New Roman" w:hAnsi="Times New Roman" w:cs="Times New Roman"/>
          <w:sz w:val="24"/>
          <w:szCs w:val="24"/>
        </w:rPr>
        <w:t xml:space="preserve"> in utility </w:t>
      </w:r>
      <w:proofErr w:type="spellStart"/>
      <w:r w:rsidR="00E3135D" w:rsidRPr="00E3135D">
        <w:rPr>
          <w:rFonts w:ascii="Times New Roman" w:hAnsi="Times New Roman" w:cs="Times New Roman"/>
          <w:sz w:val="24"/>
          <w:szCs w:val="24"/>
        </w:rPr>
        <w:t>functions</w:t>
      </w:r>
      <w:proofErr w:type="spellEnd"/>
      <w:r w:rsidR="00E3135D" w:rsidRPr="00E3135D">
        <w:rPr>
          <w:rFonts w:ascii="Times New Roman" w:hAnsi="Times New Roman" w:cs="Times New Roman"/>
          <w:sz w:val="24"/>
          <w:szCs w:val="24"/>
        </w:rPr>
        <w:t xml:space="preserve"> by </w:t>
      </w:r>
      <w:proofErr w:type="spellStart"/>
      <w:r w:rsidR="00E3135D" w:rsidRPr="00E3135D">
        <w:rPr>
          <w:rFonts w:ascii="Times New Roman" w:hAnsi="Times New Roman" w:cs="Times New Roman"/>
          <w:sz w:val="24"/>
          <w:szCs w:val="24"/>
        </w:rPr>
        <w:t>individual</w:t>
      </w:r>
      <w:proofErr w:type="spellEnd"/>
      <w:r w:rsidR="00E3135D" w:rsidRPr="00E3135D">
        <w:rPr>
          <w:rFonts w:ascii="Times New Roman" w:hAnsi="Times New Roman" w:cs="Times New Roman"/>
          <w:sz w:val="24"/>
          <w:szCs w:val="24"/>
        </w:rPr>
        <w:t xml:space="preserve"> </w:t>
      </w:r>
      <w:proofErr w:type="spellStart"/>
      <w:r w:rsidR="00E3135D" w:rsidRPr="00E3135D">
        <w:rPr>
          <w:rFonts w:ascii="Times New Roman" w:hAnsi="Times New Roman" w:cs="Times New Roman"/>
          <w:sz w:val="24"/>
          <w:szCs w:val="24"/>
        </w:rPr>
        <w:t>differences</w:t>
      </w:r>
      <w:proofErr w:type="spellEnd"/>
      <w:r w:rsidR="00E3135D" w:rsidRPr="00E3135D">
        <w:rPr>
          <w:rFonts w:ascii="Times New Roman" w:hAnsi="Times New Roman" w:cs="Times New Roman"/>
          <w:sz w:val="24"/>
          <w:szCs w:val="24"/>
        </w:rPr>
        <w:t xml:space="preserve"> in </w:t>
      </w:r>
      <w:proofErr w:type="spellStart"/>
      <w:r w:rsidR="00E3135D" w:rsidRPr="00E3135D">
        <w:rPr>
          <w:rFonts w:ascii="Times New Roman" w:hAnsi="Times New Roman" w:cs="Times New Roman"/>
          <w:sz w:val="24"/>
          <w:szCs w:val="24"/>
        </w:rPr>
        <w:t>decision</w:t>
      </w:r>
      <w:proofErr w:type="spellEnd"/>
      <w:r w:rsidR="00E3135D" w:rsidRPr="00E3135D">
        <w:rPr>
          <w:rFonts w:ascii="Times New Roman" w:hAnsi="Times New Roman" w:cs="Times New Roman"/>
          <w:sz w:val="24"/>
          <w:szCs w:val="24"/>
        </w:rPr>
        <w:t xml:space="preserve"> modes</w:t>
      </w:r>
      <w:r w:rsidR="00E3135D">
        <w:rPr>
          <w:rFonts w:ascii="Times New Roman" w:hAnsi="Times New Roman" w:cs="Times New Roman"/>
          <w:sz w:val="24"/>
          <w:szCs w:val="24"/>
        </w:rPr>
        <w:t xml:space="preserve"> », </w:t>
      </w:r>
      <w:r w:rsidR="00E3135D" w:rsidRPr="00900A96">
        <w:rPr>
          <w:rFonts w:ascii="Times New Roman" w:hAnsi="Times New Roman" w:cs="Times New Roman"/>
          <w:i/>
          <w:iCs/>
          <w:sz w:val="24"/>
          <w:szCs w:val="24"/>
        </w:rPr>
        <w:t xml:space="preserve">Journal of </w:t>
      </w:r>
      <w:proofErr w:type="spellStart"/>
      <w:r w:rsidR="00E3135D" w:rsidRPr="00900A96">
        <w:rPr>
          <w:rFonts w:ascii="Times New Roman" w:hAnsi="Times New Roman" w:cs="Times New Roman"/>
          <w:i/>
          <w:iCs/>
          <w:sz w:val="24"/>
          <w:szCs w:val="24"/>
        </w:rPr>
        <w:t>Economic</w:t>
      </w:r>
      <w:proofErr w:type="spellEnd"/>
      <w:r w:rsidR="00E3135D" w:rsidRPr="00900A96">
        <w:rPr>
          <w:rFonts w:ascii="Times New Roman" w:hAnsi="Times New Roman" w:cs="Times New Roman"/>
          <w:i/>
          <w:iCs/>
          <w:sz w:val="24"/>
          <w:szCs w:val="24"/>
        </w:rPr>
        <w:t xml:space="preserve"> Psychology</w:t>
      </w:r>
      <w:r w:rsidR="00E3135D">
        <w:rPr>
          <w:rFonts w:ascii="Times New Roman" w:hAnsi="Times New Roman" w:cs="Times New Roman"/>
          <w:sz w:val="24"/>
          <w:szCs w:val="24"/>
        </w:rPr>
        <w:t>, Vol.27, n°3, pp.</w:t>
      </w:r>
      <w:r w:rsidR="00900A96">
        <w:rPr>
          <w:rFonts w:ascii="Times New Roman" w:hAnsi="Times New Roman" w:cs="Times New Roman"/>
          <w:sz w:val="24"/>
          <w:szCs w:val="24"/>
        </w:rPr>
        <w:t>386-401</w:t>
      </w:r>
    </w:p>
    <w:p w14:paraId="0B879982" w14:textId="72A81A62" w:rsidR="00482D28" w:rsidRPr="00FB0D94" w:rsidRDefault="00482D28" w:rsidP="00FB0D94">
      <w:pPr>
        <w:ind w:left="708"/>
        <w:jc w:val="both"/>
        <w:rPr>
          <w:rFonts w:ascii="Times New Roman" w:hAnsi="Times New Roman" w:cs="Times New Roman"/>
          <w:sz w:val="24"/>
          <w:szCs w:val="24"/>
        </w:rPr>
      </w:pPr>
      <w:proofErr w:type="spellStart"/>
      <w:r w:rsidRPr="00FB0D94">
        <w:rPr>
          <w:rFonts w:ascii="Times New Roman" w:hAnsi="Times New Roman" w:cs="Times New Roman"/>
          <w:sz w:val="24"/>
          <w:szCs w:val="24"/>
        </w:rPr>
        <w:t>Spezi</w:t>
      </w:r>
      <w:proofErr w:type="spellEnd"/>
      <w:r w:rsidRPr="00FB0D94">
        <w:rPr>
          <w:rFonts w:ascii="Times New Roman" w:hAnsi="Times New Roman" w:cs="Times New Roman"/>
          <w:sz w:val="24"/>
          <w:szCs w:val="24"/>
        </w:rPr>
        <w:t xml:space="preserve"> V. (2015), « </w:t>
      </w:r>
      <w:r w:rsidR="00FD3483" w:rsidRPr="00FB0D94">
        <w:rPr>
          <w:rFonts w:ascii="Times New Roman" w:hAnsi="Times New Roman" w:cs="Times New Roman"/>
          <w:sz w:val="24"/>
          <w:szCs w:val="24"/>
        </w:rPr>
        <w:t xml:space="preserve">Apport des méthodes qualitatives », </w:t>
      </w:r>
      <w:r w:rsidR="00FD3483" w:rsidRPr="00FB0D94">
        <w:rPr>
          <w:rFonts w:ascii="Times New Roman" w:hAnsi="Times New Roman" w:cs="Times New Roman"/>
          <w:i/>
          <w:iCs/>
          <w:sz w:val="24"/>
          <w:szCs w:val="24"/>
        </w:rPr>
        <w:t>I2D - Information, données &amp; documents</w:t>
      </w:r>
      <w:r w:rsidR="00D802F3" w:rsidRPr="00FB0D94">
        <w:rPr>
          <w:rFonts w:ascii="Times New Roman" w:hAnsi="Times New Roman" w:cs="Times New Roman"/>
          <w:sz w:val="24"/>
          <w:szCs w:val="24"/>
        </w:rPr>
        <w:t>, Vol.53, n°4, pp.</w:t>
      </w:r>
      <w:r w:rsidR="007B3CA3" w:rsidRPr="00FB0D94">
        <w:rPr>
          <w:rFonts w:ascii="Times New Roman" w:hAnsi="Times New Roman" w:cs="Times New Roman"/>
          <w:sz w:val="24"/>
          <w:szCs w:val="24"/>
        </w:rPr>
        <w:t>53</w:t>
      </w:r>
    </w:p>
    <w:p w14:paraId="2671A9F8" w14:textId="77777777" w:rsidR="00EC3F7A" w:rsidRPr="00FB0D94" w:rsidRDefault="00EC3F7A" w:rsidP="00FB0D94">
      <w:pPr>
        <w:ind w:left="708"/>
        <w:jc w:val="both"/>
        <w:rPr>
          <w:rFonts w:ascii="Times New Roman" w:hAnsi="Times New Roman" w:cs="Times New Roman"/>
          <w:sz w:val="24"/>
          <w:szCs w:val="24"/>
        </w:rPr>
      </w:pPr>
      <w:proofErr w:type="spellStart"/>
      <w:r w:rsidRPr="00FB0D94">
        <w:rPr>
          <w:rFonts w:ascii="Times New Roman" w:hAnsi="Times New Roman" w:cs="Times New Roman"/>
          <w:sz w:val="24"/>
          <w:szCs w:val="24"/>
        </w:rPr>
        <w:t>Toríbio</w:t>
      </w:r>
      <w:proofErr w:type="spellEnd"/>
      <w:r w:rsidRPr="00FB0D94">
        <w:rPr>
          <w:rFonts w:ascii="Times New Roman" w:hAnsi="Times New Roman" w:cs="Times New Roman"/>
          <w:sz w:val="24"/>
          <w:szCs w:val="24"/>
        </w:rPr>
        <w:t xml:space="preserve"> R., </w:t>
      </w:r>
      <w:proofErr w:type="spellStart"/>
      <w:r w:rsidRPr="00FB0D94">
        <w:rPr>
          <w:rFonts w:ascii="Times New Roman" w:hAnsi="Times New Roman" w:cs="Times New Roman"/>
          <w:sz w:val="24"/>
          <w:szCs w:val="24"/>
        </w:rPr>
        <w:t>Nazárioa</w:t>
      </w:r>
      <w:proofErr w:type="spellEnd"/>
      <w:r w:rsidRPr="00FB0D94">
        <w:rPr>
          <w:rFonts w:ascii="Times New Roman" w:hAnsi="Times New Roman" w:cs="Times New Roman"/>
          <w:sz w:val="24"/>
          <w:szCs w:val="24"/>
        </w:rPr>
        <w:t xml:space="preserve"> J., </w:t>
      </w:r>
      <w:proofErr w:type="spellStart"/>
      <w:r w:rsidRPr="00FB0D94">
        <w:rPr>
          <w:rFonts w:ascii="Times New Roman" w:hAnsi="Times New Roman" w:cs="Times New Roman"/>
          <w:sz w:val="24"/>
          <w:szCs w:val="24"/>
        </w:rPr>
        <w:t>Limae</w:t>
      </w:r>
      <w:proofErr w:type="spellEnd"/>
      <w:r w:rsidRPr="00FB0D94">
        <w:rPr>
          <w:rFonts w:ascii="Times New Roman" w:hAnsi="Times New Roman" w:cs="Times New Roman"/>
          <w:sz w:val="24"/>
          <w:szCs w:val="24"/>
        </w:rPr>
        <w:t xml:space="preserve"> S. </w:t>
      </w:r>
      <w:proofErr w:type="spellStart"/>
      <w:r w:rsidRPr="00FB0D94">
        <w:rPr>
          <w:rFonts w:ascii="Times New Roman" w:hAnsi="Times New Roman" w:cs="Times New Roman"/>
          <w:sz w:val="24"/>
          <w:szCs w:val="24"/>
        </w:rPr>
        <w:t>Amorim</w:t>
      </w:r>
      <w:proofErr w:type="spellEnd"/>
      <w:r w:rsidRPr="00FB0D94">
        <w:rPr>
          <w:rFonts w:ascii="Times New Roman" w:hAnsi="Times New Roman" w:cs="Times New Roman"/>
          <w:sz w:val="24"/>
          <w:szCs w:val="24"/>
        </w:rPr>
        <w:t xml:space="preserve"> S., </w:t>
      </w:r>
      <w:proofErr w:type="spellStart"/>
      <w:r w:rsidRPr="00FB0D94">
        <w:rPr>
          <w:rFonts w:ascii="Times New Roman" w:hAnsi="Times New Roman" w:cs="Times New Roman"/>
          <w:sz w:val="24"/>
          <w:szCs w:val="24"/>
        </w:rPr>
        <w:t>Kimurair</w:t>
      </w:r>
      <w:proofErr w:type="spellEnd"/>
      <w:r w:rsidRPr="00FB0D94">
        <w:rPr>
          <w:rFonts w:ascii="Times New Roman" w:hAnsi="Times New Roman" w:cs="Times New Roman"/>
          <w:sz w:val="24"/>
          <w:szCs w:val="24"/>
        </w:rPr>
        <w:t xml:space="preserve"> H., (2017), « A </w:t>
      </w:r>
      <w:proofErr w:type="spellStart"/>
      <w:r w:rsidRPr="00FB0D94">
        <w:rPr>
          <w:rFonts w:ascii="Times New Roman" w:hAnsi="Times New Roman" w:cs="Times New Roman"/>
          <w:sz w:val="24"/>
          <w:szCs w:val="24"/>
        </w:rPr>
        <w:t>literature</w:t>
      </w:r>
      <w:proofErr w:type="spellEnd"/>
      <w:r w:rsidRPr="00FB0D94">
        <w:rPr>
          <w:rFonts w:ascii="Times New Roman" w:hAnsi="Times New Roman" w:cs="Times New Roman"/>
          <w:sz w:val="24"/>
          <w:szCs w:val="24"/>
        </w:rPr>
        <w:t xml:space="preserve"> </w:t>
      </w:r>
      <w:proofErr w:type="spellStart"/>
      <w:r w:rsidRPr="00FB0D94">
        <w:rPr>
          <w:rFonts w:ascii="Times New Roman" w:hAnsi="Times New Roman" w:cs="Times New Roman"/>
          <w:sz w:val="24"/>
          <w:szCs w:val="24"/>
        </w:rPr>
        <w:t>review</w:t>
      </w:r>
      <w:proofErr w:type="spellEnd"/>
      <w:r w:rsidRPr="00FB0D94">
        <w:rPr>
          <w:rFonts w:ascii="Times New Roman" w:hAnsi="Times New Roman" w:cs="Times New Roman"/>
          <w:sz w:val="24"/>
          <w:szCs w:val="24"/>
        </w:rPr>
        <w:t xml:space="preserve"> of </w:t>
      </w:r>
      <w:proofErr w:type="spellStart"/>
      <w:r w:rsidRPr="00FB0D94">
        <w:rPr>
          <w:rFonts w:ascii="Times New Roman" w:hAnsi="Times New Roman" w:cs="Times New Roman"/>
          <w:sz w:val="24"/>
          <w:szCs w:val="24"/>
        </w:rPr>
        <w:t>technical</w:t>
      </w:r>
      <w:proofErr w:type="spellEnd"/>
      <w:r w:rsidRPr="00FB0D94">
        <w:rPr>
          <w:rFonts w:ascii="Times New Roman" w:hAnsi="Times New Roman" w:cs="Times New Roman"/>
          <w:sz w:val="24"/>
          <w:szCs w:val="24"/>
        </w:rPr>
        <w:t xml:space="preserve"> </w:t>
      </w:r>
      <w:proofErr w:type="spellStart"/>
      <w:r w:rsidRPr="00FB0D94">
        <w:rPr>
          <w:rFonts w:ascii="Times New Roman" w:hAnsi="Times New Roman" w:cs="Times New Roman"/>
          <w:sz w:val="24"/>
          <w:szCs w:val="24"/>
        </w:rPr>
        <w:t>analysis</w:t>
      </w:r>
      <w:proofErr w:type="spellEnd"/>
      <w:r w:rsidRPr="00FB0D94">
        <w:rPr>
          <w:rFonts w:ascii="Times New Roman" w:hAnsi="Times New Roman" w:cs="Times New Roman"/>
          <w:sz w:val="24"/>
          <w:szCs w:val="24"/>
        </w:rPr>
        <w:t xml:space="preserve"> on stock </w:t>
      </w:r>
      <w:proofErr w:type="spellStart"/>
      <w:r w:rsidRPr="00FB0D94">
        <w:rPr>
          <w:rFonts w:ascii="Times New Roman" w:hAnsi="Times New Roman" w:cs="Times New Roman"/>
          <w:sz w:val="24"/>
          <w:szCs w:val="24"/>
        </w:rPr>
        <w:t>markets</w:t>
      </w:r>
      <w:proofErr w:type="spellEnd"/>
      <w:r w:rsidRPr="00FB0D94">
        <w:rPr>
          <w:rFonts w:ascii="Times New Roman" w:hAnsi="Times New Roman" w:cs="Times New Roman"/>
          <w:sz w:val="24"/>
          <w:szCs w:val="24"/>
        </w:rPr>
        <w:t xml:space="preserve"> », </w:t>
      </w:r>
      <w:r w:rsidRPr="00FB0D94">
        <w:rPr>
          <w:rFonts w:ascii="Times New Roman" w:hAnsi="Times New Roman" w:cs="Times New Roman"/>
          <w:i/>
          <w:sz w:val="24"/>
          <w:szCs w:val="24"/>
        </w:rPr>
        <w:t xml:space="preserve">The </w:t>
      </w:r>
      <w:proofErr w:type="spellStart"/>
      <w:r w:rsidRPr="00FB0D94">
        <w:rPr>
          <w:rFonts w:ascii="Times New Roman" w:hAnsi="Times New Roman" w:cs="Times New Roman"/>
          <w:i/>
          <w:sz w:val="24"/>
          <w:szCs w:val="24"/>
        </w:rPr>
        <w:t>Quarterly</w:t>
      </w:r>
      <w:proofErr w:type="spellEnd"/>
      <w:r w:rsidRPr="00FB0D94">
        <w:rPr>
          <w:rFonts w:ascii="Times New Roman" w:hAnsi="Times New Roman" w:cs="Times New Roman"/>
          <w:i/>
          <w:sz w:val="24"/>
          <w:szCs w:val="24"/>
        </w:rPr>
        <w:t xml:space="preserve"> </w:t>
      </w:r>
      <w:proofErr w:type="spellStart"/>
      <w:r w:rsidRPr="00FB0D94">
        <w:rPr>
          <w:rFonts w:ascii="Times New Roman" w:hAnsi="Times New Roman" w:cs="Times New Roman"/>
          <w:i/>
          <w:sz w:val="24"/>
          <w:szCs w:val="24"/>
        </w:rPr>
        <w:t>Review</w:t>
      </w:r>
      <w:proofErr w:type="spellEnd"/>
      <w:r w:rsidRPr="00FB0D94">
        <w:rPr>
          <w:rFonts w:ascii="Times New Roman" w:hAnsi="Times New Roman" w:cs="Times New Roman"/>
          <w:i/>
          <w:sz w:val="24"/>
          <w:szCs w:val="24"/>
        </w:rPr>
        <w:t xml:space="preserve"> of </w:t>
      </w:r>
      <w:proofErr w:type="spellStart"/>
      <w:r w:rsidRPr="00FB0D94">
        <w:rPr>
          <w:rFonts w:ascii="Times New Roman" w:hAnsi="Times New Roman" w:cs="Times New Roman"/>
          <w:i/>
          <w:sz w:val="24"/>
          <w:szCs w:val="24"/>
        </w:rPr>
        <w:t>Economics</w:t>
      </w:r>
      <w:proofErr w:type="spellEnd"/>
      <w:r w:rsidRPr="00FB0D94">
        <w:rPr>
          <w:rFonts w:ascii="Times New Roman" w:hAnsi="Times New Roman" w:cs="Times New Roman"/>
          <w:i/>
          <w:sz w:val="24"/>
          <w:szCs w:val="24"/>
        </w:rPr>
        <w:t xml:space="preserve"> and Finance</w:t>
      </w:r>
      <w:r w:rsidRPr="00FB0D94">
        <w:rPr>
          <w:rFonts w:ascii="Times New Roman" w:hAnsi="Times New Roman" w:cs="Times New Roman"/>
          <w:sz w:val="24"/>
          <w:szCs w:val="24"/>
        </w:rPr>
        <w:t>, Vol.66, pp.115-126</w:t>
      </w:r>
    </w:p>
    <w:p w14:paraId="71925AD8" w14:textId="77777777" w:rsidR="008B2AE2" w:rsidRPr="00FB0D94" w:rsidRDefault="008B2AE2" w:rsidP="00FB0D94">
      <w:pPr>
        <w:ind w:left="708"/>
        <w:jc w:val="both"/>
        <w:rPr>
          <w:rFonts w:ascii="Times New Roman" w:hAnsi="Times New Roman" w:cs="Times New Roman"/>
          <w:sz w:val="24"/>
          <w:szCs w:val="24"/>
        </w:rPr>
      </w:pPr>
      <w:r w:rsidRPr="00FB0D94">
        <w:rPr>
          <w:rFonts w:ascii="Times New Roman" w:hAnsi="Times New Roman" w:cs="Times New Roman"/>
          <w:sz w:val="24"/>
          <w:szCs w:val="24"/>
        </w:rPr>
        <w:t xml:space="preserve">Van </w:t>
      </w:r>
      <w:proofErr w:type="spellStart"/>
      <w:r w:rsidRPr="00FB0D94">
        <w:rPr>
          <w:rFonts w:ascii="Times New Roman" w:hAnsi="Times New Roman" w:cs="Times New Roman"/>
          <w:sz w:val="24"/>
          <w:szCs w:val="24"/>
        </w:rPr>
        <w:t>Loye</w:t>
      </w:r>
      <w:proofErr w:type="spellEnd"/>
      <w:r w:rsidRPr="00FB0D94">
        <w:rPr>
          <w:rFonts w:ascii="Times New Roman" w:hAnsi="Times New Roman" w:cs="Times New Roman"/>
          <w:sz w:val="24"/>
          <w:szCs w:val="24"/>
        </w:rPr>
        <w:t xml:space="preserve"> G., </w:t>
      </w:r>
      <w:proofErr w:type="spellStart"/>
      <w:r w:rsidRPr="00FB0D94">
        <w:rPr>
          <w:rFonts w:ascii="Times New Roman" w:hAnsi="Times New Roman" w:cs="Times New Roman"/>
          <w:sz w:val="24"/>
          <w:szCs w:val="24"/>
        </w:rPr>
        <w:t>Fontowicz</w:t>
      </w:r>
      <w:proofErr w:type="spellEnd"/>
      <w:r w:rsidRPr="00FB0D94">
        <w:rPr>
          <w:rFonts w:ascii="Times New Roman" w:hAnsi="Times New Roman" w:cs="Times New Roman"/>
          <w:sz w:val="24"/>
          <w:szCs w:val="24"/>
        </w:rPr>
        <w:t xml:space="preserve"> L. (2004), « La crédibilité des producteurs d'information : le cas des analystes financiers », </w:t>
      </w:r>
      <w:r w:rsidRPr="00FB0D94">
        <w:rPr>
          <w:rFonts w:ascii="Times New Roman" w:hAnsi="Times New Roman" w:cs="Times New Roman"/>
          <w:i/>
          <w:sz w:val="24"/>
          <w:szCs w:val="24"/>
        </w:rPr>
        <w:t>Revue Française de Gestion</w:t>
      </w:r>
      <w:r w:rsidRPr="00FB0D94">
        <w:rPr>
          <w:rFonts w:ascii="Times New Roman" w:hAnsi="Times New Roman" w:cs="Times New Roman"/>
          <w:sz w:val="24"/>
          <w:szCs w:val="24"/>
        </w:rPr>
        <w:t>, n°151, pp.81-95</w:t>
      </w:r>
    </w:p>
    <w:p w14:paraId="16B402D0" w14:textId="77777777" w:rsidR="008B2AE2" w:rsidRPr="0006376E" w:rsidRDefault="008B2AE2" w:rsidP="0006376E">
      <w:pPr>
        <w:spacing w:line="240" w:lineRule="auto"/>
        <w:jc w:val="both"/>
        <w:rPr>
          <w:sz w:val="26"/>
          <w:szCs w:val="26"/>
        </w:rPr>
      </w:pPr>
    </w:p>
    <w:sectPr w:rsidR="008B2AE2" w:rsidRPr="0006376E">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15606" w14:textId="77777777" w:rsidR="00812B5F" w:rsidRDefault="00812B5F" w:rsidP="006B2479">
      <w:pPr>
        <w:spacing w:after="0" w:line="240" w:lineRule="auto"/>
      </w:pPr>
      <w:r>
        <w:separator/>
      </w:r>
    </w:p>
  </w:endnote>
  <w:endnote w:type="continuationSeparator" w:id="0">
    <w:p w14:paraId="5704A5A8" w14:textId="77777777" w:rsidR="00812B5F" w:rsidRDefault="00812B5F" w:rsidP="006B2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FC914" w14:textId="77777777" w:rsidR="00072577" w:rsidRDefault="000725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9888875"/>
      <w:docPartObj>
        <w:docPartGallery w:val="Page Numbers (Bottom of Page)"/>
        <w:docPartUnique/>
      </w:docPartObj>
    </w:sdtPr>
    <w:sdtEndPr/>
    <w:sdtContent>
      <w:p w14:paraId="4D7E1384" w14:textId="77777777" w:rsidR="00072577" w:rsidRDefault="00072577">
        <w:pPr>
          <w:pStyle w:val="Pieddepage"/>
          <w:jc w:val="right"/>
        </w:pPr>
        <w:r>
          <w:fldChar w:fldCharType="begin"/>
        </w:r>
        <w:r>
          <w:instrText>PAGE   \* MERGEFORMAT</w:instrText>
        </w:r>
        <w:r>
          <w:fldChar w:fldCharType="separate"/>
        </w:r>
        <w:r w:rsidR="00BC5E2A" w:rsidRPr="00BC5E2A">
          <w:rPr>
            <w:noProof/>
            <w:lang w:val="fr-FR"/>
          </w:rPr>
          <w:t>1</w:t>
        </w:r>
        <w:r>
          <w:fldChar w:fldCharType="end"/>
        </w:r>
      </w:p>
    </w:sdtContent>
  </w:sdt>
  <w:p w14:paraId="78BF94C7" w14:textId="77777777" w:rsidR="00072577" w:rsidRDefault="0007257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01866" w14:textId="77777777" w:rsidR="00072577" w:rsidRDefault="000725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18C9D" w14:textId="77777777" w:rsidR="00812B5F" w:rsidRDefault="00812B5F" w:rsidP="006B2479">
      <w:pPr>
        <w:spacing w:after="0" w:line="240" w:lineRule="auto"/>
      </w:pPr>
      <w:r>
        <w:separator/>
      </w:r>
    </w:p>
  </w:footnote>
  <w:footnote w:type="continuationSeparator" w:id="0">
    <w:p w14:paraId="78D87BA9" w14:textId="77777777" w:rsidR="00812B5F" w:rsidRDefault="00812B5F" w:rsidP="006B2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C8115" w14:textId="77777777" w:rsidR="00072577" w:rsidRDefault="000725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1F86F" w14:textId="77777777" w:rsidR="00072577" w:rsidRDefault="0007257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C01EA" w14:textId="77777777" w:rsidR="00072577" w:rsidRDefault="000725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A1802"/>
    <w:multiLevelType w:val="multilevel"/>
    <w:tmpl w:val="3BB4DCCA"/>
    <w:lvl w:ilvl="0">
      <w:start w:val="1"/>
      <w:numFmt w:val="bullet"/>
      <w:lvlText w:val=""/>
      <w:lvlJc w:val="left"/>
      <w:pPr>
        <w:ind w:left="502"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2791458"/>
    <w:multiLevelType w:val="hybridMultilevel"/>
    <w:tmpl w:val="51A46E76"/>
    <w:lvl w:ilvl="0" w:tplc="E8C46BB6">
      <w:start w:val="1"/>
      <w:numFmt w:val="bullet"/>
      <w:lvlText w:val="-"/>
      <w:lvlJc w:val="left"/>
      <w:pPr>
        <w:ind w:left="2160" w:hanging="360"/>
      </w:pPr>
      <w:rPr>
        <w:rFonts w:ascii="Calibri" w:eastAsiaTheme="minorHAnsi" w:hAnsi="Calibri" w:cs="Calibri"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 w15:restartNumberingAfterBreak="0">
    <w:nsid w:val="28ED58B9"/>
    <w:multiLevelType w:val="hybridMultilevel"/>
    <w:tmpl w:val="C720BF44"/>
    <w:lvl w:ilvl="0" w:tplc="E8C46BB6">
      <w:start w:val="1"/>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33905AD7"/>
    <w:multiLevelType w:val="hybridMultilevel"/>
    <w:tmpl w:val="826011B4"/>
    <w:lvl w:ilvl="0" w:tplc="E8C46BB6">
      <w:start w:val="1"/>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3304EB2"/>
    <w:multiLevelType w:val="hybridMultilevel"/>
    <w:tmpl w:val="ECDAEB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9A03B0D"/>
    <w:multiLevelType w:val="hybridMultilevel"/>
    <w:tmpl w:val="67B289DC"/>
    <w:lvl w:ilvl="0" w:tplc="E8C46BB6">
      <w:start w:val="1"/>
      <w:numFmt w:val="bullet"/>
      <w:lvlText w:val="-"/>
      <w:lvlJc w:val="left"/>
      <w:pPr>
        <w:ind w:left="144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4C3002C2"/>
    <w:multiLevelType w:val="hybridMultilevel"/>
    <w:tmpl w:val="171A8D74"/>
    <w:lvl w:ilvl="0" w:tplc="E8C46BB6">
      <w:start w:val="1"/>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735129B9"/>
    <w:multiLevelType w:val="hybridMultilevel"/>
    <w:tmpl w:val="8DEE624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1"/>
  </w:num>
  <w:num w:numId="5">
    <w:abstractNumId w:val="6"/>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E2F"/>
    <w:rsid w:val="00001800"/>
    <w:rsid w:val="00003801"/>
    <w:rsid w:val="00005B4E"/>
    <w:rsid w:val="00005F1E"/>
    <w:rsid w:val="00007C31"/>
    <w:rsid w:val="000174C0"/>
    <w:rsid w:val="00021050"/>
    <w:rsid w:val="00021A37"/>
    <w:rsid w:val="000224B1"/>
    <w:rsid w:val="000242CB"/>
    <w:rsid w:val="000309CB"/>
    <w:rsid w:val="000345AE"/>
    <w:rsid w:val="00034643"/>
    <w:rsid w:val="00034736"/>
    <w:rsid w:val="00034DBB"/>
    <w:rsid w:val="00037039"/>
    <w:rsid w:val="0004549C"/>
    <w:rsid w:val="00045721"/>
    <w:rsid w:val="000461E3"/>
    <w:rsid w:val="0005052A"/>
    <w:rsid w:val="0005107A"/>
    <w:rsid w:val="00053381"/>
    <w:rsid w:val="00054189"/>
    <w:rsid w:val="00055847"/>
    <w:rsid w:val="000561F6"/>
    <w:rsid w:val="0005641E"/>
    <w:rsid w:val="00056A27"/>
    <w:rsid w:val="000574A7"/>
    <w:rsid w:val="00060016"/>
    <w:rsid w:val="00063296"/>
    <w:rsid w:val="0006376E"/>
    <w:rsid w:val="000651FD"/>
    <w:rsid w:val="00065F0E"/>
    <w:rsid w:val="0006688C"/>
    <w:rsid w:val="00071AAF"/>
    <w:rsid w:val="00072577"/>
    <w:rsid w:val="0007322A"/>
    <w:rsid w:val="00077DE3"/>
    <w:rsid w:val="00082376"/>
    <w:rsid w:val="00085F34"/>
    <w:rsid w:val="00093000"/>
    <w:rsid w:val="00095302"/>
    <w:rsid w:val="00095770"/>
    <w:rsid w:val="000976B8"/>
    <w:rsid w:val="000A459D"/>
    <w:rsid w:val="000A6573"/>
    <w:rsid w:val="000B2F53"/>
    <w:rsid w:val="000B5DC4"/>
    <w:rsid w:val="000C25A9"/>
    <w:rsid w:val="000D0A8B"/>
    <w:rsid w:val="000D2BF9"/>
    <w:rsid w:val="000D5766"/>
    <w:rsid w:val="000E43E3"/>
    <w:rsid w:val="000E445B"/>
    <w:rsid w:val="000E797B"/>
    <w:rsid w:val="000F1692"/>
    <w:rsid w:val="000F45CC"/>
    <w:rsid w:val="000F4CF9"/>
    <w:rsid w:val="000F56C6"/>
    <w:rsid w:val="000F5C29"/>
    <w:rsid w:val="000F5FBF"/>
    <w:rsid w:val="000F6126"/>
    <w:rsid w:val="0011033E"/>
    <w:rsid w:val="0011457D"/>
    <w:rsid w:val="00116469"/>
    <w:rsid w:val="00120C96"/>
    <w:rsid w:val="0012217A"/>
    <w:rsid w:val="00130D48"/>
    <w:rsid w:val="001356E9"/>
    <w:rsid w:val="0013767C"/>
    <w:rsid w:val="00145A51"/>
    <w:rsid w:val="001467FC"/>
    <w:rsid w:val="00147F43"/>
    <w:rsid w:val="00153365"/>
    <w:rsid w:val="001549F7"/>
    <w:rsid w:val="00163BCA"/>
    <w:rsid w:val="00166D37"/>
    <w:rsid w:val="00166EF1"/>
    <w:rsid w:val="001709EC"/>
    <w:rsid w:val="00170AD3"/>
    <w:rsid w:val="0017134A"/>
    <w:rsid w:val="00177753"/>
    <w:rsid w:val="00180150"/>
    <w:rsid w:val="001847FF"/>
    <w:rsid w:val="001901FE"/>
    <w:rsid w:val="00191307"/>
    <w:rsid w:val="00191842"/>
    <w:rsid w:val="00192249"/>
    <w:rsid w:val="001959C1"/>
    <w:rsid w:val="00195CDD"/>
    <w:rsid w:val="001A7A5D"/>
    <w:rsid w:val="001B1242"/>
    <w:rsid w:val="001B1B7C"/>
    <w:rsid w:val="001B6493"/>
    <w:rsid w:val="001B7C42"/>
    <w:rsid w:val="001B7CBA"/>
    <w:rsid w:val="001B7CD1"/>
    <w:rsid w:val="001C1F4C"/>
    <w:rsid w:val="001C4EE4"/>
    <w:rsid w:val="001C663C"/>
    <w:rsid w:val="001C67D5"/>
    <w:rsid w:val="001D21E8"/>
    <w:rsid w:val="001D5511"/>
    <w:rsid w:val="001D55FC"/>
    <w:rsid w:val="001D58F8"/>
    <w:rsid w:val="001D72B4"/>
    <w:rsid w:val="001D736A"/>
    <w:rsid w:val="001E168F"/>
    <w:rsid w:val="001E19E4"/>
    <w:rsid w:val="001E40B1"/>
    <w:rsid w:val="001E5E24"/>
    <w:rsid w:val="001F259A"/>
    <w:rsid w:val="001F30DD"/>
    <w:rsid w:val="001F5D07"/>
    <w:rsid w:val="00200B3B"/>
    <w:rsid w:val="00201F20"/>
    <w:rsid w:val="00206FA8"/>
    <w:rsid w:val="00212C02"/>
    <w:rsid w:val="00212E8D"/>
    <w:rsid w:val="00213628"/>
    <w:rsid w:val="00213BDD"/>
    <w:rsid w:val="00220B34"/>
    <w:rsid w:val="00224904"/>
    <w:rsid w:val="00226A2D"/>
    <w:rsid w:val="00227B5D"/>
    <w:rsid w:val="00227CDB"/>
    <w:rsid w:val="00230074"/>
    <w:rsid w:val="002313FE"/>
    <w:rsid w:val="00232537"/>
    <w:rsid w:val="0023311C"/>
    <w:rsid w:val="002339A7"/>
    <w:rsid w:val="002456BB"/>
    <w:rsid w:val="00250DFA"/>
    <w:rsid w:val="00256149"/>
    <w:rsid w:val="00256677"/>
    <w:rsid w:val="00256E11"/>
    <w:rsid w:val="00265286"/>
    <w:rsid w:val="00266010"/>
    <w:rsid w:val="00271854"/>
    <w:rsid w:val="00273E64"/>
    <w:rsid w:val="00275049"/>
    <w:rsid w:val="00276FF7"/>
    <w:rsid w:val="002804EA"/>
    <w:rsid w:val="002813B5"/>
    <w:rsid w:val="002863A9"/>
    <w:rsid w:val="00286606"/>
    <w:rsid w:val="00287479"/>
    <w:rsid w:val="00287E69"/>
    <w:rsid w:val="002938C3"/>
    <w:rsid w:val="0029413E"/>
    <w:rsid w:val="00294604"/>
    <w:rsid w:val="00296075"/>
    <w:rsid w:val="002A30DB"/>
    <w:rsid w:val="002B2CB5"/>
    <w:rsid w:val="002B7E8C"/>
    <w:rsid w:val="002C244C"/>
    <w:rsid w:val="002C30A1"/>
    <w:rsid w:val="002C31F7"/>
    <w:rsid w:val="002C3D94"/>
    <w:rsid w:val="002C493D"/>
    <w:rsid w:val="002C5B3B"/>
    <w:rsid w:val="002C72B7"/>
    <w:rsid w:val="002E0172"/>
    <w:rsid w:val="002E0733"/>
    <w:rsid w:val="002E166E"/>
    <w:rsid w:val="002E1B68"/>
    <w:rsid w:val="002E22E4"/>
    <w:rsid w:val="002E68C7"/>
    <w:rsid w:val="002F60FD"/>
    <w:rsid w:val="002F7EF6"/>
    <w:rsid w:val="003008A4"/>
    <w:rsid w:val="00302BB2"/>
    <w:rsid w:val="00304B2D"/>
    <w:rsid w:val="00310D92"/>
    <w:rsid w:val="0031400D"/>
    <w:rsid w:val="0031782F"/>
    <w:rsid w:val="00321EC2"/>
    <w:rsid w:val="00325118"/>
    <w:rsid w:val="00325891"/>
    <w:rsid w:val="00326AFF"/>
    <w:rsid w:val="00332BFA"/>
    <w:rsid w:val="003355CB"/>
    <w:rsid w:val="00335693"/>
    <w:rsid w:val="00337C79"/>
    <w:rsid w:val="00341A0B"/>
    <w:rsid w:val="003427B8"/>
    <w:rsid w:val="0034389E"/>
    <w:rsid w:val="0034481E"/>
    <w:rsid w:val="003461AB"/>
    <w:rsid w:val="00346C77"/>
    <w:rsid w:val="003511AB"/>
    <w:rsid w:val="0035152B"/>
    <w:rsid w:val="003544ED"/>
    <w:rsid w:val="00360133"/>
    <w:rsid w:val="00360A09"/>
    <w:rsid w:val="003653B4"/>
    <w:rsid w:val="00365601"/>
    <w:rsid w:val="003715C7"/>
    <w:rsid w:val="00373710"/>
    <w:rsid w:val="003738C6"/>
    <w:rsid w:val="0037542A"/>
    <w:rsid w:val="003813AF"/>
    <w:rsid w:val="00384C44"/>
    <w:rsid w:val="0038595D"/>
    <w:rsid w:val="00386989"/>
    <w:rsid w:val="00393CD4"/>
    <w:rsid w:val="00396777"/>
    <w:rsid w:val="00396E22"/>
    <w:rsid w:val="003A388D"/>
    <w:rsid w:val="003A6112"/>
    <w:rsid w:val="003A7833"/>
    <w:rsid w:val="003B0D71"/>
    <w:rsid w:val="003C28AC"/>
    <w:rsid w:val="003C610C"/>
    <w:rsid w:val="003D2AA6"/>
    <w:rsid w:val="003E3D97"/>
    <w:rsid w:val="003F05E6"/>
    <w:rsid w:val="003F7A18"/>
    <w:rsid w:val="00400159"/>
    <w:rsid w:val="00402237"/>
    <w:rsid w:val="0040343E"/>
    <w:rsid w:val="00406D4F"/>
    <w:rsid w:val="0041177C"/>
    <w:rsid w:val="004178AB"/>
    <w:rsid w:val="00421524"/>
    <w:rsid w:val="004227CD"/>
    <w:rsid w:val="00422F06"/>
    <w:rsid w:val="00424764"/>
    <w:rsid w:val="004279B1"/>
    <w:rsid w:val="0043080F"/>
    <w:rsid w:val="00440156"/>
    <w:rsid w:val="00443347"/>
    <w:rsid w:val="004446DE"/>
    <w:rsid w:val="00447281"/>
    <w:rsid w:val="00447F94"/>
    <w:rsid w:val="0045101F"/>
    <w:rsid w:val="00453A3B"/>
    <w:rsid w:val="00453F0E"/>
    <w:rsid w:val="0045556E"/>
    <w:rsid w:val="004565F4"/>
    <w:rsid w:val="004624A4"/>
    <w:rsid w:val="00467B2D"/>
    <w:rsid w:val="00471F0A"/>
    <w:rsid w:val="0047384D"/>
    <w:rsid w:val="00474AB4"/>
    <w:rsid w:val="00474F73"/>
    <w:rsid w:val="00481628"/>
    <w:rsid w:val="00482D28"/>
    <w:rsid w:val="004857F0"/>
    <w:rsid w:val="00487256"/>
    <w:rsid w:val="004876B8"/>
    <w:rsid w:val="0049049E"/>
    <w:rsid w:val="00490ABF"/>
    <w:rsid w:val="004913CF"/>
    <w:rsid w:val="00493B43"/>
    <w:rsid w:val="004A4C61"/>
    <w:rsid w:val="004A57AF"/>
    <w:rsid w:val="004A6F0E"/>
    <w:rsid w:val="004A72D6"/>
    <w:rsid w:val="004A77AA"/>
    <w:rsid w:val="004B146D"/>
    <w:rsid w:val="004B22C2"/>
    <w:rsid w:val="004B2596"/>
    <w:rsid w:val="004B3CE5"/>
    <w:rsid w:val="004B3F7B"/>
    <w:rsid w:val="004B4FA0"/>
    <w:rsid w:val="004C01C7"/>
    <w:rsid w:val="004C0831"/>
    <w:rsid w:val="004C0E78"/>
    <w:rsid w:val="004C3E41"/>
    <w:rsid w:val="004C7112"/>
    <w:rsid w:val="004D01F4"/>
    <w:rsid w:val="004D2016"/>
    <w:rsid w:val="004D574C"/>
    <w:rsid w:val="004D5EE4"/>
    <w:rsid w:val="004D6B2A"/>
    <w:rsid w:val="004E454B"/>
    <w:rsid w:val="004E45D7"/>
    <w:rsid w:val="004E6433"/>
    <w:rsid w:val="004E750B"/>
    <w:rsid w:val="004F0074"/>
    <w:rsid w:val="005013B5"/>
    <w:rsid w:val="00521129"/>
    <w:rsid w:val="00521389"/>
    <w:rsid w:val="00525DB4"/>
    <w:rsid w:val="005305EF"/>
    <w:rsid w:val="0053107F"/>
    <w:rsid w:val="00532361"/>
    <w:rsid w:val="00536E0C"/>
    <w:rsid w:val="0054133D"/>
    <w:rsid w:val="00542C4A"/>
    <w:rsid w:val="0054451C"/>
    <w:rsid w:val="005462FB"/>
    <w:rsid w:val="005548E9"/>
    <w:rsid w:val="00554FF2"/>
    <w:rsid w:val="005577D8"/>
    <w:rsid w:val="005638A7"/>
    <w:rsid w:val="00563972"/>
    <w:rsid w:val="00571B8E"/>
    <w:rsid w:val="0057207F"/>
    <w:rsid w:val="00572E1B"/>
    <w:rsid w:val="00573A5A"/>
    <w:rsid w:val="00575C59"/>
    <w:rsid w:val="0058377A"/>
    <w:rsid w:val="00586767"/>
    <w:rsid w:val="00586F51"/>
    <w:rsid w:val="00587336"/>
    <w:rsid w:val="00591264"/>
    <w:rsid w:val="005912B0"/>
    <w:rsid w:val="005916B1"/>
    <w:rsid w:val="005A673D"/>
    <w:rsid w:val="005A6ADB"/>
    <w:rsid w:val="005B41F0"/>
    <w:rsid w:val="005B4412"/>
    <w:rsid w:val="005B5680"/>
    <w:rsid w:val="005B6263"/>
    <w:rsid w:val="005B7E2F"/>
    <w:rsid w:val="005C1480"/>
    <w:rsid w:val="005C157A"/>
    <w:rsid w:val="005C19A1"/>
    <w:rsid w:val="005D1492"/>
    <w:rsid w:val="005D3CC0"/>
    <w:rsid w:val="005D5220"/>
    <w:rsid w:val="005D71D2"/>
    <w:rsid w:val="005E0A3A"/>
    <w:rsid w:val="005F696D"/>
    <w:rsid w:val="0060181C"/>
    <w:rsid w:val="006019A9"/>
    <w:rsid w:val="00602A46"/>
    <w:rsid w:val="006040B8"/>
    <w:rsid w:val="00605407"/>
    <w:rsid w:val="00606BB2"/>
    <w:rsid w:val="00612BC9"/>
    <w:rsid w:val="00615396"/>
    <w:rsid w:val="00617AF5"/>
    <w:rsid w:val="00617BFC"/>
    <w:rsid w:val="00624527"/>
    <w:rsid w:val="006245CF"/>
    <w:rsid w:val="006254FE"/>
    <w:rsid w:val="006261A9"/>
    <w:rsid w:val="00626AD2"/>
    <w:rsid w:val="00627C9D"/>
    <w:rsid w:val="00631EB6"/>
    <w:rsid w:val="006407A8"/>
    <w:rsid w:val="00640E71"/>
    <w:rsid w:val="00640EFD"/>
    <w:rsid w:val="00641FC2"/>
    <w:rsid w:val="00647583"/>
    <w:rsid w:val="00647DBF"/>
    <w:rsid w:val="00652654"/>
    <w:rsid w:val="00652B41"/>
    <w:rsid w:val="00655E9A"/>
    <w:rsid w:val="006565CC"/>
    <w:rsid w:val="00660053"/>
    <w:rsid w:val="0066139A"/>
    <w:rsid w:val="00662EB4"/>
    <w:rsid w:val="0066343D"/>
    <w:rsid w:val="00663981"/>
    <w:rsid w:val="00667EF1"/>
    <w:rsid w:val="00667FA1"/>
    <w:rsid w:val="00670836"/>
    <w:rsid w:val="00671495"/>
    <w:rsid w:val="00673231"/>
    <w:rsid w:val="006770F1"/>
    <w:rsid w:val="006821CC"/>
    <w:rsid w:val="006831C5"/>
    <w:rsid w:val="0069083A"/>
    <w:rsid w:val="00693C8B"/>
    <w:rsid w:val="00694BE4"/>
    <w:rsid w:val="00696DF0"/>
    <w:rsid w:val="00696E21"/>
    <w:rsid w:val="006972A7"/>
    <w:rsid w:val="006A02CE"/>
    <w:rsid w:val="006A2D5C"/>
    <w:rsid w:val="006A330D"/>
    <w:rsid w:val="006A620E"/>
    <w:rsid w:val="006B0C1F"/>
    <w:rsid w:val="006B2479"/>
    <w:rsid w:val="006B2796"/>
    <w:rsid w:val="006B5540"/>
    <w:rsid w:val="006B6725"/>
    <w:rsid w:val="006B7217"/>
    <w:rsid w:val="006C1E93"/>
    <w:rsid w:val="006C28AD"/>
    <w:rsid w:val="006C2A74"/>
    <w:rsid w:val="006C3B0F"/>
    <w:rsid w:val="006C5D43"/>
    <w:rsid w:val="006D37D2"/>
    <w:rsid w:val="006D6FB4"/>
    <w:rsid w:val="006E1953"/>
    <w:rsid w:val="006E673B"/>
    <w:rsid w:val="006E7068"/>
    <w:rsid w:val="006E771E"/>
    <w:rsid w:val="006F0649"/>
    <w:rsid w:val="006F17CA"/>
    <w:rsid w:val="006F423F"/>
    <w:rsid w:val="006F4FC6"/>
    <w:rsid w:val="006F524E"/>
    <w:rsid w:val="006F585F"/>
    <w:rsid w:val="006F61FF"/>
    <w:rsid w:val="006F6466"/>
    <w:rsid w:val="00703DE0"/>
    <w:rsid w:val="0070625B"/>
    <w:rsid w:val="0070657D"/>
    <w:rsid w:val="00706E84"/>
    <w:rsid w:val="0071004C"/>
    <w:rsid w:val="007116FD"/>
    <w:rsid w:val="007123BD"/>
    <w:rsid w:val="00712438"/>
    <w:rsid w:val="00712AE9"/>
    <w:rsid w:val="00713917"/>
    <w:rsid w:val="00713D60"/>
    <w:rsid w:val="00715326"/>
    <w:rsid w:val="0071589E"/>
    <w:rsid w:val="00720F79"/>
    <w:rsid w:val="00726141"/>
    <w:rsid w:val="007345CD"/>
    <w:rsid w:val="007374B9"/>
    <w:rsid w:val="007405BA"/>
    <w:rsid w:val="00741848"/>
    <w:rsid w:val="007434B9"/>
    <w:rsid w:val="00745024"/>
    <w:rsid w:val="007473CE"/>
    <w:rsid w:val="007503BB"/>
    <w:rsid w:val="007505B1"/>
    <w:rsid w:val="0075327D"/>
    <w:rsid w:val="007551E9"/>
    <w:rsid w:val="0075639D"/>
    <w:rsid w:val="00757800"/>
    <w:rsid w:val="00761F6B"/>
    <w:rsid w:val="00762FD4"/>
    <w:rsid w:val="00763FAD"/>
    <w:rsid w:val="00766013"/>
    <w:rsid w:val="007714D2"/>
    <w:rsid w:val="007721BC"/>
    <w:rsid w:val="0077523E"/>
    <w:rsid w:val="00776AAA"/>
    <w:rsid w:val="007811FB"/>
    <w:rsid w:val="00782737"/>
    <w:rsid w:val="0078370C"/>
    <w:rsid w:val="007917A5"/>
    <w:rsid w:val="00792B7A"/>
    <w:rsid w:val="00793433"/>
    <w:rsid w:val="007A098C"/>
    <w:rsid w:val="007A319E"/>
    <w:rsid w:val="007A3F07"/>
    <w:rsid w:val="007A7438"/>
    <w:rsid w:val="007B01CA"/>
    <w:rsid w:val="007B0721"/>
    <w:rsid w:val="007B297C"/>
    <w:rsid w:val="007B2FE8"/>
    <w:rsid w:val="007B314D"/>
    <w:rsid w:val="007B3CA3"/>
    <w:rsid w:val="007C227A"/>
    <w:rsid w:val="007C3B74"/>
    <w:rsid w:val="007C3FD0"/>
    <w:rsid w:val="007C432B"/>
    <w:rsid w:val="007C5EEB"/>
    <w:rsid w:val="007D1E95"/>
    <w:rsid w:val="007D1FB2"/>
    <w:rsid w:val="007D723F"/>
    <w:rsid w:val="007E0863"/>
    <w:rsid w:val="007E1BBC"/>
    <w:rsid w:val="007E5766"/>
    <w:rsid w:val="007E5DC1"/>
    <w:rsid w:val="007F00D8"/>
    <w:rsid w:val="007F5B6F"/>
    <w:rsid w:val="007F643A"/>
    <w:rsid w:val="00801A07"/>
    <w:rsid w:val="00802C91"/>
    <w:rsid w:val="00802EEB"/>
    <w:rsid w:val="008063E9"/>
    <w:rsid w:val="0080700E"/>
    <w:rsid w:val="00807961"/>
    <w:rsid w:val="00812B5F"/>
    <w:rsid w:val="00815166"/>
    <w:rsid w:val="00815CF5"/>
    <w:rsid w:val="008239C4"/>
    <w:rsid w:val="00823C4D"/>
    <w:rsid w:val="00824C95"/>
    <w:rsid w:val="00825E35"/>
    <w:rsid w:val="00826183"/>
    <w:rsid w:val="00827BFB"/>
    <w:rsid w:val="0083610F"/>
    <w:rsid w:val="00840E91"/>
    <w:rsid w:val="0084216F"/>
    <w:rsid w:val="008448EE"/>
    <w:rsid w:val="00844F98"/>
    <w:rsid w:val="008464C9"/>
    <w:rsid w:val="008478CF"/>
    <w:rsid w:val="008530E5"/>
    <w:rsid w:val="00860BD3"/>
    <w:rsid w:val="00862A7A"/>
    <w:rsid w:val="0086569F"/>
    <w:rsid w:val="008659DB"/>
    <w:rsid w:val="00867BD1"/>
    <w:rsid w:val="00872199"/>
    <w:rsid w:val="00876CF2"/>
    <w:rsid w:val="00877159"/>
    <w:rsid w:val="00886B00"/>
    <w:rsid w:val="0089396B"/>
    <w:rsid w:val="00894558"/>
    <w:rsid w:val="00895A1C"/>
    <w:rsid w:val="008B2AE2"/>
    <w:rsid w:val="008B3D74"/>
    <w:rsid w:val="008B6C61"/>
    <w:rsid w:val="008C02EC"/>
    <w:rsid w:val="008C2473"/>
    <w:rsid w:val="008C29ED"/>
    <w:rsid w:val="008C542D"/>
    <w:rsid w:val="008C5AED"/>
    <w:rsid w:val="008D0F04"/>
    <w:rsid w:val="008D2C81"/>
    <w:rsid w:val="008D3A18"/>
    <w:rsid w:val="008D61A3"/>
    <w:rsid w:val="008D7EEB"/>
    <w:rsid w:val="008E0503"/>
    <w:rsid w:val="008E1FDD"/>
    <w:rsid w:val="008E57E6"/>
    <w:rsid w:val="008E618A"/>
    <w:rsid w:val="008E786B"/>
    <w:rsid w:val="008F0354"/>
    <w:rsid w:val="008F0936"/>
    <w:rsid w:val="008F1996"/>
    <w:rsid w:val="008F26E4"/>
    <w:rsid w:val="008F2777"/>
    <w:rsid w:val="008F5C5F"/>
    <w:rsid w:val="00900322"/>
    <w:rsid w:val="00900A96"/>
    <w:rsid w:val="0090298D"/>
    <w:rsid w:val="00902F00"/>
    <w:rsid w:val="00903FD3"/>
    <w:rsid w:val="00905981"/>
    <w:rsid w:val="0090788C"/>
    <w:rsid w:val="00912645"/>
    <w:rsid w:val="009164C7"/>
    <w:rsid w:val="00923847"/>
    <w:rsid w:val="00924409"/>
    <w:rsid w:val="00924D57"/>
    <w:rsid w:val="0092589B"/>
    <w:rsid w:val="00926D38"/>
    <w:rsid w:val="00933819"/>
    <w:rsid w:val="009340C2"/>
    <w:rsid w:val="00935397"/>
    <w:rsid w:val="00935792"/>
    <w:rsid w:val="0093723D"/>
    <w:rsid w:val="00940D0F"/>
    <w:rsid w:val="00950281"/>
    <w:rsid w:val="009508EF"/>
    <w:rsid w:val="00951825"/>
    <w:rsid w:val="00953152"/>
    <w:rsid w:val="009563A1"/>
    <w:rsid w:val="00956958"/>
    <w:rsid w:val="00956E28"/>
    <w:rsid w:val="00956F18"/>
    <w:rsid w:val="0095741F"/>
    <w:rsid w:val="00960A1D"/>
    <w:rsid w:val="00960B9A"/>
    <w:rsid w:val="00962045"/>
    <w:rsid w:val="00962E06"/>
    <w:rsid w:val="00966234"/>
    <w:rsid w:val="00966D90"/>
    <w:rsid w:val="00966DB1"/>
    <w:rsid w:val="009744F0"/>
    <w:rsid w:val="00975048"/>
    <w:rsid w:val="00975442"/>
    <w:rsid w:val="0098097A"/>
    <w:rsid w:val="0098132C"/>
    <w:rsid w:val="009821EC"/>
    <w:rsid w:val="009842F4"/>
    <w:rsid w:val="00985E21"/>
    <w:rsid w:val="00987C06"/>
    <w:rsid w:val="009926B4"/>
    <w:rsid w:val="00995010"/>
    <w:rsid w:val="009A083A"/>
    <w:rsid w:val="009A14C9"/>
    <w:rsid w:val="009A2E1E"/>
    <w:rsid w:val="009B0901"/>
    <w:rsid w:val="009B0BF1"/>
    <w:rsid w:val="009B1120"/>
    <w:rsid w:val="009B6209"/>
    <w:rsid w:val="009B7091"/>
    <w:rsid w:val="009C019D"/>
    <w:rsid w:val="009C13E0"/>
    <w:rsid w:val="009C79FB"/>
    <w:rsid w:val="009D0A8D"/>
    <w:rsid w:val="009D1BE8"/>
    <w:rsid w:val="009D2036"/>
    <w:rsid w:val="009D30DF"/>
    <w:rsid w:val="009D56A8"/>
    <w:rsid w:val="009D59AF"/>
    <w:rsid w:val="009D5A7F"/>
    <w:rsid w:val="009D78B7"/>
    <w:rsid w:val="009E1482"/>
    <w:rsid w:val="009E2284"/>
    <w:rsid w:val="009E2D9F"/>
    <w:rsid w:val="009E72A6"/>
    <w:rsid w:val="009F6AF4"/>
    <w:rsid w:val="009F7003"/>
    <w:rsid w:val="009F7668"/>
    <w:rsid w:val="00A014F8"/>
    <w:rsid w:val="00A01AD7"/>
    <w:rsid w:val="00A0200F"/>
    <w:rsid w:val="00A04BBF"/>
    <w:rsid w:val="00A050A5"/>
    <w:rsid w:val="00A12A2B"/>
    <w:rsid w:val="00A1471B"/>
    <w:rsid w:val="00A207D3"/>
    <w:rsid w:val="00A27096"/>
    <w:rsid w:val="00A32A50"/>
    <w:rsid w:val="00A36379"/>
    <w:rsid w:val="00A37915"/>
    <w:rsid w:val="00A37DD6"/>
    <w:rsid w:val="00A37F3E"/>
    <w:rsid w:val="00A4411C"/>
    <w:rsid w:val="00A449C9"/>
    <w:rsid w:val="00A45C8E"/>
    <w:rsid w:val="00A5159D"/>
    <w:rsid w:val="00A523E4"/>
    <w:rsid w:val="00A61919"/>
    <w:rsid w:val="00A624F1"/>
    <w:rsid w:val="00A62F91"/>
    <w:rsid w:val="00A640F4"/>
    <w:rsid w:val="00A667FF"/>
    <w:rsid w:val="00A67089"/>
    <w:rsid w:val="00A72FF2"/>
    <w:rsid w:val="00A73B85"/>
    <w:rsid w:val="00A74010"/>
    <w:rsid w:val="00A744B8"/>
    <w:rsid w:val="00A77CE3"/>
    <w:rsid w:val="00A81F49"/>
    <w:rsid w:val="00A81F95"/>
    <w:rsid w:val="00A82788"/>
    <w:rsid w:val="00A83394"/>
    <w:rsid w:val="00A86103"/>
    <w:rsid w:val="00A917AB"/>
    <w:rsid w:val="00A95900"/>
    <w:rsid w:val="00AA586B"/>
    <w:rsid w:val="00AA6242"/>
    <w:rsid w:val="00AA6FCF"/>
    <w:rsid w:val="00AB0863"/>
    <w:rsid w:val="00AB5CD6"/>
    <w:rsid w:val="00AC7CF9"/>
    <w:rsid w:val="00AD0EEA"/>
    <w:rsid w:val="00AD41F0"/>
    <w:rsid w:val="00AD6264"/>
    <w:rsid w:val="00AE1368"/>
    <w:rsid w:val="00AE50F4"/>
    <w:rsid w:val="00AF17C2"/>
    <w:rsid w:val="00AF194E"/>
    <w:rsid w:val="00AF2844"/>
    <w:rsid w:val="00AF41C0"/>
    <w:rsid w:val="00AF7F43"/>
    <w:rsid w:val="00B05705"/>
    <w:rsid w:val="00B06411"/>
    <w:rsid w:val="00B07A90"/>
    <w:rsid w:val="00B13C10"/>
    <w:rsid w:val="00B1417A"/>
    <w:rsid w:val="00B1472C"/>
    <w:rsid w:val="00B154D9"/>
    <w:rsid w:val="00B168BF"/>
    <w:rsid w:val="00B174BF"/>
    <w:rsid w:val="00B21324"/>
    <w:rsid w:val="00B26FE7"/>
    <w:rsid w:val="00B30CEB"/>
    <w:rsid w:val="00B3118A"/>
    <w:rsid w:val="00B33563"/>
    <w:rsid w:val="00B367A5"/>
    <w:rsid w:val="00B436F1"/>
    <w:rsid w:val="00B44C6D"/>
    <w:rsid w:val="00B479E4"/>
    <w:rsid w:val="00B51A59"/>
    <w:rsid w:val="00B61746"/>
    <w:rsid w:val="00B64809"/>
    <w:rsid w:val="00B66D68"/>
    <w:rsid w:val="00B74C52"/>
    <w:rsid w:val="00B75FDC"/>
    <w:rsid w:val="00B82E3D"/>
    <w:rsid w:val="00B9533D"/>
    <w:rsid w:val="00B954CC"/>
    <w:rsid w:val="00B955EB"/>
    <w:rsid w:val="00B968BF"/>
    <w:rsid w:val="00B96F17"/>
    <w:rsid w:val="00B97346"/>
    <w:rsid w:val="00BA45AC"/>
    <w:rsid w:val="00BA63BB"/>
    <w:rsid w:val="00BB33F9"/>
    <w:rsid w:val="00BB36FC"/>
    <w:rsid w:val="00BB5B64"/>
    <w:rsid w:val="00BB66EF"/>
    <w:rsid w:val="00BC0C01"/>
    <w:rsid w:val="00BC5E2A"/>
    <w:rsid w:val="00BC6A3C"/>
    <w:rsid w:val="00BD4459"/>
    <w:rsid w:val="00BE0C41"/>
    <w:rsid w:val="00BE17CF"/>
    <w:rsid w:val="00BE5298"/>
    <w:rsid w:val="00BE5597"/>
    <w:rsid w:val="00BF036E"/>
    <w:rsid w:val="00BF4730"/>
    <w:rsid w:val="00BF5EB9"/>
    <w:rsid w:val="00C01FA2"/>
    <w:rsid w:val="00C025B7"/>
    <w:rsid w:val="00C0377B"/>
    <w:rsid w:val="00C07355"/>
    <w:rsid w:val="00C100EA"/>
    <w:rsid w:val="00C113B2"/>
    <w:rsid w:val="00C12282"/>
    <w:rsid w:val="00C33302"/>
    <w:rsid w:val="00C36F27"/>
    <w:rsid w:val="00C41444"/>
    <w:rsid w:val="00C43500"/>
    <w:rsid w:val="00C4566C"/>
    <w:rsid w:val="00C4653D"/>
    <w:rsid w:val="00C5014B"/>
    <w:rsid w:val="00C50D1F"/>
    <w:rsid w:val="00C54EFF"/>
    <w:rsid w:val="00C5585B"/>
    <w:rsid w:val="00C55AD8"/>
    <w:rsid w:val="00C60359"/>
    <w:rsid w:val="00C60648"/>
    <w:rsid w:val="00C628D4"/>
    <w:rsid w:val="00C632F7"/>
    <w:rsid w:val="00C662A7"/>
    <w:rsid w:val="00C67D38"/>
    <w:rsid w:val="00C7030B"/>
    <w:rsid w:val="00C736D2"/>
    <w:rsid w:val="00C73C2C"/>
    <w:rsid w:val="00C76664"/>
    <w:rsid w:val="00C835C9"/>
    <w:rsid w:val="00C852F2"/>
    <w:rsid w:val="00C86101"/>
    <w:rsid w:val="00C8613A"/>
    <w:rsid w:val="00C87BC2"/>
    <w:rsid w:val="00C87C6D"/>
    <w:rsid w:val="00C912AD"/>
    <w:rsid w:val="00C92EFB"/>
    <w:rsid w:val="00C9419C"/>
    <w:rsid w:val="00C95606"/>
    <w:rsid w:val="00C970A7"/>
    <w:rsid w:val="00C9753D"/>
    <w:rsid w:val="00CA35C0"/>
    <w:rsid w:val="00CA3BE1"/>
    <w:rsid w:val="00CA7B82"/>
    <w:rsid w:val="00CB0AED"/>
    <w:rsid w:val="00CB0D51"/>
    <w:rsid w:val="00CB1B53"/>
    <w:rsid w:val="00CB3CB5"/>
    <w:rsid w:val="00CB42CC"/>
    <w:rsid w:val="00CB5156"/>
    <w:rsid w:val="00CB63FA"/>
    <w:rsid w:val="00CB7E45"/>
    <w:rsid w:val="00CC1B5A"/>
    <w:rsid w:val="00CD2A01"/>
    <w:rsid w:val="00CD3C99"/>
    <w:rsid w:val="00CD440B"/>
    <w:rsid w:val="00CD6817"/>
    <w:rsid w:val="00CD7704"/>
    <w:rsid w:val="00CE2196"/>
    <w:rsid w:val="00CE3BF6"/>
    <w:rsid w:val="00CE7A3B"/>
    <w:rsid w:val="00CF2134"/>
    <w:rsid w:val="00CF2F39"/>
    <w:rsid w:val="00CF5282"/>
    <w:rsid w:val="00CF64DC"/>
    <w:rsid w:val="00CF67DC"/>
    <w:rsid w:val="00CF71ED"/>
    <w:rsid w:val="00D001A1"/>
    <w:rsid w:val="00D0514D"/>
    <w:rsid w:val="00D07CB5"/>
    <w:rsid w:val="00D10276"/>
    <w:rsid w:val="00D110EF"/>
    <w:rsid w:val="00D26C5B"/>
    <w:rsid w:val="00D27B52"/>
    <w:rsid w:val="00D32671"/>
    <w:rsid w:val="00D32CD5"/>
    <w:rsid w:val="00D335BC"/>
    <w:rsid w:val="00D3363F"/>
    <w:rsid w:val="00D349D6"/>
    <w:rsid w:val="00D41C23"/>
    <w:rsid w:val="00D44A34"/>
    <w:rsid w:val="00D4533A"/>
    <w:rsid w:val="00D511F4"/>
    <w:rsid w:val="00D528DE"/>
    <w:rsid w:val="00D52F30"/>
    <w:rsid w:val="00D534B4"/>
    <w:rsid w:val="00D61D0C"/>
    <w:rsid w:val="00D624F3"/>
    <w:rsid w:val="00D6543A"/>
    <w:rsid w:val="00D6759E"/>
    <w:rsid w:val="00D70E83"/>
    <w:rsid w:val="00D71ABF"/>
    <w:rsid w:val="00D7359E"/>
    <w:rsid w:val="00D750AA"/>
    <w:rsid w:val="00D75FF7"/>
    <w:rsid w:val="00D802F3"/>
    <w:rsid w:val="00D81E97"/>
    <w:rsid w:val="00D86853"/>
    <w:rsid w:val="00D90900"/>
    <w:rsid w:val="00D91F99"/>
    <w:rsid w:val="00D9207D"/>
    <w:rsid w:val="00D93C95"/>
    <w:rsid w:val="00D93F08"/>
    <w:rsid w:val="00D943BF"/>
    <w:rsid w:val="00DA0BA4"/>
    <w:rsid w:val="00DA341A"/>
    <w:rsid w:val="00DB0C3F"/>
    <w:rsid w:val="00DB1178"/>
    <w:rsid w:val="00DB11D9"/>
    <w:rsid w:val="00DB45B6"/>
    <w:rsid w:val="00DC3CB7"/>
    <w:rsid w:val="00DD28FE"/>
    <w:rsid w:val="00DD3530"/>
    <w:rsid w:val="00DD77AD"/>
    <w:rsid w:val="00DD7A11"/>
    <w:rsid w:val="00DE0710"/>
    <w:rsid w:val="00DE1CEF"/>
    <w:rsid w:val="00DE1FB2"/>
    <w:rsid w:val="00DE7E80"/>
    <w:rsid w:val="00E015F4"/>
    <w:rsid w:val="00E01EBE"/>
    <w:rsid w:val="00E02039"/>
    <w:rsid w:val="00E1142D"/>
    <w:rsid w:val="00E1175C"/>
    <w:rsid w:val="00E126A2"/>
    <w:rsid w:val="00E12C02"/>
    <w:rsid w:val="00E24359"/>
    <w:rsid w:val="00E26960"/>
    <w:rsid w:val="00E3135D"/>
    <w:rsid w:val="00E33516"/>
    <w:rsid w:val="00E34D9B"/>
    <w:rsid w:val="00E3616F"/>
    <w:rsid w:val="00E36FC8"/>
    <w:rsid w:val="00E373D8"/>
    <w:rsid w:val="00E3774E"/>
    <w:rsid w:val="00E403FA"/>
    <w:rsid w:val="00E4450B"/>
    <w:rsid w:val="00E459DA"/>
    <w:rsid w:val="00E56964"/>
    <w:rsid w:val="00E61E9A"/>
    <w:rsid w:val="00E61EE2"/>
    <w:rsid w:val="00E63CB5"/>
    <w:rsid w:val="00E642AE"/>
    <w:rsid w:val="00E64F5E"/>
    <w:rsid w:val="00E65522"/>
    <w:rsid w:val="00E67172"/>
    <w:rsid w:val="00E673EA"/>
    <w:rsid w:val="00E679B5"/>
    <w:rsid w:val="00E740E8"/>
    <w:rsid w:val="00E74F6C"/>
    <w:rsid w:val="00E76334"/>
    <w:rsid w:val="00E8477D"/>
    <w:rsid w:val="00E90AE3"/>
    <w:rsid w:val="00E90BCE"/>
    <w:rsid w:val="00E92A78"/>
    <w:rsid w:val="00E9413D"/>
    <w:rsid w:val="00E9499F"/>
    <w:rsid w:val="00E95DD6"/>
    <w:rsid w:val="00EA0EE5"/>
    <w:rsid w:val="00EA3091"/>
    <w:rsid w:val="00EA49B1"/>
    <w:rsid w:val="00EA4DA4"/>
    <w:rsid w:val="00EA65DB"/>
    <w:rsid w:val="00EB2B80"/>
    <w:rsid w:val="00EC14F2"/>
    <w:rsid w:val="00EC1FDD"/>
    <w:rsid w:val="00EC3F7A"/>
    <w:rsid w:val="00EC4132"/>
    <w:rsid w:val="00EC4EAD"/>
    <w:rsid w:val="00ED4845"/>
    <w:rsid w:val="00ED5B33"/>
    <w:rsid w:val="00EE07D5"/>
    <w:rsid w:val="00EE1836"/>
    <w:rsid w:val="00EE77E1"/>
    <w:rsid w:val="00EF4F42"/>
    <w:rsid w:val="00EF547D"/>
    <w:rsid w:val="00EF5F54"/>
    <w:rsid w:val="00F00A92"/>
    <w:rsid w:val="00F00D95"/>
    <w:rsid w:val="00F011DB"/>
    <w:rsid w:val="00F0651B"/>
    <w:rsid w:val="00F11966"/>
    <w:rsid w:val="00F1572F"/>
    <w:rsid w:val="00F1626B"/>
    <w:rsid w:val="00F2093B"/>
    <w:rsid w:val="00F21F2F"/>
    <w:rsid w:val="00F222FB"/>
    <w:rsid w:val="00F22EE6"/>
    <w:rsid w:val="00F31672"/>
    <w:rsid w:val="00F3422F"/>
    <w:rsid w:val="00F36038"/>
    <w:rsid w:val="00F415A2"/>
    <w:rsid w:val="00F506B1"/>
    <w:rsid w:val="00F514E5"/>
    <w:rsid w:val="00F51A23"/>
    <w:rsid w:val="00F54120"/>
    <w:rsid w:val="00F712EB"/>
    <w:rsid w:val="00F71C52"/>
    <w:rsid w:val="00F7315D"/>
    <w:rsid w:val="00F76EA5"/>
    <w:rsid w:val="00F85308"/>
    <w:rsid w:val="00F85BC4"/>
    <w:rsid w:val="00F8648D"/>
    <w:rsid w:val="00FA0013"/>
    <w:rsid w:val="00FA2570"/>
    <w:rsid w:val="00FA26DE"/>
    <w:rsid w:val="00FA3DE3"/>
    <w:rsid w:val="00FB0D94"/>
    <w:rsid w:val="00FB797D"/>
    <w:rsid w:val="00FC141F"/>
    <w:rsid w:val="00FD06E3"/>
    <w:rsid w:val="00FD1180"/>
    <w:rsid w:val="00FD3483"/>
    <w:rsid w:val="00FD4805"/>
    <w:rsid w:val="00FD5017"/>
    <w:rsid w:val="00FD70F2"/>
    <w:rsid w:val="00FD7789"/>
    <w:rsid w:val="00FE05E8"/>
    <w:rsid w:val="00FE3034"/>
    <w:rsid w:val="00FE4C7F"/>
    <w:rsid w:val="00FE588A"/>
    <w:rsid w:val="00FF1801"/>
    <w:rsid w:val="00FF3D70"/>
    <w:rsid w:val="00FF41C3"/>
    <w:rsid w:val="00FF55E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711FE"/>
  <w15:chartTrackingRefBased/>
  <w15:docId w15:val="{0AF2F5ED-5FE1-4B0A-AF8E-A068B8905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03801"/>
    <w:pPr>
      <w:ind w:left="720"/>
      <w:contextualSpacing/>
    </w:pPr>
  </w:style>
  <w:style w:type="paragraph" w:styleId="Textedebulles">
    <w:name w:val="Balloon Text"/>
    <w:basedOn w:val="Normal"/>
    <w:link w:val="TextedebullesCar"/>
    <w:uiPriority w:val="99"/>
    <w:semiHidden/>
    <w:unhideWhenUsed/>
    <w:rsid w:val="0003473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34736"/>
    <w:rPr>
      <w:rFonts w:ascii="Segoe UI" w:hAnsi="Segoe UI" w:cs="Segoe UI"/>
      <w:sz w:val="18"/>
      <w:szCs w:val="18"/>
    </w:rPr>
  </w:style>
  <w:style w:type="paragraph" w:styleId="En-tte">
    <w:name w:val="header"/>
    <w:basedOn w:val="Normal"/>
    <w:link w:val="En-tteCar"/>
    <w:unhideWhenUsed/>
    <w:rsid w:val="006B2479"/>
    <w:pPr>
      <w:tabs>
        <w:tab w:val="center" w:pos="4536"/>
        <w:tab w:val="right" w:pos="9072"/>
      </w:tabs>
      <w:spacing w:after="0" w:line="240" w:lineRule="auto"/>
    </w:pPr>
  </w:style>
  <w:style w:type="character" w:customStyle="1" w:styleId="En-tteCar">
    <w:name w:val="En-tête Car"/>
    <w:basedOn w:val="Policepardfaut"/>
    <w:link w:val="En-tte"/>
    <w:uiPriority w:val="99"/>
    <w:rsid w:val="006B2479"/>
  </w:style>
  <w:style w:type="paragraph" w:styleId="Pieddepage">
    <w:name w:val="footer"/>
    <w:basedOn w:val="Normal"/>
    <w:link w:val="PieddepageCar"/>
    <w:uiPriority w:val="99"/>
    <w:unhideWhenUsed/>
    <w:rsid w:val="006B24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2479"/>
  </w:style>
  <w:style w:type="paragraph" w:styleId="Notedebasdepage">
    <w:name w:val="footnote text"/>
    <w:basedOn w:val="Normal"/>
    <w:link w:val="NotedebasdepageCar"/>
    <w:uiPriority w:val="99"/>
    <w:unhideWhenUsed/>
    <w:rsid w:val="00F1626B"/>
    <w:pPr>
      <w:spacing w:after="0" w:line="240" w:lineRule="auto"/>
    </w:pPr>
    <w:rPr>
      <w:sz w:val="20"/>
      <w:szCs w:val="20"/>
    </w:rPr>
  </w:style>
  <w:style w:type="character" w:customStyle="1" w:styleId="NotedebasdepageCar">
    <w:name w:val="Note de bas de page Car"/>
    <w:basedOn w:val="Policepardfaut"/>
    <w:link w:val="Notedebasdepage"/>
    <w:uiPriority w:val="99"/>
    <w:rsid w:val="00F1626B"/>
    <w:rPr>
      <w:sz w:val="20"/>
      <w:szCs w:val="20"/>
    </w:rPr>
  </w:style>
  <w:style w:type="table" w:styleId="Grilledutableau">
    <w:name w:val="Table Grid"/>
    <w:basedOn w:val="TableauNormal"/>
    <w:uiPriority w:val="39"/>
    <w:rsid w:val="00072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3981"/>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xmsonormal">
    <w:name w:val="x_msonormal"/>
    <w:basedOn w:val="Normal"/>
    <w:rsid w:val="00C76664"/>
    <w:pPr>
      <w:spacing w:before="100" w:beforeAutospacing="1" w:after="100" w:afterAutospacing="1" w:line="240" w:lineRule="auto"/>
    </w:pPr>
    <w:rPr>
      <w:rFonts w:ascii="Times New Roman" w:eastAsia="Times New Roman" w:hAnsi="Times New Roman" w:cs="Times New Roman"/>
      <w:sz w:val="24"/>
      <w:szCs w:val="24"/>
      <w:lang w:eastAsia="fr-BE"/>
    </w:rPr>
  </w:style>
  <w:style w:type="table" w:customStyle="1" w:styleId="Grilledutableau1">
    <w:name w:val="Grille du tableau1"/>
    <w:basedOn w:val="TableauNormal"/>
    <w:next w:val="Grilledutableau"/>
    <w:uiPriority w:val="39"/>
    <w:rsid w:val="0005107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4F8201-F5B2-45F4-B111-3B262FA15823}"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fr-FR"/>
        </a:p>
      </dgm:t>
    </dgm:pt>
    <dgm:pt modelId="{86BFC28B-4FF4-452D-B697-6CEBFF1A3A61}">
      <dgm:prSet phldrT="[Texte]"/>
      <dgm:spPr/>
      <dgm:t>
        <a:bodyPr/>
        <a:lstStyle/>
        <a:p>
          <a:r>
            <a:rPr lang="fr-FR"/>
            <a:t>Temps 1</a:t>
          </a:r>
        </a:p>
      </dgm:t>
    </dgm:pt>
    <dgm:pt modelId="{FAAAE19C-B1DE-4685-94F8-33FC4C3F314B}" type="parTrans" cxnId="{48BBAF92-8911-4B57-B315-DDBC5F3DFB99}">
      <dgm:prSet/>
      <dgm:spPr/>
      <dgm:t>
        <a:bodyPr/>
        <a:lstStyle/>
        <a:p>
          <a:endParaRPr lang="fr-FR"/>
        </a:p>
      </dgm:t>
    </dgm:pt>
    <dgm:pt modelId="{44DD255E-3A5B-4B60-AF6C-5EF9815EC787}" type="sibTrans" cxnId="{48BBAF92-8911-4B57-B315-DDBC5F3DFB99}">
      <dgm:prSet/>
      <dgm:spPr/>
      <dgm:t>
        <a:bodyPr/>
        <a:lstStyle/>
        <a:p>
          <a:endParaRPr lang="fr-FR"/>
        </a:p>
      </dgm:t>
    </dgm:pt>
    <dgm:pt modelId="{3E931743-C70C-4091-A461-E5E28FB1624C}">
      <dgm:prSet phldrT="[Texte]" custT="1"/>
      <dgm:spPr/>
      <dgm:t>
        <a:bodyPr/>
        <a:lstStyle/>
        <a:p>
          <a:pPr algn="just"/>
          <a:r>
            <a:rPr lang="fr-FR" sz="1200">
              <a:latin typeface="Times New Roman" panose="02020603050405020304" pitchFamily="18" charset="0"/>
              <a:cs typeface="Times New Roman" panose="02020603050405020304" pitchFamily="18" charset="0"/>
            </a:rPr>
            <a:t>prise en considération des contextes boursiers américains et asiatiques</a:t>
          </a:r>
        </a:p>
      </dgm:t>
    </dgm:pt>
    <dgm:pt modelId="{8CFB1E2E-06AC-4253-A44D-D3F9E2E90B78}" type="parTrans" cxnId="{395F8C7E-C7E0-4E4B-84AA-A081C97C04B2}">
      <dgm:prSet/>
      <dgm:spPr/>
      <dgm:t>
        <a:bodyPr/>
        <a:lstStyle/>
        <a:p>
          <a:endParaRPr lang="fr-FR"/>
        </a:p>
      </dgm:t>
    </dgm:pt>
    <dgm:pt modelId="{8A821B9F-E2DC-42E9-A1E1-81487B39280B}" type="sibTrans" cxnId="{395F8C7E-C7E0-4E4B-84AA-A081C97C04B2}">
      <dgm:prSet/>
      <dgm:spPr/>
      <dgm:t>
        <a:bodyPr/>
        <a:lstStyle/>
        <a:p>
          <a:endParaRPr lang="fr-FR"/>
        </a:p>
      </dgm:t>
    </dgm:pt>
    <dgm:pt modelId="{E4190575-FF40-4F58-869B-D6AFD07FC102}">
      <dgm:prSet phldrT="[Texte]" custT="1"/>
      <dgm:spPr/>
      <dgm:t>
        <a:bodyPr/>
        <a:lstStyle/>
        <a:p>
          <a:pPr algn="just"/>
          <a:r>
            <a:rPr lang="fr-FR" sz="1200">
              <a:latin typeface="Times New Roman" panose="02020603050405020304" pitchFamily="18" charset="0"/>
              <a:cs typeface="Times New Roman" panose="02020603050405020304" pitchFamily="18" charset="0"/>
            </a:rPr>
            <a:t>prise en considération de l'évolution du prix de l'or</a:t>
          </a:r>
        </a:p>
      </dgm:t>
    </dgm:pt>
    <dgm:pt modelId="{ADA50245-5B58-4638-8AED-E3492466EB83}" type="parTrans" cxnId="{5EF62BFD-DD68-415A-9AA8-B71053E2239F}">
      <dgm:prSet/>
      <dgm:spPr/>
      <dgm:t>
        <a:bodyPr/>
        <a:lstStyle/>
        <a:p>
          <a:endParaRPr lang="fr-FR"/>
        </a:p>
      </dgm:t>
    </dgm:pt>
    <dgm:pt modelId="{B1DA8210-AEB6-4AEC-969D-106021185A8E}" type="sibTrans" cxnId="{5EF62BFD-DD68-415A-9AA8-B71053E2239F}">
      <dgm:prSet/>
      <dgm:spPr/>
      <dgm:t>
        <a:bodyPr/>
        <a:lstStyle/>
        <a:p>
          <a:endParaRPr lang="fr-FR"/>
        </a:p>
      </dgm:t>
    </dgm:pt>
    <dgm:pt modelId="{4493BF82-AF31-4A84-8F5A-8D7CF1D9D4F2}">
      <dgm:prSet phldrT="[Texte]"/>
      <dgm:spPr/>
      <dgm:t>
        <a:bodyPr/>
        <a:lstStyle/>
        <a:p>
          <a:r>
            <a:rPr lang="fr-FR"/>
            <a:t>Temps 2</a:t>
          </a:r>
        </a:p>
      </dgm:t>
    </dgm:pt>
    <dgm:pt modelId="{9D8707EE-6AE8-4F55-A8A8-EACFB79FD64D}" type="parTrans" cxnId="{5D7946A9-9784-4294-95EB-1F9E1CF0CD5E}">
      <dgm:prSet/>
      <dgm:spPr/>
      <dgm:t>
        <a:bodyPr/>
        <a:lstStyle/>
        <a:p>
          <a:endParaRPr lang="fr-FR"/>
        </a:p>
      </dgm:t>
    </dgm:pt>
    <dgm:pt modelId="{4C24A150-4E7A-493D-AEEF-3251F0289AE6}" type="sibTrans" cxnId="{5D7946A9-9784-4294-95EB-1F9E1CF0CD5E}">
      <dgm:prSet/>
      <dgm:spPr/>
      <dgm:t>
        <a:bodyPr/>
        <a:lstStyle/>
        <a:p>
          <a:endParaRPr lang="fr-FR"/>
        </a:p>
      </dgm:t>
    </dgm:pt>
    <dgm:pt modelId="{845A4015-2C90-4F47-A1B7-6C86D0B176DB}">
      <dgm:prSet phldrT="[Texte]" custT="1"/>
      <dgm:spPr/>
      <dgm:t>
        <a:bodyPr/>
        <a:lstStyle/>
        <a:p>
          <a:pPr algn="just"/>
          <a:r>
            <a:rPr lang="fr-FR" sz="1200">
              <a:latin typeface="Times New Roman" panose="02020603050405020304" pitchFamily="18" charset="0"/>
              <a:cs typeface="Times New Roman" panose="02020603050405020304" pitchFamily="18" charset="0"/>
            </a:rPr>
            <a:t>prise en considération de la tendance sur les marchés européens à l'ouverture</a:t>
          </a:r>
        </a:p>
      </dgm:t>
    </dgm:pt>
    <dgm:pt modelId="{09E67767-3FA9-4417-BB83-C1E534AC539D}" type="parTrans" cxnId="{B9A060E0-C67B-4398-AA01-480AF2B1C9E1}">
      <dgm:prSet/>
      <dgm:spPr/>
      <dgm:t>
        <a:bodyPr/>
        <a:lstStyle/>
        <a:p>
          <a:endParaRPr lang="fr-FR"/>
        </a:p>
      </dgm:t>
    </dgm:pt>
    <dgm:pt modelId="{0227211F-358E-4205-803A-61D394DE53EF}" type="sibTrans" cxnId="{B9A060E0-C67B-4398-AA01-480AF2B1C9E1}">
      <dgm:prSet/>
      <dgm:spPr/>
      <dgm:t>
        <a:bodyPr/>
        <a:lstStyle/>
        <a:p>
          <a:endParaRPr lang="fr-FR"/>
        </a:p>
      </dgm:t>
    </dgm:pt>
    <dgm:pt modelId="{E8B13AE8-FD15-4A18-B40A-4E829A5E70E9}">
      <dgm:prSet phldrT="[Texte]" custT="1"/>
      <dgm:spPr/>
      <dgm:t>
        <a:bodyPr/>
        <a:lstStyle/>
        <a:p>
          <a:pPr algn="just"/>
          <a:r>
            <a:rPr lang="fr-FR" sz="1200">
              <a:latin typeface="Times New Roman" panose="02020603050405020304" pitchFamily="18" charset="0"/>
              <a:cs typeface="Times New Roman" panose="02020603050405020304" pitchFamily="18" charset="0"/>
            </a:rPr>
            <a:t>prise en considération de l'information macroéconomique et celle de certains titres</a:t>
          </a:r>
        </a:p>
      </dgm:t>
    </dgm:pt>
    <dgm:pt modelId="{141DA887-329C-4896-9F84-B5104715FA85}" type="parTrans" cxnId="{64B23211-C9BD-4385-AE8B-E1E5B6FDA6A2}">
      <dgm:prSet/>
      <dgm:spPr/>
      <dgm:t>
        <a:bodyPr/>
        <a:lstStyle/>
        <a:p>
          <a:endParaRPr lang="fr-FR"/>
        </a:p>
      </dgm:t>
    </dgm:pt>
    <dgm:pt modelId="{A8DCB94F-6AFE-4F66-830A-7304031A1C03}" type="sibTrans" cxnId="{64B23211-C9BD-4385-AE8B-E1E5B6FDA6A2}">
      <dgm:prSet/>
      <dgm:spPr/>
      <dgm:t>
        <a:bodyPr/>
        <a:lstStyle/>
        <a:p>
          <a:endParaRPr lang="fr-FR"/>
        </a:p>
      </dgm:t>
    </dgm:pt>
    <dgm:pt modelId="{6B4A33C2-F7ED-414C-8DD1-8FC7BBECDB9C}">
      <dgm:prSet phldrT="[Texte]"/>
      <dgm:spPr/>
      <dgm:t>
        <a:bodyPr/>
        <a:lstStyle/>
        <a:p>
          <a:r>
            <a:rPr lang="fr-FR"/>
            <a:t>Temps 3</a:t>
          </a:r>
        </a:p>
      </dgm:t>
    </dgm:pt>
    <dgm:pt modelId="{12408D9F-4685-4E55-BCB5-D332C34545B4}" type="parTrans" cxnId="{4B32B309-971B-440F-AC8B-7C5D660CCEFF}">
      <dgm:prSet/>
      <dgm:spPr/>
      <dgm:t>
        <a:bodyPr/>
        <a:lstStyle/>
        <a:p>
          <a:endParaRPr lang="fr-FR"/>
        </a:p>
      </dgm:t>
    </dgm:pt>
    <dgm:pt modelId="{D2EA921F-6E02-4C9E-B3CC-B2A5626287BC}" type="sibTrans" cxnId="{4B32B309-971B-440F-AC8B-7C5D660CCEFF}">
      <dgm:prSet/>
      <dgm:spPr/>
      <dgm:t>
        <a:bodyPr/>
        <a:lstStyle/>
        <a:p>
          <a:endParaRPr lang="fr-FR"/>
        </a:p>
      </dgm:t>
    </dgm:pt>
    <dgm:pt modelId="{7A21AF7B-2FC7-446F-BE51-B6EEE6F770BB}">
      <dgm:prSet phldrT="[Texte]" custT="1"/>
      <dgm:spPr/>
      <dgm:t>
        <a:bodyPr/>
        <a:lstStyle/>
        <a:p>
          <a:pPr algn="just"/>
          <a:r>
            <a:rPr lang="fr-FR" sz="1200">
              <a:latin typeface="Times New Roman" panose="02020603050405020304" pitchFamily="18" charset="0"/>
              <a:cs typeface="Times New Roman" panose="02020603050405020304" pitchFamily="18" charset="0"/>
            </a:rPr>
            <a:t>délaissement progressif des contenus informationnels</a:t>
          </a:r>
        </a:p>
      </dgm:t>
    </dgm:pt>
    <dgm:pt modelId="{B86D0DDD-3D9C-43AD-A336-CD165912E1AE}" type="parTrans" cxnId="{3DEB43E6-0A43-4D8C-9F6D-FEA7779A95BC}">
      <dgm:prSet/>
      <dgm:spPr/>
      <dgm:t>
        <a:bodyPr/>
        <a:lstStyle/>
        <a:p>
          <a:endParaRPr lang="fr-FR"/>
        </a:p>
      </dgm:t>
    </dgm:pt>
    <dgm:pt modelId="{81B00E56-CA4D-4CD3-889D-571C3EA88F79}" type="sibTrans" cxnId="{3DEB43E6-0A43-4D8C-9F6D-FEA7779A95BC}">
      <dgm:prSet/>
      <dgm:spPr/>
      <dgm:t>
        <a:bodyPr/>
        <a:lstStyle/>
        <a:p>
          <a:endParaRPr lang="fr-FR"/>
        </a:p>
      </dgm:t>
    </dgm:pt>
    <dgm:pt modelId="{CB253BFD-F3F6-4FBA-A91F-287D0D6B1CD3}">
      <dgm:prSet phldrT="[Texte]" custT="1"/>
      <dgm:spPr/>
      <dgm:t>
        <a:bodyPr/>
        <a:lstStyle/>
        <a:p>
          <a:pPr algn="just"/>
          <a:r>
            <a:rPr lang="fr-FR" sz="1200">
              <a:latin typeface="Times New Roman" panose="02020603050405020304" pitchFamily="18" charset="0"/>
              <a:cs typeface="Times New Roman" panose="02020603050405020304" pitchFamily="18" charset="0"/>
            </a:rPr>
            <a:t>recours à l'analyse graphique et technique pour l'indice de référence</a:t>
          </a:r>
        </a:p>
      </dgm:t>
    </dgm:pt>
    <dgm:pt modelId="{86316E0C-30B3-418C-A746-8F0CC08131B4}" type="parTrans" cxnId="{DBFA94EE-8FDF-4E5B-955F-1D43D43BF8E7}">
      <dgm:prSet/>
      <dgm:spPr/>
      <dgm:t>
        <a:bodyPr/>
        <a:lstStyle/>
        <a:p>
          <a:endParaRPr lang="fr-FR"/>
        </a:p>
      </dgm:t>
    </dgm:pt>
    <dgm:pt modelId="{38970427-74F5-429F-A065-990237022984}" type="sibTrans" cxnId="{DBFA94EE-8FDF-4E5B-955F-1D43D43BF8E7}">
      <dgm:prSet/>
      <dgm:spPr/>
      <dgm:t>
        <a:bodyPr/>
        <a:lstStyle/>
        <a:p>
          <a:endParaRPr lang="fr-FR"/>
        </a:p>
      </dgm:t>
    </dgm:pt>
    <dgm:pt modelId="{AFD7E099-2802-4B49-BBC4-6D9CAFA26500}">
      <dgm:prSet phldrT="[Texte]" custT="1"/>
      <dgm:spPr/>
      <dgm:t>
        <a:bodyPr/>
        <a:lstStyle/>
        <a:p>
          <a:pPr algn="just"/>
          <a:r>
            <a:rPr lang="fr-FR" sz="1200">
              <a:latin typeface="Times New Roman" panose="02020603050405020304" pitchFamily="18" charset="0"/>
              <a:cs typeface="Times New Roman" panose="02020603050405020304" pitchFamily="18" charset="0"/>
            </a:rPr>
            <a:t>prise en considération de l'évolution du prix du pétrole</a:t>
          </a:r>
        </a:p>
      </dgm:t>
    </dgm:pt>
    <dgm:pt modelId="{EF4C4E33-E0DB-4020-AB63-9AFA272D875E}" type="parTrans" cxnId="{0855E899-FEF2-4064-A70E-0EC15DE6963B}">
      <dgm:prSet/>
      <dgm:spPr/>
      <dgm:t>
        <a:bodyPr/>
        <a:lstStyle/>
        <a:p>
          <a:endParaRPr lang="fr-FR"/>
        </a:p>
      </dgm:t>
    </dgm:pt>
    <dgm:pt modelId="{D16E2E5F-D5DF-4D72-A9AF-DEEC8C06E2D1}" type="sibTrans" cxnId="{0855E899-FEF2-4064-A70E-0EC15DE6963B}">
      <dgm:prSet/>
      <dgm:spPr/>
      <dgm:t>
        <a:bodyPr/>
        <a:lstStyle/>
        <a:p>
          <a:endParaRPr lang="fr-FR"/>
        </a:p>
      </dgm:t>
    </dgm:pt>
    <dgm:pt modelId="{F016832B-654B-4FE2-92E6-29001E2747B4}">
      <dgm:prSet phldrT="[Texte]" custT="1"/>
      <dgm:spPr/>
      <dgm:t>
        <a:bodyPr/>
        <a:lstStyle/>
        <a:p>
          <a:pPr algn="just"/>
          <a:r>
            <a:rPr lang="fr-FR" sz="1200">
              <a:latin typeface="Times New Roman" panose="02020603050405020304" pitchFamily="18" charset="0"/>
              <a:cs typeface="Times New Roman" panose="02020603050405020304" pitchFamily="18" charset="0"/>
            </a:rPr>
            <a:t>analyse de la réaction des marchés suite à la publicité de ces informations</a:t>
          </a:r>
        </a:p>
      </dgm:t>
    </dgm:pt>
    <dgm:pt modelId="{67BB666F-4031-40CF-AC37-CAF5532C6050}" type="parTrans" cxnId="{582BCDBD-8831-42C1-B82C-690CD7E2753E}">
      <dgm:prSet/>
      <dgm:spPr/>
      <dgm:t>
        <a:bodyPr/>
        <a:lstStyle/>
        <a:p>
          <a:endParaRPr lang="fr-FR"/>
        </a:p>
      </dgm:t>
    </dgm:pt>
    <dgm:pt modelId="{3EF1D842-13B7-4366-9DFC-8B491EF45BEE}" type="sibTrans" cxnId="{582BCDBD-8831-42C1-B82C-690CD7E2753E}">
      <dgm:prSet/>
      <dgm:spPr/>
      <dgm:t>
        <a:bodyPr/>
        <a:lstStyle/>
        <a:p>
          <a:endParaRPr lang="fr-FR"/>
        </a:p>
      </dgm:t>
    </dgm:pt>
    <dgm:pt modelId="{CB7D5D63-9226-4CBD-96F5-AE09B8C4D1D0}">
      <dgm:prSet phldrT="[Texte]" custT="1"/>
      <dgm:spPr/>
      <dgm:t>
        <a:bodyPr/>
        <a:lstStyle/>
        <a:p>
          <a:pPr algn="just"/>
          <a:r>
            <a:rPr lang="fr-FR" sz="1200">
              <a:latin typeface="Times New Roman" panose="02020603050405020304" pitchFamily="18" charset="0"/>
              <a:cs typeface="Times New Roman" panose="02020603050405020304" pitchFamily="18" charset="0"/>
            </a:rPr>
            <a:t>suivisme lorsque les réactions étaient positives, attentisme dans le cas contraire</a:t>
          </a:r>
        </a:p>
      </dgm:t>
    </dgm:pt>
    <dgm:pt modelId="{E01A7A89-35DB-4477-B2D7-9F61F5E3A419}" type="parTrans" cxnId="{33B8C3BD-5FB9-4F75-B796-19B858668118}">
      <dgm:prSet/>
      <dgm:spPr/>
      <dgm:t>
        <a:bodyPr/>
        <a:lstStyle/>
        <a:p>
          <a:endParaRPr lang="fr-FR"/>
        </a:p>
      </dgm:t>
    </dgm:pt>
    <dgm:pt modelId="{B684CE9B-0184-48CD-8F27-E2DCF187E7BA}" type="sibTrans" cxnId="{33B8C3BD-5FB9-4F75-B796-19B858668118}">
      <dgm:prSet/>
      <dgm:spPr/>
      <dgm:t>
        <a:bodyPr/>
        <a:lstStyle/>
        <a:p>
          <a:endParaRPr lang="fr-FR"/>
        </a:p>
      </dgm:t>
    </dgm:pt>
    <dgm:pt modelId="{F6766E9F-F616-46BE-98E7-A99071130281}">
      <dgm:prSet phldrT="[Texte]" custT="1"/>
      <dgm:spPr/>
      <dgm:t>
        <a:bodyPr/>
        <a:lstStyle/>
        <a:p>
          <a:pPr algn="just"/>
          <a:r>
            <a:rPr lang="fr-FR" sz="1200">
              <a:latin typeface="Times New Roman" panose="02020603050405020304" pitchFamily="18" charset="0"/>
              <a:cs typeface="Times New Roman" panose="02020603050405020304" pitchFamily="18" charset="0"/>
            </a:rPr>
            <a:t>ajustements des positions en fonction de signaux principalement techniques et de déviations par rapport à des conventions de marché</a:t>
          </a:r>
        </a:p>
      </dgm:t>
    </dgm:pt>
    <dgm:pt modelId="{6E7E54C9-8899-4027-917E-FCD63E0ECDCC}" type="parTrans" cxnId="{9204B39E-CD9F-4416-B7C5-82EDB677FDC6}">
      <dgm:prSet/>
      <dgm:spPr/>
      <dgm:t>
        <a:bodyPr/>
        <a:lstStyle/>
        <a:p>
          <a:endParaRPr lang="fr-FR"/>
        </a:p>
      </dgm:t>
    </dgm:pt>
    <dgm:pt modelId="{DA151223-9BA1-4378-90CE-B0A848454C77}" type="sibTrans" cxnId="{9204B39E-CD9F-4416-B7C5-82EDB677FDC6}">
      <dgm:prSet/>
      <dgm:spPr/>
      <dgm:t>
        <a:bodyPr/>
        <a:lstStyle/>
        <a:p>
          <a:endParaRPr lang="fr-FR"/>
        </a:p>
      </dgm:t>
    </dgm:pt>
    <dgm:pt modelId="{CBBE4420-5EEC-4C03-9B66-B27031697EAA}">
      <dgm:prSet phldrT="[Texte]" custT="1"/>
      <dgm:spPr/>
      <dgm:t>
        <a:bodyPr/>
        <a:lstStyle/>
        <a:p>
          <a:pPr algn="just"/>
          <a:r>
            <a:rPr lang="fr-FR" sz="1200">
              <a:latin typeface="Times New Roman" panose="02020603050405020304" pitchFamily="18" charset="0"/>
              <a:cs typeface="Times New Roman" panose="02020603050405020304" pitchFamily="18" charset="0"/>
            </a:rPr>
            <a:t>prise en compte de l'ouverture théorique sur les marchés européens</a:t>
          </a:r>
        </a:p>
      </dgm:t>
    </dgm:pt>
    <dgm:pt modelId="{FEEB7AD7-9734-4582-8EBE-CB631BFB5EBA}" type="parTrans" cxnId="{0F0DE58F-4E41-421D-BA2F-F577655FD655}">
      <dgm:prSet/>
      <dgm:spPr/>
      <dgm:t>
        <a:bodyPr/>
        <a:lstStyle/>
        <a:p>
          <a:endParaRPr lang="fr-FR"/>
        </a:p>
      </dgm:t>
    </dgm:pt>
    <dgm:pt modelId="{268BC285-CDC0-4293-9884-6365C1044892}" type="sibTrans" cxnId="{0F0DE58F-4E41-421D-BA2F-F577655FD655}">
      <dgm:prSet/>
      <dgm:spPr/>
      <dgm:t>
        <a:bodyPr/>
        <a:lstStyle/>
        <a:p>
          <a:endParaRPr lang="fr-FR"/>
        </a:p>
      </dgm:t>
    </dgm:pt>
    <dgm:pt modelId="{6ADCCF06-F25F-472A-BCDC-1D85102CFAEA}">
      <dgm:prSet phldrT="[Texte]" custT="1"/>
      <dgm:spPr/>
      <dgm:t>
        <a:bodyPr/>
        <a:lstStyle/>
        <a:p>
          <a:pPr algn="just"/>
          <a:r>
            <a:rPr lang="fr-FR" sz="1200">
              <a:latin typeface="Times New Roman" panose="02020603050405020304" pitchFamily="18" charset="0"/>
              <a:cs typeface="Times New Roman" panose="02020603050405020304" pitchFamily="18" charset="0"/>
            </a:rPr>
            <a:t>recours à l'analyse graphique et technique pour les titres en portefeuille, % d'écart par rapport à des normes qu'ils ont créées</a:t>
          </a:r>
        </a:p>
      </dgm:t>
    </dgm:pt>
    <dgm:pt modelId="{37001F81-60D0-4BB9-B042-AF64CE44B81D}" type="parTrans" cxnId="{D16FD86F-55BC-4F88-889E-C6273AC2DCB3}">
      <dgm:prSet/>
      <dgm:spPr/>
      <dgm:t>
        <a:bodyPr/>
        <a:lstStyle/>
        <a:p>
          <a:endParaRPr lang="fr-FR"/>
        </a:p>
      </dgm:t>
    </dgm:pt>
    <dgm:pt modelId="{2BC38D7C-952C-48EA-9473-2E4E5412A718}" type="sibTrans" cxnId="{D16FD86F-55BC-4F88-889E-C6273AC2DCB3}">
      <dgm:prSet/>
      <dgm:spPr/>
      <dgm:t>
        <a:bodyPr/>
        <a:lstStyle/>
        <a:p>
          <a:endParaRPr lang="fr-FR"/>
        </a:p>
      </dgm:t>
    </dgm:pt>
    <dgm:pt modelId="{210623EF-3449-495F-A39B-1B5B5AA03145}" type="pres">
      <dgm:prSet presAssocID="{D84F8201-F5B2-45F4-B111-3B262FA15823}" presName="linearFlow" presStyleCnt="0">
        <dgm:presLayoutVars>
          <dgm:dir/>
          <dgm:animLvl val="lvl"/>
          <dgm:resizeHandles val="exact"/>
        </dgm:presLayoutVars>
      </dgm:prSet>
      <dgm:spPr/>
    </dgm:pt>
    <dgm:pt modelId="{97EDD1EB-E454-415D-BB67-B35259B1F76F}" type="pres">
      <dgm:prSet presAssocID="{86BFC28B-4FF4-452D-B697-6CEBFF1A3A61}" presName="composite" presStyleCnt="0"/>
      <dgm:spPr/>
    </dgm:pt>
    <dgm:pt modelId="{502752C1-CE15-4441-B4D5-8B3C3F5CB3D6}" type="pres">
      <dgm:prSet presAssocID="{86BFC28B-4FF4-452D-B697-6CEBFF1A3A61}" presName="parentText" presStyleLbl="alignNode1" presStyleIdx="0" presStyleCnt="3">
        <dgm:presLayoutVars>
          <dgm:chMax val="1"/>
          <dgm:bulletEnabled val="1"/>
        </dgm:presLayoutVars>
      </dgm:prSet>
      <dgm:spPr/>
    </dgm:pt>
    <dgm:pt modelId="{24AF07BA-CB90-40A2-9059-71029ED081D6}" type="pres">
      <dgm:prSet presAssocID="{86BFC28B-4FF4-452D-B697-6CEBFF1A3A61}" presName="descendantText" presStyleLbl="alignAcc1" presStyleIdx="0" presStyleCnt="3" custScaleY="138115">
        <dgm:presLayoutVars>
          <dgm:bulletEnabled val="1"/>
        </dgm:presLayoutVars>
      </dgm:prSet>
      <dgm:spPr/>
    </dgm:pt>
    <dgm:pt modelId="{E6179E96-FF9F-4028-8489-348C23943A8E}" type="pres">
      <dgm:prSet presAssocID="{44DD255E-3A5B-4B60-AF6C-5EF9815EC787}" presName="sp" presStyleCnt="0"/>
      <dgm:spPr/>
    </dgm:pt>
    <dgm:pt modelId="{61C2E31D-75D2-4FFA-A087-522880290017}" type="pres">
      <dgm:prSet presAssocID="{4493BF82-AF31-4A84-8F5A-8D7CF1D9D4F2}" presName="composite" presStyleCnt="0"/>
      <dgm:spPr/>
    </dgm:pt>
    <dgm:pt modelId="{F09520AB-F9D6-4BCA-8A72-72D06244517F}" type="pres">
      <dgm:prSet presAssocID="{4493BF82-AF31-4A84-8F5A-8D7CF1D9D4F2}" presName="parentText" presStyleLbl="alignNode1" presStyleIdx="1" presStyleCnt="3">
        <dgm:presLayoutVars>
          <dgm:chMax val="1"/>
          <dgm:bulletEnabled val="1"/>
        </dgm:presLayoutVars>
      </dgm:prSet>
      <dgm:spPr/>
    </dgm:pt>
    <dgm:pt modelId="{A0D9A71D-DFE3-4D60-A473-B02730ED1EE1}" type="pres">
      <dgm:prSet presAssocID="{4493BF82-AF31-4A84-8F5A-8D7CF1D9D4F2}" presName="descendantText" presStyleLbl="alignAcc1" presStyleIdx="1" presStyleCnt="3" custScaleY="179501" custLinFactNeighborX="0" custLinFactNeighborY="-13082">
        <dgm:presLayoutVars>
          <dgm:bulletEnabled val="1"/>
        </dgm:presLayoutVars>
      </dgm:prSet>
      <dgm:spPr/>
    </dgm:pt>
    <dgm:pt modelId="{84231C3C-826D-4916-BC53-3B19E8B84814}" type="pres">
      <dgm:prSet presAssocID="{4C24A150-4E7A-493D-AEEF-3251F0289AE6}" presName="sp" presStyleCnt="0"/>
      <dgm:spPr/>
    </dgm:pt>
    <dgm:pt modelId="{43F4FF8F-0EC3-4DCA-9FCD-661060946F4B}" type="pres">
      <dgm:prSet presAssocID="{6B4A33C2-F7ED-414C-8DD1-8FC7BBECDB9C}" presName="composite" presStyleCnt="0"/>
      <dgm:spPr/>
    </dgm:pt>
    <dgm:pt modelId="{C4B61E4E-6B72-4408-A391-935C7F4D8928}" type="pres">
      <dgm:prSet presAssocID="{6B4A33C2-F7ED-414C-8DD1-8FC7BBECDB9C}" presName="parentText" presStyleLbl="alignNode1" presStyleIdx="2" presStyleCnt="3">
        <dgm:presLayoutVars>
          <dgm:chMax val="1"/>
          <dgm:bulletEnabled val="1"/>
        </dgm:presLayoutVars>
      </dgm:prSet>
      <dgm:spPr/>
    </dgm:pt>
    <dgm:pt modelId="{AB589176-C1CD-4A12-ACA7-B06DEBF12232}" type="pres">
      <dgm:prSet presAssocID="{6B4A33C2-F7ED-414C-8DD1-8FC7BBECDB9C}" presName="descendantText" presStyleLbl="alignAcc1" presStyleIdx="2" presStyleCnt="3" custScaleY="187257" custLinFactNeighborX="0" custLinFactNeighborY="23630">
        <dgm:presLayoutVars>
          <dgm:bulletEnabled val="1"/>
        </dgm:presLayoutVars>
      </dgm:prSet>
      <dgm:spPr/>
    </dgm:pt>
  </dgm:ptLst>
  <dgm:cxnLst>
    <dgm:cxn modelId="{4B32B309-971B-440F-AC8B-7C5D660CCEFF}" srcId="{D84F8201-F5B2-45F4-B111-3B262FA15823}" destId="{6B4A33C2-F7ED-414C-8DD1-8FC7BBECDB9C}" srcOrd="2" destOrd="0" parTransId="{12408D9F-4685-4E55-BCB5-D332C34545B4}" sibTransId="{D2EA921F-6E02-4C9E-B3CC-B2A5626287BC}"/>
    <dgm:cxn modelId="{48983A0B-61EB-40BB-860A-4C743DA35FB0}" type="presOf" srcId="{E4190575-FF40-4F58-869B-D6AFD07FC102}" destId="{24AF07BA-CB90-40A2-9059-71029ED081D6}" srcOrd="0" destOrd="1" presId="urn:microsoft.com/office/officeart/2005/8/layout/chevron2"/>
    <dgm:cxn modelId="{64B23211-C9BD-4385-AE8B-E1E5B6FDA6A2}" srcId="{4493BF82-AF31-4A84-8F5A-8D7CF1D9D4F2}" destId="{E8B13AE8-FD15-4A18-B40A-4E829A5E70E9}" srcOrd="1" destOrd="0" parTransId="{141DA887-329C-4896-9F84-B5104715FA85}" sibTransId="{A8DCB94F-6AFE-4F66-830A-7304031A1C03}"/>
    <dgm:cxn modelId="{F0077614-3E30-4794-9820-836FF0C63D95}" type="presOf" srcId="{3E931743-C70C-4091-A461-E5E28FB1624C}" destId="{24AF07BA-CB90-40A2-9059-71029ED081D6}" srcOrd="0" destOrd="0" presId="urn:microsoft.com/office/officeart/2005/8/layout/chevron2"/>
    <dgm:cxn modelId="{1D5CAC1C-0151-479A-A7F0-BE4E7EA2C5D6}" type="presOf" srcId="{7A21AF7B-2FC7-446F-BE51-B6EEE6F770BB}" destId="{AB589176-C1CD-4A12-ACA7-B06DEBF12232}" srcOrd="0" destOrd="0" presId="urn:microsoft.com/office/officeart/2005/8/layout/chevron2"/>
    <dgm:cxn modelId="{7AC27C26-A832-49F8-9420-E1761DE3DC19}" type="presOf" srcId="{86BFC28B-4FF4-452D-B697-6CEBFF1A3A61}" destId="{502752C1-CE15-4441-B4D5-8B3C3F5CB3D6}" srcOrd="0" destOrd="0" presId="urn:microsoft.com/office/officeart/2005/8/layout/chevron2"/>
    <dgm:cxn modelId="{D8349630-5BCC-41BF-B534-93504FF50F39}" type="presOf" srcId="{4493BF82-AF31-4A84-8F5A-8D7CF1D9D4F2}" destId="{F09520AB-F9D6-4BCA-8A72-72D06244517F}" srcOrd="0" destOrd="0" presId="urn:microsoft.com/office/officeart/2005/8/layout/chevron2"/>
    <dgm:cxn modelId="{BCE7EB39-80A6-4B13-97D8-19F98BC86201}" type="presOf" srcId="{F6766E9F-F616-46BE-98E7-A99071130281}" destId="{AB589176-C1CD-4A12-ACA7-B06DEBF12232}" srcOrd="0" destOrd="3" presId="urn:microsoft.com/office/officeart/2005/8/layout/chevron2"/>
    <dgm:cxn modelId="{F1464F3F-BFB5-4FF0-99F9-2DF503D06AF9}" type="presOf" srcId="{F016832B-654B-4FE2-92E6-29001E2747B4}" destId="{A0D9A71D-DFE3-4D60-A473-B02730ED1EE1}" srcOrd="0" destOrd="2" presId="urn:microsoft.com/office/officeart/2005/8/layout/chevron2"/>
    <dgm:cxn modelId="{A9356240-B3BC-47A6-9356-0A043F92DC3C}" type="presOf" srcId="{AFD7E099-2802-4B49-BBC4-6D9CAFA26500}" destId="{24AF07BA-CB90-40A2-9059-71029ED081D6}" srcOrd="0" destOrd="2" presId="urn:microsoft.com/office/officeart/2005/8/layout/chevron2"/>
    <dgm:cxn modelId="{36BFD16E-7C2F-4FB1-9CE7-4637579B0129}" type="presOf" srcId="{CBBE4420-5EEC-4C03-9B66-B27031697EAA}" destId="{24AF07BA-CB90-40A2-9059-71029ED081D6}" srcOrd="0" destOrd="3" presId="urn:microsoft.com/office/officeart/2005/8/layout/chevron2"/>
    <dgm:cxn modelId="{D16FD86F-55BC-4F88-889E-C6273AC2DCB3}" srcId="{6B4A33C2-F7ED-414C-8DD1-8FC7BBECDB9C}" destId="{6ADCCF06-F25F-472A-BCDC-1D85102CFAEA}" srcOrd="1" destOrd="0" parTransId="{37001F81-60D0-4BB9-B042-AF64CE44B81D}" sibTransId="{2BC38D7C-952C-48EA-9473-2E4E5412A718}"/>
    <dgm:cxn modelId="{3D88EA76-1DCB-42F0-872E-2A316509C869}" type="presOf" srcId="{845A4015-2C90-4F47-A1B7-6C86D0B176DB}" destId="{A0D9A71D-DFE3-4D60-A473-B02730ED1EE1}" srcOrd="0" destOrd="0" presId="urn:microsoft.com/office/officeart/2005/8/layout/chevron2"/>
    <dgm:cxn modelId="{395F8C7E-C7E0-4E4B-84AA-A081C97C04B2}" srcId="{86BFC28B-4FF4-452D-B697-6CEBFF1A3A61}" destId="{3E931743-C70C-4091-A461-E5E28FB1624C}" srcOrd="0" destOrd="0" parTransId="{8CFB1E2E-06AC-4253-A44D-D3F9E2E90B78}" sibTransId="{8A821B9F-E2DC-42E9-A1E1-81487B39280B}"/>
    <dgm:cxn modelId="{C5843B83-9C72-4515-999C-A92F5BED807C}" type="presOf" srcId="{E8B13AE8-FD15-4A18-B40A-4E829A5E70E9}" destId="{A0D9A71D-DFE3-4D60-A473-B02730ED1EE1}" srcOrd="0" destOrd="1" presId="urn:microsoft.com/office/officeart/2005/8/layout/chevron2"/>
    <dgm:cxn modelId="{0F0DE58F-4E41-421D-BA2F-F577655FD655}" srcId="{86BFC28B-4FF4-452D-B697-6CEBFF1A3A61}" destId="{CBBE4420-5EEC-4C03-9B66-B27031697EAA}" srcOrd="3" destOrd="0" parTransId="{FEEB7AD7-9734-4582-8EBE-CB631BFB5EBA}" sibTransId="{268BC285-CDC0-4293-9884-6365C1044892}"/>
    <dgm:cxn modelId="{48BBAF92-8911-4B57-B315-DDBC5F3DFB99}" srcId="{D84F8201-F5B2-45F4-B111-3B262FA15823}" destId="{86BFC28B-4FF4-452D-B697-6CEBFF1A3A61}" srcOrd="0" destOrd="0" parTransId="{FAAAE19C-B1DE-4685-94F8-33FC4C3F314B}" sibTransId="{44DD255E-3A5B-4B60-AF6C-5EF9815EC787}"/>
    <dgm:cxn modelId="{7A6FCF95-2597-4757-9C64-45617F149803}" type="presOf" srcId="{D84F8201-F5B2-45F4-B111-3B262FA15823}" destId="{210623EF-3449-495F-A39B-1B5B5AA03145}" srcOrd="0" destOrd="0" presId="urn:microsoft.com/office/officeart/2005/8/layout/chevron2"/>
    <dgm:cxn modelId="{0855E899-FEF2-4064-A70E-0EC15DE6963B}" srcId="{86BFC28B-4FF4-452D-B697-6CEBFF1A3A61}" destId="{AFD7E099-2802-4B49-BBC4-6D9CAFA26500}" srcOrd="2" destOrd="0" parTransId="{EF4C4E33-E0DB-4020-AB63-9AFA272D875E}" sibTransId="{D16E2E5F-D5DF-4D72-A9AF-DEEC8C06E2D1}"/>
    <dgm:cxn modelId="{9204B39E-CD9F-4416-B7C5-82EDB677FDC6}" srcId="{6B4A33C2-F7ED-414C-8DD1-8FC7BBECDB9C}" destId="{F6766E9F-F616-46BE-98E7-A99071130281}" srcOrd="3" destOrd="0" parTransId="{6E7E54C9-8899-4027-917E-FCD63E0ECDCC}" sibTransId="{DA151223-9BA1-4378-90CE-B0A848454C77}"/>
    <dgm:cxn modelId="{7076FF9E-EE53-45F4-9131-1F98DE020503}" type="presOf" srcId="{6B4A33C2-F7ED-414C-8DD1-8FC7BBECDB9C}" destId="{C4B61E4E-6B72-4408-A391-935C7F4D8928}" srcOrd="0" destOrd="0" presId="urn:microsoft.com/office/officeart/2005/8/layout/chevron2"/>
    <dgm:cxn modelId="{5D7946A9-9784-4294-95EB-1F9E1CF0CD5E}" srcId="{D84F8201-F5B2-45F4-B111-3B262FA15823}" destId="{4493BF82-AF31-4A84-8F5A-8D7CF1D9D4F2}" srcOrd="1" destOrd="0" parTransId="{9D8707EE-6AE8-4F55-A8A8-EACFB79FD64D}" sibTransId="{4C24A150-4E7A-493D-AEEF-3251F0289AE6}"/>
    <dgm:cxn modelId="{33B8C3BD-5FB9-4F75-B796-19B858668118}" srcId="{4493BF82-AF31-4A84-8F5A-8D7CF1D9D4F2}" destId="{CB7D5D63-9226-4CBD-96F5-AE09B8C4D1D0}" srcOrd="3" destOrd="0" parTransId="{E01A7A89-35DB-4477-B2D7-9F61F5E3A419}" sibTransId="{B684CE9B-0184-48CD-8F27-E2DCF187E7BA}"/>
    <dgm:cxn modelId="{582BCDBD-8831-42C1-B82C-690CD7E2753E}" srcId="{4493BF82-AF31-4A84-8F5A-8D7CF1D9D4F2}" destId="{F016832B-654B-4FE2-92E6-29001E2747B4}" srcOrd="2" destOrd="0" parTransId="{67BB666F-4031-40CF-AC37-CAF5532C6050}" sibTransId="{3EF1D842-13B7-4366-9DFC-8B491EF45BEE}"/>
    <dgm:cxn modelId="{9D706DC5-B851-4599-A58C-AE0C319C14DA}" type="presOf" srcId="{6ADCCF06-F25F-472A-BCDC-1D85102CFAEA}" destId="{AB589176-C1CD-4A12-ACA7-B06DEBF12232}" srcOrd="0" destOrd="1" presId="urn:microsoft.com/office/officeart/2005/8/layout/chevron2"/>
    <dgm:cxn modelId="{0DF023D8-B91A-4002-B396-AF89ACCDA656}" type="presOf" srcId="{CB253BFD-F3F6-4FBA-A91F-287D0D6B1CD3}" destId="{AB589176-C1CD-4A12-ACA7-B06DEBF12232}" srcOrd="0" destOrd="2" presId="urn:microsoft.com/office/officeart/2005/8/layout/chevron2"/>
    <dgm:cxn modelId="{B9A060E0-C67B-4398-AA01-480AF2B1C9E1}" srcId="{4493BF82-AF31-4A84-8F5A-8D7CF1D9D4F2}" destId="{845A4015-2C90-4F47-A1B7-6C86D0B176DB}" srcOrd="0" destOrd="0" parTransId="{09E67767-3FA9-4417-BB83-C1E534AC539D}" sibTransId="{0227211F-358E-4205-803A-61D394DE53EF}"/>
    <dgm:cxn modelId="{3DEB43E6-0A43-4D8C-9F6D-FEA7779A95BC}" srcId="{6B4A33C2-F7ED-414C-8DD1-8FC7BBECDB9C}" destId="{7A21AF7B-2FC7-446F-BE51-B6EEE6F770BB}" srcOrd="0" destOrd="0" parTransId="{B86D0DDD-3D9C-43AD-A336-CD165912E1AE}" sibTransId="{81B00E56-CA4D-4CD3-889D-571C3EA88F79}"/>
    <dgm:cxn modelId="{DBFA94EE-8FDF-4E5B-955F-1D43D43BF8E7}" srcId="{6B4A33C2-F7ED-414C-8DD1-8FC7BBECDB9C}" destId="{CB253BFD-F3F6-4FBA-A91F-287D0D6B1CD3}" srcOrd="2" destOrd="0" parTransId="{86316E0C-30B3-418C-A746-8F0CC08131B4}" sibTransId="{38970427-74F5-429F-A065-990237022984}"/>
    <dgm:cxn modelId="{A980B3F8-1BE8-4DC7-A5DB-FFDF25D20B81}" type="presOf" srcId="{CB7D5D63-9226-4CBD-96F5-AE09B8C4D1D0}" destId="{A0D9A71D-DFE3-4D60-A473-B02730ED1EE1}" srcOrd="0" destOrd="3" presId="urn:microsoft.com/office/officeart/2005/8/layout/chevron2"/>
    <dgm:cxn modelId="{5EF62BFD-DD68-415A-9AA8-B71053E2239F}" srcId="{86BFC28B-4FF4-452D-B697-6CEBFF1A3A61}" destId="{E4190575-FF40-4F58-869B-D6AFD07FC102}" srcOrd="1" destOrd="0" parTransId="{ADA50245-5B58-4638-8AED-E3492466EB83}" sibTransId="{B1DA8210-AEB6-4AEC-969D-106021185A8E}"/>
    <dgm:cxn modelId="{A0E66B5C-A2FC-4A53-AB18-503E6E2D52CE}" type="presParOf" srcId="{210623EF-3449-495F-A39B-1B5B5AA03145}" destId="{97EDD1EB-E454-415D-BB67-B35259B1F76F}" srcOrd="0" destOrd="0" presId="urn:microsoft.com/office/officeart/2005/8/layout/chevron2"/>
    <dgm:cxn modelId="{686C8F54-5DD3-4BB5-8624-1273FED8FBBF}" type="presParOf" srcId="{97EDD1EB-E454-415D-BB67-B35259B1F76F}" destId="{502752C1-CE15-4441-B4D5-8B3C3F5CB3D6}" srcOrd="0" destOrd="0" presId="urn:microsoft.com/office/officeart/2005/8/layout/chevron2"/>
    <dgm:cxn modelId="{EBC487B0-8A01-4AF2-B577-F44B31D0B038}" type="presParOf" srcId="{97EDD1EB-E454-415D-BB67-B35259B1F76F}" destId="{24AF07BA-CB90-40A2-9059-71029ED081D6}" srcOrd="1" destOrd="0" presId="urn:microsoft.com/office/officeart/2005/8/layout/chevron2"/>
    <dgm:cxn modelId="{B423C3FA-8869-41FE-B672-AB9FF644A82B}" type="presParOf" srcId="{210623EF-3449-495F-A39B-1B5B5AA03145}" destId="{E6179E96-FF9F-4028-8489-348C23943A8E}" srcOrd="1" destOrd="0" presId="urn:microsoft.com/office/officeart/2005/8/layout/chevron2"/>
    <dgm:cxn modelId="{5466260C-87E9-497F-9AC9-98F4DD192E63}" type="presParOf" srcId="{210623EF-3449-495F-A39B-1B5B5AA03145}" destId="{61C2E31D-75D2-4FFA-A087-522880290017}" srcOrd="2" destOrd="0" presId="urn:microsoft.com/office/officeart/2005/8/layout/chevron2"/>
    <dgm:cxn modelId="{DB709977-5A7B-4010-8DAB-AC16B01472B6}" type="presParOf" srcId="{61C2E31D-75D2-4FFA-A087-522880290017}" destId="{F09520AB-F9D6-4BCA-8A72-72D06244517F}" srcOrd="0" destOrd="0" presId="urn:microsoft.com/office/officeart/2005/8/layout/chevron2"/>
    <dgm:cxn modelId="{BA7A9EA7-8563-4FB5-BF00-5A6C3EA2D15C}" type="presParOf" srcId="{61C2E31D-75D2-4FFA-A087-522880290017}" destId="{A0D9A71D-DFE3-4D60-A473-B02730ED1EE1}" srcOrd="1" destOrd="0" presId="urn:microsoft.com/office/officeart/2005/8/layout/chevron2"/>
    <dgm:cxn modelId="{D16095CC-3477-4B3F-934E-6BE1CB11D4FF}" type="presParOf" srcId="{210623EF-3449-495F-A39B-1B5B5AA03145}" destId="{84231C3C-826D-4916-BC53-3B19E8B84814}" srcOrd="3" destOrd="0" presId="urn:microsoft.com/office/officeart/2005/8/layout/chevron2"/>
    <dgm:cxn modelId="{72013F99-EBD2-4842-89CA-89A5C6344ED4}" type="presParOf" srcId="{210623EF-3449-495F-A39B-1B5B5AA03145}" destId="{43F4FF8F-0EC3-4DCA-9FCD-661060946F4B}" srcOrd="4" destOrd="0" presId="urn:microsoft.com/office/officeart/2005/8/layout/chevron2"/>
    <dgm:cxn modelId="{E7F20D5E-9C79-4391-92E5-1AA74D6C20BA}" type="presParOf" srcId="{43F4FF8F-0EC3-4DCA-9FCD-661060946F4B}" destId="{C4B61E4E-6B72-4408-A391-935C7F4D8928}" srcOrd="0" destOrd="0" presId="urn:microsoft.com/office/officeart/2005/8/layout/chevron2"/>
    <dgm:cxn modelId="{1E233484-FA7B-4745-97ED-A04827966974}" type="presParOf" srcId="{43F4FF8F-0EC3-4DCA-9FCD-661060946F4B}" destId="{AB589176-C1CD-4A12-ACA7-B06DEBF12232}" srcOrd="1" destOrd="0" presId="urn:microsoft.com/office/officeart/2005/8/layout/chevro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2752C1-CE15-4441-B4D5-8B3C3F5CB3D6}">
      <dsp:nvSpPr>
        <dsp:cNvPr id="0" name=""/>
        <dsp:cNvSpPr/>
      </dsp:nvSpPr>
      <dsp:spPr>
        <a:xfrm rot="5400000">
          <a:off x="-200186" y="648105"/>
          <a:ext cx="1334576" cy="93420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fr-FR" sz="2100" kern="1200"/>
            <a:t>Temps 1</a:t>
          </a:r>
        </a:p>
      </dsp:txBody>
      <dsp:txXfrm rot="-5400000">
        <a:off x="1" y="915021"/>
        <a:ext cx="934203" cy="400373"/>
      </dsp:txXfrm>
    </dsp:sp>
    <dsp:sp modelId="{24AF07BA-CB90-40A2-9059-71029ED081D6}">
      <dsp:nvSpPr>
        <dsp:cNvPr id="0" name=""/>
        <dsp:cNvSpPr/>
      </dsp:nvSpPr>
      <dsp:spPr>
        <a:xfrm rot="5400000">
          <a:off x="2477895" y="-1261092"/>
          <a:ext cx="1198112" cy="428549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just" defTabSz="533400">
            <a:lnSpc>
              <a:spcPct val="90000"/>
            </a:lnSpc>
            <a:spcBef>
              <a:spcPct val="0"/>
            </a:spcBef>
            <a:spcAft>
              <a:spcPct val="15000"/>
            </a:spcAft>
            <a:buChar char="•"/>
          </a:pPr>
          <a:r>
            <a:rPr lang="fr-FR" sz="1200" kern="1200">
              <a:latin typeface="Times New Roman" panose="02020603050405020304" pitchFamily="18" charset="0"/>
              <a:cs typeface="Times New Roman" panose="02020603050405020304" pitchFamily="18" charset="0"/>
            </a:rPr>
            <a:t>prise en considération des contextes boursiers américains et asiatiques</a:t>
          </a:r>
        </a:p>
        <a:p>
          <a:pPr marL="114300" lvl="1" indent="-114300" algn="just" defTabSz="533400">
            <a:lnSpc>
              <a:spcPct val="90000"/>
            </a:lnSpc>
            <a:spcBef>
              <a:spcPct val="0"/>
            </a:spcBef>
            <a:spcAft>
              <a:spcPct val="15000"/>
            </a:spcAft>
            <a:buChar char="•"/>
          </a:pPr>
          <a:r>
            <a:rPr lang="fr-FR" sz="1200" kern="1200">
              <a:latin typeface="Times New Roman" panose="02020603050405020304" pitchFamily="18" charset="0"/>
              <a:cs typeface="Times New Roman" panose="02020603050405020304" pitchFamily="18" charset="0"/>
            </a:rPr>
            <a:t>prise en considération de l'évolution du prix de l'or</a:t>
          </a:r>
        </a:p>
        <a:p>
          <a:pPr marL="114300" lvl="1" indent="-114300" algn="just" defTabSz="533400">
            <a:lnSpc>
              <a:spcPct val="90000"/>
            </a:lnSpc>
            <a:spcBef>
              <a:spcPct val="0"/>
            </a:spcBef>
            <a:spcAft>
              <a:spcPct val="15000"/>
            </a:spcAft>
            <a:buChar char="•"/>
          </a:pPr>
          <a:r>
            <a:rPr lang="fr-FR" sz="1200" kern="1200">
              <a:latin typeface="Times New Roman" panose="02020603050405020304" pitchFamily="18" charset="0"/>
              <a:cs typeface="Times New Roman" panose="02020603050405020304" pitchFamily="18" charset="0"/>
            </a:rPr>
            <a:t>prise en considération de l'évolution du prix du pétrole</a:t>
          </a:r>
        </a:p>
        <a:p>
          <a:pPr marL="114300" lvl="1" indent="-114300" algn="just" defTabSz="533400">
            <a:lnSpc>
              <a:spcPct val="90000"/>
            </a:lnSpc>
            <a:spcBef>
              <a:spcPct val="0"/>
            </a:spcBef>
            <a:spcAft>
              <a:spcPct val="15000"/>
            </a:spcAft>
            <a:buChar char="•"/>
          </a:pPr>
          <a:r>
            <a:rPr lang="fr-FR" sz="1200" kern="1200">
              <a:latin typeface="Times New Roman" panose="02020603050405020304" pitchFamily="18" charset="0"/>
              <a:cs typeface="Times New Roman" panose="02020603050405020304" pitchFamily="18" charset="0"/>
            </a:rPr>
            <a:t>prise en compte de l'ouverture théorique sur les marchés européens</a:t>
          </a:r>
        </a:p>
      </dsp:txBody>
      <dsp:txXfrm rot="-5400000">
        <a:off x="934204" y="341086"/>
        <a:ext cx="4227009" cy="1081138"/>
      </dsp:txXfrm>
    </dsp:sp>
    <dsp:sp modelId="{F09520AB-F9D6-4BCA-8A72-72D06244517F}">
      <dsp:nvSpPr>
        <dsp:cNvPr id="0" name=""/>
        <dsp:cNvSpPr/>
      </dsp:nvSpPr>
      <dsp:spPr>
        <a:xfrm rot="5400000">
          <a:off x="-200186" y="2189537"/>
          <a:ext cx="1334576" cy="93420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fr-FR" sz="2100" kern="1200"/>
            <a:t>Temps 2</a:t>
          </a:r>
        </a:p>
      </dsp:txBody>
      <dsp:txXfrm rot="-5400000">
        <a:off x="1" y="2456453"/>
        <a:ext cx="934203" cy="400373"/>
      </dsp:txXfrm>
    </dsp:sp>
    <dsp:sp modelId="{A0D9A71D-DFE3-4D60-A473-B02730ED1EE1}">
      <dsp:nvSpPr>
        <dsp:cNvPr id="0" name=""/>
        <dsp:cNvSpPr/>
      </dsp:nvSpPr>
      <dsp:spPr>
        <a:xfrm rot="5400000">
          <a:off x="2298388" y="166857"/>
          <a:ext cx="1557126" cy="428549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just" defTabSz="533400">
            <a:lnSpc>
              <a:spcPct val="90000"/>
            </a:lnSpc>
            <a:spcBef>
              <a:spcPct val="0"/>
            </a:spcBef>
            <a:spcAft>
              <a:spcPct val="15000"/>
            </a:spcAft>
            <a:buChar char="•"/>
          </a:pPr>
          <a:r>
            <a:rPr lang="fr-FR" sz="1200" kern="1200">
              <a:latin typeface="Times New Roman" panose="02020603050405020304" pitchFamily="18" charset="0"/>
              <a:cs typeface="Times New Roman" panose="02020603050405020304" pitchFamily="18" charset="0"/>
            </a:rPr>
            <a:t>prise en considération de la tendance sur les marchés européens à l'ouverture</a:t>
          </a:r>
        </a:p>
        <a:p>
          <a:pPr marL="114300" lvl="1" indent="-114300" algn="just" defTabSz="533400">
            <a:lnSpc>
              <a:spcPct val="90000"/>
            </a:lnSpc>
            <a:spcBef>
              <a:spcPct val="0"/>
            </a:spcBef>
            <a:spcAft>
              <a:spcPct val="15000"/>
            </a:spcAft>
            <a:buChar char="•"/>
          </a:pPr>
          <a:r>
            <a:rPr lang="fr-FR" sz="1200" kern="1200">
              <a:latin typeface="Times New Roman" panose="02020603050405020304" pitchFamily="18" charset="0"/>
              <a:cs typeface="Times New Roman" panose="02020603050405020304" pitchFamily="18" charset="0"/>
            </a:rPr>
            <a:t>prise en considération de l'information macroéconomique et celle de certains titres</a:t>
          </a:r>
        </a:p>
        <a:p>
          <a:pPr marL="114300" lvl="1" indent="-114300" algn="just" defTabSz="533400">
            <a:lnSpc>
              <a:spcPct val="90000"/>
            </a:lnSpc>
            <a:spcBef>
              <a:spcPct val="0"/>
            </a:spcBef>
            <a:spcAft>
              <a:spcPct val="15000"/>
            </a:spcAft>
            <a:buChar char="•"/>
          </a:pPr>
          <a:r>
            <a:rPr lang="fr-FR" sz="1200" kern="1200">
              <a:latin typeface="Times New Roman" panose="02020603050405020304" pitchFamily="18" charset="0"/>
              <a:cs typeface="Times New Roman" panose="02020603050405020304" pitchFamily="18" charset="0"/>
            </a:rPr>
            <a:t>analyse de la réaction des marchés suite à la publicité de ces informations</a:t>
          </a:r>
        </a:p>
        <a:p>
          <a:pPr marL="114300" lvl="1" indent="-114300" algn="just" defTabSz="533400">
            <a:lnSpc>
              <a:spcPct val="90000"/>
            </a:lnSpc>
            <a:spcBef>
              <a:spcPct val="0"/>
            </a:spcBef>
            <a:spcAft>
              <a:spcPct val="15000"/>
            </a:spcAft>
            <a:buChar char="•"/>
          </a:pPr>
          <a:r>
            <a:rPr lang="fr-FR" sz="1200" kern="1200">
              <a:latin typeface="Times New Roman" panose="02020603050405020304" pitchFamily="18" charset="0"/>
              <a:cs typeface="Times New Roman" panose="02020603050405020304" pitchFamily="18" charset="0"/>
            </a:rPr>
            <a:t>suivisme lorsque les réactions étaient positives, attentisme dans le cas contraire</a:t>
          </a:r>
        </a:p>
      </dsp:txBody>
      <dsp:txXfrm rot="-5400000">
        <a:off x="934204" y="1607055"/>
        <a:ext cx="4209483" cy="1405100"/>
      </dsp:txXfrm>
    </dsp:sp>
    <dsp:sp modelId="{C4B61E4E-6B72-4408-A391-935C7F4D8928}">
      <dsp:nvSpPr>
        <dsp:cNvPr id="0" name=""/>
        <dsp:cNvSpPr/>
      </dsp:nvSpPr>
      <dsp:spPr>
        <a:xfrm rot="5400000">
          <a:off x="-200186" y="3764610"/>
          <a:ext cx="1334576" cy="93420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fr-FR" sz="2100" kern="1200"/>
            <a:t>Temps 3</a:t>
          </a:r>
        </a:p>
      </dsp:txBody>
      <dsp:txXfrm rot="-5400000">
        <a:off x="1" y="4031526"/>
        <a:ext cx="934203" cy="400373"/>
      </dsp:txXfrm>
    </dsp:sp>
    <dsp:sp modelId="{AB589176-C1CD-4A12-ACA7-B06DEBF12232}">
      <dsp:nvSpPr>
        <dsp:cNvPr id="0" name=""/>
        <dsp:cNvSpPr/>
      </dsp:nvSpPr>
      <dsp:spPr>
        <a:xfrm rot="5400000">
          <a:off x="2264748" y="2060397"/>
          <a:ext cx="1624407" cy="428549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just" defTabSz="533400">
            <a:lnSpc>
              <a:spcPct val="90000"/>
            </a:lnSpc>
            <a:spcBef>
              <a:spcPct val="0"/>
            </a:spcBef>
            <a:spcAft>
              <a:spcPct val="15000"/>
            </a:spcAft>
            <a:buChar char="•"/>
          </a:pPr>
          <a:r>
            <a:rPr lang="fr-FR" sz="1200" kern="1200">
              <a:latin typeface="Times New Roman" panose="02020603050405020304" pitchFamily="18" charset="0"/>
              <a:cs typeface="Times New Roman" panose="02020603050405020304" pitchFamily="18" charset="0"/>
            </a:rPr>
            <a:t>délaissement progressif des contenus informationnels</a:t>
          </a:r>
        </a:p>
        <a:p>
          <a:pPr marL="114300" lvl="1" indent="-114300" algn="just" defTabSz="533400">
            <a:lnSpc>
              <a:spcPct val="90000"/>
            </a:lnSpc>
            <a:spcBef>
              <a:spcPct val="0"/>
            </a:spcBef>
            <a:spcAft>
              <a:spcPct val="15000"/>
            </a:spcAft>
            <a:buChar char="•"/>
          </a:pPr>
          <a:r>
            <a:rPr lang="fr-FR" sz="1200" kern="1200">
              <a:latin typeface="Times New Roman" panose="02020603050405020304" pitchFamily="18" charset="0"/>
              <a:cs typeface="Times New Roman" panose="02020603050405020304" pitchFamily="18" charset="0"/>
            </a:rPr>
            <a:t>recours à l'analyse graphique et technique pour les titres en portefeuille, % d'écart par rapport à des normes qu'ils ont créées</a:t>
          </a:r>
        </a:p>
        <a:p>
          <a:pPr marL="114300" lvl="1" indent="-114300" algn="just" defTabSz="533400">
            <a:lnSpc>
              <a:spcPct val="90000"/>
            </a:lnSpc>
            <a:spcBef>
              <a:spcPct val="0"/>
            </a:spcBef>
            <a:spcAft>
              <a:spcPct val="15000"/>
            </a:spcAft>
            <a:buChar char="•"/>
          </a:pPr>
          <a:r>
            <a:rPr lang="fr-FR" sz="1200" kern="1200">
              <a:latin typeface="Times New Roman" panose="02020603050405020304" pitchFamily="18" charset="0"/>
              <a:cs typeface="Times New Roman" panose="02020603050405020304" pitchFamily="18" charset="0"/>
            </a:rPr>
            <a:t>recours à l'analyse graphique et technique pour l'indice de référence</a:t>
          </a:r>
        </a:p>
        <a:p>
          <a:pPr marL="114300" lvl="1" indent="-114300" algn="just" defTabSz="533400">
            <a:lnSpc>
              <a:spcPct val="90000"/>
            </a:lnSpc>
            <a:spcBef>
              <a:spcPct val="0"/>
            </a:spcBef>
            <a:spcAft>
              <a:spcPct val="15000"/>
            </a:spcAft>
            <a:buChar char="•"/>
          </a:pPr>
          <a:r>
            <a:rPr lang="fr-FR" sz="1200" kern="1200">
              <a:latin typeface="Times New Roman" panose="02020603050405020304" pitchFamily="18" charset="0"/>
              <a:cs typeface="Times New Roman" panose="02020603050405020304" pitchFamily="18" charset="0"/>
            </a:rPr>
            <a:t>ajustements des positions en fonction de signaux principalement techniques et de déviations par rapport à des conventions de marché</a:t>
          </a:r>
        </a:p>
      </dsp:txBody>
      <dsp:txXfrm rot="-5400000">
        <a:off x="934204" y="3470239"/>
        <a:ext cx="4206199" cy="146581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3A3EE-E9BE-401C-BB1A-A770ECD7C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8381</Words>
  <Characters>46100</Characters>
  <Application>Microsoft Office Word</Application>
  <DocSecurity>0</DocSecurity>
  <Lines>384</Lines>
  <Paragraphs>108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FINET</dc:creator>
  <cp:keywords/>
  <dc:description/>
  <cp:lastModifiedBy>Alain FINET</cp:lastModifiedBy>
  <cp:revision>2</cp:revision>
  <cp:lastPrinted>2019-11-18T10:23:00Z</cp:lastPrinted>
  <dcterms:created xsi:type="dcterms:W3CDTF">2021-01-26T10:37:00Z</dcterms:created>
  <dcterms:modified xsi:type="dcterms:W3CDTF">2021-01-26T10:37:00Z</dcterms:modified>
</cp:coreProperties>
</file>