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51C14" w14:textId="77777777" w:rsidR="00845B6C" w:rsidRDefault="00845B6C"/>
    <w:p w14:paraId="5B82F3F2" w14:textId="77777777" w:rsidR="00845B6C" w:rsidRDefault="00845B6C"/>
    <w:p w14:paraId="49D56C19" w14:textId="77777777" w:rsidR="00845B6C" w:rsidRDefault="00845B6C"/>
    <w:p w14:paraId="1BA0C51D" w14:textId="77777777" w:rsidR="00845B6C" w:rsidRDefault="00845B6C"/>
    <w:p w14:paraId="01B6AEB3" w14:textId="3DA83C76" w:rsidR="00845B6C" w:rsidRDefault="00057E54" w:rsidP="00057E54">
      <w:pPr>
        <w:tabs>
          <w:tab w:val="left" w:pos="1890"/>
        </w:tabs>
      </w:pPr>
      <w:r>
        <w:tab/>
      </w:r>
    </w:p>
    <w:p w14:paraId="5858AF3D" w14:textId="77777777" w:rsidR="00845B6C" w:rsidRDefault="00845B6C"/>
    <w:p w14:paraId="5D47A96D" w14:textId="77777777" w:rsidR="00845B6C" w:rsidRPr="00136CD2" w:rsidRDefault="009B2F58">
      <w:pPr>
        <w:jc w:val="center"/>
        <w:rPr>
          <w:b/>
          <w:sz w:val="36"/>
          <w:szCs w:val="36"/>
        </w:rPr>
      </w:pPr>
      <w:r w:rsidRPr="00136CD2">
        <w:rPr>
          <w:b/>
          <w:sz w:val="36"/>
          <w:szCs w:val="36"/>
        </w:rPr>
        <w:t>L’émergence de biais comportementaux en situation de trading : une étude exploratoire</w:t>
      </w:r>
    </w:p>
    <w:p w14:paraId="213BAB84" w14:textId="77777777" w:rsidR="00845B6C" w:rsidRDefault="00845B6C">
      <w:pPr>
        <w:jc w:val="center"/>
        <w:rPr>
          <w:sz w:val="40"/>
          <w:szCs w:val="40"/>
        </w:rPr>
      </w:pPr>
    </w:p>
    <w:p w14:paraId="092FB688" w14:textId="77777777" w:rsidR="00845B6C" w:rsidRPr="00136CD2" w:rsidRDefault="009B2F58">
      <w:pPr>
        <w:spacing w:line="240" w:lineRule="auto"/>
        <w:jc w:val="center"/>
        <w:rPr>
          <w:sz w:val="24"/>
          <w:szCs w:val="24"/>
        </w:rPr>
      </w:pPr>
      <w:r w:rsidRPr="00136CD2">
        <w:rPr>
          <w:sz w:val="24"/>
          <w:szCs w:val="24"/>
        </w:rPr>
        <w:t>Alain Finet,</w:t>
      </w:r>
    </w:p>
    <w:p w14:paraId="067A2F24" w14:textId="40889A6F" w:rsidR="00845B6C" w:rsidRPr="00136CD2" w:rsidRDefault="009B2F58">
      <w:pPr>
        <w:spacing w:line="240" w:lineRule="auto"/>
        <w:jc w:val="center"/>
        <w:rPr>
          <w:sz w:val="24"/>
          <w:szCs w:val="24"/>
        </w:rPr>
      </w:pPr>
      <w:r w:rsidRPr="00136CD2">
        <w:rPr>
          <w:sz w:val="24"/>
          <w:szCs w:val="24"/>
        </w:rPr>
        <w:t>Professeur</w:t>
      </w:r>
      <w:r w:rsidR="00136CD2">
        <w:rPr>
          <w:sz w:val="24"/>
          <w:szCs w:val="24"/>
        </w:rPr>
        <w:t xml:space="preserve"> (docteur en Sciences de Gestion)</w:t>
      </w:r>
      <w:r w:rsidRPr="00136CD2">
        <w:rPr>
          <w:sz w:val="24"/>
          <w:szCs w:val="24"/>
        </w:rPr>
        <w:t>, Service « Management Financier et Dynamiques Territoriales »</w:t>
      </w:r>
      <w:r w:rsidR="00243DA9">
        <w:rPr>
          <w:sz w:val="24"/>
          <w:szCs w:val="24"/>
        </w:rPr>
        <w:t xml:space="preserve">, </w:t>
      </w:r>
      <w:bookmarkStart w:id="0" w:name="_Hlk52538161"/>
      <w:r w:rsidR="00243DA9" w:rsidRPr="00243DA9">
        <w:rPr>
          <w:sz w:val="24"/>
          <w:szCs w:val="24"/>
        </w:rPr>
        <w:t>Université de Mons,</w:t>
      </w:r>
      <w:r w:rsidR="00243DA9">
        <w:rPr>
          <w:sz w:val="24"/>
          <w:szCs w:val="24"/>
        </w:rPr>
        <w:t xml:space="preserve"> Belgique</w:t>
      </w:r>
      <w:bookmarkEnd w:id="0"/>
    </w:p>
    <w:p w14:paraId="186F203E" w14:textId="77777777" w:rsidR="00845B6C" w:rsidRPr="00136CD2" w:rsidRDefault="00845B6C">
      <w:pPr>
        <w:spacing w:line="240" w:lineRule="auto"/>
        <w:jc w:val="center"/>
        <w:rPr>
          <w:sz w:val="24"/>
          <w:szCs w:val="24"/>
        </w:rPr>
      </w:pPr>
    </w:p>
    <w:p w14:paraId="7A34ABC8" w14:textId="77777777" w:rsidR="00845B6C" w:rsidRPr="00136CD2" w:rsidRDefault="009B2F58">
      <w:pPr>
        <w:spacing w:line="240" w:lineRule="auto"/>
        <w:jc w:val="center"/>
        <w:rPr>
          <w:sz w:val="24"/>
          <w:szCs w:val="24"/>
        </w:rPr>
      </w:pPr>
      <w:r w:rsidRPr="00136CD2">
        <w:rPr>
          <w:sz w:val="24"/>
          <w:szCs w:val="24"/>
        </w:rPr>
        <w:t>Robert Viseur,</w:t>
      </w:r>
    </w:p>
    <w:p w14:paraId="51AF1FE0" w14:textId="3B9CB869" w:rsidR="00845B6C" w:rsidRPr="00136CD2" w:rsidRDefault="009B2F58">
      <w:pPr>
        <w:spacing w:line="240" w:lineRule="auto"/>
        <w:jc w:val="center"/>
        <w:rPr>
          <w:sz w:val="24"/>
          <w:szCs w:val="24"/>
        </w:rPr>
      </w:pPr>
      <w:r w:rsidRPr="00136CD2">
        <w:rPr>
          <w:sz w:val="24"/>
          <w:szCs w:val="24"/>
        </w:rPr>
        <w:t>Chargé de cours</w:t>
      </w:r>
      <w:r w:rsidR="00136CD2">
        <w:rPr>
          <w:sz w:val="24"/>
          <w:szCs w:val="24"/>
        </w:rPr>
        <w:t xml:space="preserve"> (docteur en Sciences de Gestion)</w:t>
      </w:r>
      <w:r w:rsidRPr="00136CD2">
        <w:rPr>
          <w:sz w:val="24"/>
          <w:szCs w:val="24"/>
        </w:rPr>
        <w:t>, Service « Technologies de l’Information et de la Communication »</w:t>
      </w:r>
      <w:r w:rsidR="00243DA9">
        <w:rPr>
          <w:sz w:val="24"/>
          <w:szCs w:val="24"/>
        </w:rPr>
        <w:t xml:space="preserve">, </w:t>
      </w:r>
      <w:r w:rsidR="00243DA9" w:rsidRPr="00243DA9">
        <w:rPr>
          <w:sz w:val="24"/>
          <w:szCs w:val="24"/>
        </w:rPr>
        <w:t>Université de Mons, Belgique</w:t>
      </w:r>
    </w:p>
    <w:p w14:paraId="4666B6E8" w14:textId="77777777" w:rsidR="00845B6C" w:rsidRPr="00136CD2" w:rsidRDefault="00845B6C">
      <w:pPr>
        <w:spacing w:line="240" w:lineRule="auto"/>
        <w:jc w:val="center"/>
        <w:rPr>
          <w:sz w:val="24"/>
          <w:szCs w:val="24"/>
        </w:rPr>
      </w:pPr>
    </w:p>
    <w:p w14:paraId="6D83B6A6" w14:textId="77777777" w:rsidR="00845B6C" w:rsidRPr="00136CD2" w:rsidRDefault="009B2F58">
      <w:pPr>
        <w:spacing w:line="240" w:lineRule="auto"/>
        <w:jc w:val="center"/>
        <w:rPr>
          <w:sz w:val="24"/>
          <w:szCs w:val="24"/>
        </w:rPr>
      </w:pPr>
      <w:r w:rsidRPr="00136CD2">
        <w:rPr>
          <w:sz w:val="24"/>
          <w:szCs w:val="24"/>
        </w:rPr>
        <w:t xml:space="preserve">Kevin </w:t>
      </w:r>
      <w:proofErr w:type="spellStart"/>
      <w:r w:rsidRPr="00136CD2">
        <w:rPr>
          <w:sz w:val="24"/>
          <w:szCs w:val="24"/>
        </w:rPr>
        <w:t>Kristoforidis</w:t>
      </w:r>
      <w:proofErr w:type="spellEnd"/>
      <w:r w:rsidRPr="00136CD2">
        <w:rPr>
          <w:sz w:val="24"/>
          <w:szCs w:val="24"/>
        </w:rPr>
        <w:t>,</w:t>
      </w:r>
    </w:p>
    <w:p w14:paraId="7102EC5F" w14:textId="1BF7C9BE" w:rsidR="00845B6C" w:rsidRPr="00136CD2" w:rsidRDefault="009B2F58">
      <w:pPr>
        <w:spacing w:line="240" w:lineRule="auto"/>
        <w:jc w:val="center"/>
        <w:rPr>
          <w:sz w:val="24"/>
          <w:szCs w:val="24"/>
        </w:rPr>
      </w:pPr>
      <w:r w:rsidRPr="00136CD2">
        <w:rPr>
          <w:sz w:val="24"/>
          <w:szCs w:val="24"/>
        </w:rPr>
        <w:t>Doctorant</w:t>
      </w:r>
      <w:r w:rsidR="00243DA9" w:rsidRPr="00243DA9">
        <w:rPr>
          <w:sz w:val="24"/>
          <w:szCs w:val="24"/>
        </w:rPr>
        <w:t>,</w:t>
      </w:r>
      <w:r w:rsidR="00243DA9">
        <w:rPr>
          <w:sz w:val="24"/>
          <w:szCs w:val="24"/>
        </w:rPr>
        <w:t xml:space="preserve"> </w:t>
      </w:r>
      <w:r w:rsidRPr="00136CD2">
        <w:rPr>
          <w:sz w:val="24"/>
          <w:szCs w:val="24"/>
        </w:rPr>
        <w:t>Service « Management Financier et Dynamiques Territoriales »</w:t>
      </w:r>
      <w:r w:rsidR="00243DA9">
        <w:rPr>
          <w:sz w:val="24"/>
          <w:szCs w:val="24"/>
        </w:rPr>
        <w:t xml:space="preserve">, </w:t>
      </w:r>
      <w:r w:rsidR="00243DA9" w:rsidRPr="00243DA9">
        <w:rPr>
          <w:sz w:val="24"/>
          <w:szCs w:val="24"/>
        </w:rPr>
        <w:t>Université de Mons, Belgique</w:t>
      </w:r>
    </w:p>
    <w:p w14:paraId="1832F246" w14:textId="77777777" w:rsidR="00845B6C" w:rsidRDefault="00845B6C">
      <w:pPr>
        <w:pageBreakBefore/>
        <w:rPr>
          <w:sz w:val="28"/>
          <w:szCs w:val="28"/>
        </w:rPr>
      </w:pPr>
    </w:p>
    <w:p w14:paraId="75852159" w14:textId="77777777" w:rsidR="00845B6C" w:rsidRDefault="00845B6C">
      <w:pPr>
        <w:spacing w:line="240" w:lineRule="auto"/>
        <w:jc w:val="center"/>
        <w:rPr>
          <w:sz w:val="28"/>
          <w:szCs w:val="28"/>
        </w:rPr>
      </w:pPr>
    </w:p>
    <w:p w14:paraId="0F5D3CD6" w14:textId="715EB65B" w:rsidR="00845B6C" w:rsidRPr="009B2F58" w:rsidRDefault="009B2F58">
      <w:pPr>
        <w:pStyle w:val="Paragraphedeliste"/>
        <w:numPr>
          <w:ilvl w:val="0"/>
          <w:numId w:val="1"/>
        </w:numPr>
        <w:spacing w:line="240" w:lineRule="auto"/>
        <w:jc w:val="both"/>
        <w:rPr>
          <w:rFonts w:ascii="Times New Roman" w:hAnsi="Times New Roman"/>
          <w:b/>
          <w:u w:val="single"/>
        </w:rPr>
      </w:pPr>
      <w:r w:rsidRPr="009B2F58">
        <w:rPr>
          <w:rFonts w:ascii="Times New Roman" w:hAnsi="Times New Roman"/>
          <w:b/>
          <w:u w:val="single"/>
        </w:rPr>
        <w:t xml:space="preserve">Résumé </w:t>
      </w:r>
    </w:p>
    <w:p w14:paraId="47A6F392" w14:textId="7CCE3BD7" w:rsidR="00845B6C" w:rsidRDefault="009B2F58">
      <w:pPr>
        <w:spacing w:line="240" w:lineRule="auto"/>
        <w:jc w:val="both"/>
        <w:rPr>
          <w:rFonts w:ascii="Times New Roman" w:hAnsi="Times New Roman"/>
          <w:sz w:val="20"/>
          <w:szCs w:val="20"/>
        </w:rPr>
      </w:pPr>
      <w:r w:rsidRPr="009B2F58">
        <w:rPr>
          <w:rFonts w:ascii="Times New Roman" w:hAnsi="Times New Roman"/>
          <w:sz w:val="20"/>
          <w:szCs w:val="20"/>
        </w:rPr>
        <w:t xml:space="preserve">Si les modèles de compréhension des marchés boursiers font principalement la part belle à des approches fondamentales et techniques, tout en prenant soin de se référer également à la finance comportementale, peu a été développé sur les biais psychologiques selon une approche qualitative, notamment pour les petits porteurs. Même si les investisseurs institutionnels sont peu soumis – du fait de la possibilité d’exercices de diversification entre différents produits - à l’influence émotionnelle, ce constat est à relativiser pour les petits porteurs qui, eux, n’ont pas nécessairement à disposition les ressources financières suffisantes leur permettant un réel essaimage des marchés. En partant du constat que le traitement de l’information est plus aisé pour les acteurs institutionnels de grande taille et que les outils techniques peuvent présenter des niveaux d’opérationnalité très variables, le petit investisseur est bien souvent livré à lui-même, sans repère réellement pertinent et influencé par des éléments qui dépassent le cadre de la rationalité. Dans cette optique, notre analyse porte sur les biais comportementaux sous-tendus par des champs émotionnels qui pourraient influer sur le processus décisionnel des petits porteurs. A cette fin, nous avons mobilisé un groupe de 15 étudiants en situation de trading continu sur le marché français durant une semaine boursière. Si cette expérimentation a bien évidemment correspondu à un contexte boursier bien spécifique, il n’en demeure pas moins que les participants ont été soumis à des charges émotionnelles (plus ou moins fortement décrites et extériorisées selon les personnalités des uns et des autres) conduisant à l’émergence de certains biais comportementaux. Les conclusions auxquelles nous parvenons démontrent que ces biais peuvent dans certains cas constituer des leviers de création de valeur financière, selon les spécificités du contexte boursier. Nous insistons aussi sur la nécessité d’un croisement de champs de connaissances pour approcher les activités de trading. </w:t>
      </w:r>
    </w:p>
    <w:p w14:paraId="0EDAB2ED" w14:textId="7BAE8D8F" w:rsidR="000D38CE" w:rsidRPr="009B2F58" w:rsidRDefault="000D38CE">
      <w:pPr>
        <w:spacing w:line="240" w:lineRule="auto"/>
        <w:jc w:val="both"/>
        <w:rPr>
          <w:rFonts w:ascii="Times New Roman" w:hAnsi="Times New Roman"/>
          <w:sz w:val="20"/>
          <w:szCs w:val="20"/>
        </w:rPr>
      </w:pPr>
      <w:r>
        <w:rPr>
          <w:rFonts w:ascii="Times New Roman" w:hAnsi="Times New Roman"/>
          <w:sz w:val="20"/>
          <w:szCs w:val="20"/>
        </w:rPr>
        <w:t>Mots-clés : marchés boursiers, biais comportement</w:t>
      </w:r>
      <w:r w:rsidR="003F1EC0">
        <w:rPr>
          <w:rFonts w:ascii="Times New Roman" w:hAnsi="Times New Roman"/>
          <w:sz w:val="20"/>
          <w:szCs w:val="20"/>
        </w:rPr>
        <w:t>aux</w:t>
      </w:r>
      <w:r>
        <w:rPr>
          <w:rFonts w:ascii="Times New Roman" w:hAnsi="Times New Roman"/>
          <w:sz w:val="20"/>
          <w:szCs w:val="20"/>
        </w:rPr>
        <w:t xml:space="preserve">, </w:t>
      </w:r>
      <w:r w:rsidR="00660CEE">
        <w:rPr>
          <w:rFonts w:ascii="Times New Roman" w:hAnsi="Times New Roman"/>
          <w:sz w:val="20"/>
          <w:szCs w:val="20"/>
        </w:rPr>
        <w:t>finance comportementale</w:t>
      </w:r>
      <w:r>
        <w:rPr>
          <w:rFonts w:ascii="Times New Roman" w:hAnsi="Times New Roman"/>
          <w:sz w:val="20"/>
          <w:szCs w:val="20"/>
        </w:rPr>
        <w:t>, émotion</w:t>
      </w:r>
      <w:r w:rsidR="00265B7D">
        <w:rPr>
          <w:rFonts w:ascii="Times New Roman" w:hAnsi="Times New Roman"/>
          <w:sz w:val="20"/>
          <w:szCs w:val="20"/>
        </w:rPr>
        <w:t>s, efficience des marchés</w:t>
      </w:r>
    </w:p>
    <w:p w14:paraId="6D62B7BD" w14:textId="77777777" w:rsidR="00845B6C" w:rsidRDefault="00845B6C">
      <w:pPr>
        <w:spacing w:line="240" w:lineRule="auto"/>
        <w:jc w:val="both"/>
        <w:rPr>
          <w:sz w:val="24"/>
          <w:szCs w:val="24"/>
        </w:rPr>
      </w:pPr>
    </w:p>
    <w:p w14:paraId="7F2FB62E" w14:textId="77777777" w:rsidR="00845B6C" w:rsidRPr="009B2F58" w:rsidRDefault="009B2F58">
      <w:pPr>
        <w:pStyle w:val="Paragraphedeliste"/>
        <w:numPr>
          <w:ilvl w:val="0"/>
          <w:numId w:val="1"/>
        </w:numPr>
        <w:spacing w:line="240" w:lineRule="auto"/>
        <w:jc w:val="both"/>
        <w:rPr>
          <w:rFonts w:ascii="Times New Roman" w:hAnsi="Times New Roman"/>
          <w:b/>
          <w:u w:val="single"/>
        </w:rPr>
      </w:pPr>
      <w:r w:rsidRPr="009B2F58">
        <w:rPr>
          <w:rFonts w:ascii="Times New Roman" w:hAnsi="Times New Roman"/>
          <w:b/>
          <w:u w:val="single"/>
        </w:rPr>
        <w:t>Introduction et motivations de l’étude</w:t>
      </w:r>
    </w:p>
    <w:p w14:paraId="646D11E6" w14:textId="225EB175"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 xml:space="preserve">Les comportements des investisseurs sur les marchés boursiers demeurent, dans certains cas, difficilement compréhensibles. Des dynamiques totalement déconnectées des hypothèses censées régir le fonctionnement des marchés peuvent se développer et permettre </w:t>
      </w:r>
      <w:r w:rsidRPr="009B2F58">
        <w:rPr>
          <w:rFonts w:ascii="Times New Roman" w:hAnsi="Times New Roman"/>
          <w:i/>
          <w:sz w:val="20"/>
          <w:szCs w:val="20"/>
        </w:rPr>
        <w:t>in fine</w:t>
      </w:r>
      <w:r w:rsidRPr="009B2F58">
        <w:rPr>
          <w:rFonts w:ascii="Times New Roman" w:hAnsi="Times New Roman"/>
          <w:sz w:val="20"/>
          <w:szCs w:val="20"/>
        </w:rPr>
        <w:t xml:space="preserve"> la formation de bulles spéculatives. Si, pour les investisseurs institutionnels, les possibilités financières de diversification diminuent le risque d’une exposition trop importante à des produits financiers aux caractéristiques spécifiques, les investisseurs particuliers peuvent difficilement pratiquer un tel exercice. Dans le cadre de cette étude, nous faisons le choix de nous focaliser sur le comportement des petits investisseurs. Comme tout type d’investisseurs, ceux-ci peuvent, théoriquement, mobiliser plusieurs analyses pour orienter leurs optiques de placements. Celles-ci revêtent classiquement de nombreuses limites : l’analyse fondamentale qui ne serait dédicacée qu’aux investisseurs institutionnels, l’analyse technique dont l’opérationnalité dépendrait des outils retenus et des contextes analysés, la théorie des conventions selon laquelle les opérateurs seraient soumis au bon vouloir des autres investisseurs pour la fixation d’une norme de marché. En fonction de ce manque de points de repère, l’investisseur particulier risque d’être en proie à des forces émotionnelles qui viennent biaiser les schémas rationnels retenus pour le positionnement sur les marchés.  Dans cette optique, l’investisseur isolé peu expérimenté pourrait être assujetti de manière exacerbée aux biais comportementaux classiquement repérés dans le chef des opérateurs sur les marchés (</w:t>
      </w:r>
      <w:proofErr w:type="spellStart"/>
      <w:r w:rsidRPr="009B2F58">
        <w:rPr>
          <w:rFonts w:ascii="Times New Roman" w:hAnsi="Times New Roman"/>
          <w:sz w:val="20"/>
          <w:szCs w:val="20"/>
        </w:rPr>
        <w:t>Kaustia</w:t>
      </w:r>
      <w:proofErr w:type="spellEnd"/>
      <w:r w:rsidRPr="009B2F58">
        <w:rPr>
          <w:rFonts w:ascii="Times New Roman" w:hAnsi="Times New Roman"/>
          <w:sz w:val="20"/>
          <w:szCs w:val="20"/>
        </w:rPr>
        <w:t xml:space="preserve"> M., </w:t>
      </w:r>
      <w:proofErr w:type="spellStart"/>
      <w:r w:rsidRPr="009B2F58">
        <w:rPr>
          <w:rFonts w:ascii="Times New Roman" w:hAnsi="Times New Roman"/>
          <w:sz w:val="20"/>
          <w:szCs w:val="20"/>
        </w:rPr>
        <w:t>Alho</w:t>
      </w:r>
      <w:proofErr w:type="spellEnd"/>
      <w:r w:rsidRPr="009B2F58">
        <w:rPr>
          <w:rFonts w:ascii="Times New Roman" w:hAnsi="Times New Roman"/>
          <w:sz w:val="20"/>
          <w:szCs w:val="20"/>
        </w:rPr>
        <w:t xml:space="preserve"> E., </w:t>
      </w:r>
      <w:proofErr w:type="spellStart"/>
      <w:r w:rsidRPr="009B2F58">
        <w:rPr>
          <w:rFonts w:ascii="Times New Roman" w:hAnsi="Times New Roman"/>
          <w:sz w:val="20"/>
          <w:szCs w:val="20"/>
        </w:rPr>
        <w:t>Puttonen</w:t>
      </w:r>
      <w:proofErr w:type="spellEnd"/>
      <w:r w:rsidRPr="009B2F58">
        <w:rPr>
          <w:rFonts w:ascii="Times New Roman" w:hAnsi="Times New Roman"/>
          <w:sz w:val="20"/>
          <w:szCs w:val="20"/>
        </w:rPr>
        <w:t xml:space="preserve"> V. (2008)).   </w:t>
      </w:r>
    </w:p>
    <w:p w14:paraId="475482E4" w14:textId="77777777"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 xml:space="preserve">Si l’analyse des biais psychologiques et des émotions les sous-tendant est pendant longtemps demeurée la chasse gardée des travaux issus de la neuropsychologie et de la neurobiologie, elle commence à s’étendre à d’autres domaines et trouve petit-à-petit des champs d’application dans le domaine du trading (Fenton, M., Lins, J., </w:t>
      </w:r>
      <w:proofErr w:type="spellStart"/>
      <w:r w:rsidRPr="009B2F58">
        <w:rPr>
          <w:rFonts w:ascii="Times New Roman" w:hAnsi="Times New Roman"/>
          <w:sz w:val="20"/>
          <w:szCs w:val="20"/>
        </w:rPr>
        <w:t>Vohra</w:t>
      </w:r>
      <w:proofErr w:type="spellEnd"/>
      <w:r w:rsidRPr="009B2F58">
        <w:rPr>
          <w:rFonts w:ascii="Times New Roman" w:hAnsi="Times New Roman"/>
          <w:sz w:val="20"/>
          <w:szCs w:val="20"/>
        </w:rPr>
        <w:t xml:space="preserve">, S., Richards D., Davies, G., </w:t>
      </w:r>
      <w:proofErr w:type="spellStart"/>
      <w:r w:rsidRPr="009B2F58">
        <w:rPr>
          <w:rFonts w:ascii="Times New Roman" w:hAnsi="Times New Roman"/>
          <w:sz w:val="20"/>
          <w:szCs w:val="20"/>
        </w:rPr>
        <w:t>Schaaﬀ</w:t>
      </w:r>
      <w:proofErr w:type="spellEnd"/>
      <w:r w:rsidRPr="009B2F58">
        <w:rPr>
          <w:rFonts w:ascii="Times New Roman" w:hAnsi="Times New Roman"/>
          <w:sz w:val="20"/>
          <w:szCs w:val="20"/>
        </w:rPr>
        <w:t>, K. (2012)).</w:t>
      </w:r>
    </w:p>
    <w:p w14:paraId="102E329B" w14:textId="77777777"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 xml:space="preserve">Afin d’appréhender les éventuels biais comportementaux et leurs effets ainsi que les champs émotionnels sous-jacents, nous avons eu recours à une population de 15 étudiants inscrits dans le cursus en Sciences de Gestion de l’Université de Mons (Belgique). Au départ d’un portefeuille de 100.000 euros (initialement investis dans 5 actions du CAC40), ces étudiants ont été amenés à réaliser des opérations de trading, en continu, et ce de manière continue durant une semaine boursière. </w:t>
      </w:r>
    </w:p>
    <w:p w14:paraId="57582C9D" w14:textId="77777777" w:rsidR="00845B6C" w:rsidRPr="009B2F58" w:rsidRDefault="009B2F58">
      <w:pPr>
        <w:pStyle w:val="Paragraphedeliste"/>
        <w:numPr>
          <w:ilvl w:val="0"/>
          <w:numId w:val="1"/>
        </w:numPr>
        <w:spacing w:line="240" w:lineRule="auto"/>
        <w:jc w:val="both"/>
        <w:rPr>
          <w:rFonts w:ascii="Times New Roman" w:hAnsi="Times New Roman"/>
          <w:b/>
          <w:u w:val="single"/>
        </w:rPr>
      </w:pPr>
      <w:r w:rsidRPr="009B2F58">
        <w:rPr>
          <w:rFonts w:ascii="Times New Roman" w:hAnsi="Times New Roman"/>
          <w:b/>
          <w:u w:val="single"/>
        </w:rPr>
        <w:t>Positionnement théorique et état de l’art</w:t>
      </w:r>
    </w:p>
    <w:p w14:paraId="6CB467BD" w14:textId="3F135615"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lastRenderedPageBreak/>
        <w:t xml:space="preserve">Les études issues des domaines financiers et plus largement de la gestion démontrent l’importance de la rationalité afin d’appréhender les grandes configurations des marchés boursiers. Dans cette logique, un large pan de la recherche en Finance a été consacré à faire la démonstration que l’information et le traitement de celle-ci permettaient de comprendre l’évolution des cours de Bourse sur les marchés (analyse fondamentale). Les contenus informationnels dénotent ainsi de l’éventuel processus de création de valeur de l’entreprise dans le futur. Même si cette manière de concevoir le fonctionnement des marchés financiers est cadenassée par un ensemble d’hypothèses relativement lourdes, elle est entrée dans le domaine du quasiment dogmatique et a schématiquement conduit au développement de l’hypothèse d’efficience des marchés. Sur cette base, ont été développées des méthodologies qui ont génériquement été dénommées « études événementielles ». Celles-ci ont été largement retenues dans les années 80/90 et ont pour vocation de permettre d’estimer les liens de causes à effets (à court et, par l’intermédiaire de certaines adaptations, à plus long terme) entre la divulgation d’une information - qu’elle soit </w:t>
      </w:r>
      <w:proofErr w:type="spellStart"/>
      <w:r w:rsidR="00381DA8">
        <w:rPr>
          <w:rFonts w:ascii="Times New Roman" w:hAnsi="Times New Roman"/>
          <w:sz w:val="20"/>
          <w:szCs w:val="20"/>
        </w:rPr>
        <w:t>Corporate</w:t>
      </w:r>
      <w:proofErr w:type="spellEnd"/>
      <w:r w:rsidR="00381DA8">
        <w:rPr>
          <w:rFonts w:ascii="Times New Roman" w:hAnsi="Times New Roman"/>
          <w:sz w:val="20"/>
          <w:szCs w:val="20"/>
        </w:rPr>
        <w:t xml:space="preserve"> </w:t>
      </w:r>
      <w:r w:rsidRPr="009B2F58">
        <w:rPr>
          <w:rFonts w:ascii="Times New Roman" w:hAnsi="Times New Roman"/>
          <w:sz w:val="20"/>
          <w:szCs w:val="20"/>
        </w:rPr>
        <w:t>ou de nature macroéconomique</w:t>
      </w:r>
      <w:r w:rsidR="00381DA8">
        <w:rPr>
          <w:rFonts w:ascii="Times New Roman" w:hAnsi="Times New Roman"/>
          <w:sz w:val="20"/>
          <w:szCs w:val="20"/>
        </w:rPr>
        <w:t xml:space="preserve"> - </w:t>
      </w:r>
      <w:r w:rsidRPr="009B2F58">
        <w:rPr>
          <w:rFonts w:ascii="Times New Roman" w:hAnsi="Times New Roman"/>
          <w:sz w:val="20"/>
          <w:szCs w:val="20"/>
        </w:rPr>
        <w:t xml:space="preserve">et l’évolution du cours de Bourse des entreprises. </w:t>
      </w:r>
    </w:p>
    <w:p w14:paraId="5FFC9C4B" w14:textId="77777777"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 xml:space="preserve">La remise en question de l’efficience des marchés a été orchestrée, premièrement, par les études démontrant le caractère récurrent des différentes crises boursières (Neri F., 2010) et le peu d’efficacité de l’analyse fondamentale. Même les agences de notation et les analystes financiers – a priori en mesure d’assurer un traitement optimal des contenus informationnels – ont été largement critiqués en raison d’importantes erreurs de jugement (Collard F., (2012), Cousin J., Levasseur M., </w:t>
      </w:r>
      <w:proofErr w:type="spellStart"/>
      <w:r w:rsidRPr="009B2F58">
        <w:rPr>
          <w:rFonts w:ascii="Times New Roman" w:hAnsi="Times New Roman"/>
          <w:sz w:val="20"/>
          <w:szCs w:val="20"/>
        </w:rPr>
        <w:t>Romon</w:t>
      </w:r>
      <w:proofErr w:type="spellEnd"/>
      <w:r w:rsidRPr="009B2F58">
        <w:rPr>
          <w:rFonts w:ascii="Times New Roman" w:hAnsi="Times New Roman"/>
          <w:sz w:val="20"/>
          <w:szCs w:val="20"/>
        </w:rPr>
        <w:t xml:space="preserve"> F., (2013)).</w:t>
      </w:r>
    </w:p>
    <w:p w14:paraId="7904D2F7" w14:textId="70304E4A"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 xml:space="preserve">Deuxièmement, de nombreuses critiques ont été adressées aux hypothèses </w:t>
      </w:r>
      <w:r w:rsidR="002E24CD">
        <w:rPr>
          <w:rFonts w:ascii="Times New Roman" w:hAnsi="Times New Roman"/>
          <w:sz w:val="20"/>
          <w:szCs w:val="20"/>
        </w:rPr>
        <w:t>de</w:t>
      </w:r>
      <w:r w:rsidRPr="009B2F58">
        <w:rPr>
          <w:rFonts w:ascii="Times New Roman" w:hAnsi="Times New Roman"/>
          <w:sz w:val="20"/>
          <w:szCs w:val="20"/>
        </w:rPr>
        <w:t xml:space="preserve"> l’efficience, à savoir l’absence d’asymétrie informationnelle, la gratuité de l’information ainsi que l’absence de coûts de transaction (El </w:t>
      </w:r>
      <w:proofErr w:type="spellStart"/>
      <w:r w:rsidRPr="009B2F58">
        <w:rPr>
          <w:rFonts w:ascii="Times New Roman" w:hAnsi="Times New Roman"/>
          <w:sz w:val="20"/>
          <w:szCs w:val="20"/>
        </w:rPr>
        <w:t>Hédi</w:t>
      </w:r>
      <w:proofErr w:type="spellEnd"/>
      <w:r w:rsidRPr="009B2F58">
        <w:rPr>
          <w:rFonts w:ascii="Times New Roman" w:hAnsi="Times New Roman"/>
          <w:sz w:val="20"/>
          <w:szCs w:val="20"/>
        </w:rPr>
        <w:t xml:space="preserve"> </w:t>
      </w:r>
      <w:proofErr w:type="spellStart"/>
      <w:r w:rsidRPr="009B2F58">
        <w:rPr>
          <w:rFonts w:ascii="Times New Roman" w:hAnsi="Times New Roman"/>
          <w:sz w:val="20"/>
          <w:szCs w:val="20"/>
        </w:rPr>
        <w:t>Arouri</w:t>
      </w:r>
      <w:proofErr w:type="spellEnd"/>
      <w:r w:rsidRPr="009B2F58">
        <w:rPr>
          <w:rFonts w:ascii="Times New Roman" w:hAnsi="Times New Roman"/>
          <w:sz w:val="20"/>
          <w:szCs w:val="20"/>
        </w:rPr>
        <w:t xml:space="preserve"> M., </w:t>
      </w:r>
      <w:proofErr w:type="spellStart"/>
      <w:r w:rsidRPr="009B2F58">
        <w:rPr>
          <w:rFonts w:ascii="Times New Roman" w:hAnsi="Times New Roman"/>
          <w:sz w:val="20"/>
          <w:szCs w:val="20"/>
        </w:rPr>
        <w:t>Jawadi</w:t>
      </w:r>
      <w:proofErr w:type="spellEnd"/>
      <w:r w:rsidRPr="009B2F58">
        <w:rPr>
          <w:rFonts w:ascii="Times New Roman" w:hAnsi="Times New Roman"/>
          <w:sz w:val="20"/>
          <w:szCs w:val="20"/>
        </w:rPr>
        <w:t xml:space="preserve"> F., 2012). Le respect de celles-ci est d’autant plus problématique lorsque les activités de trading concernent des petits porteurs (par exemple, </w:t>
      </w:r>
      <w:proofErr w:type="spellStart"/>
      <w:r w:rsidRPr="009B2F58">
        <w:rPr>
          <w:rFonts w:ascii="Times New Roman" w:hAnsi="Times New Roman"/>
          <w:sz w:val="20"/>
          <w:szCs w:val="20"/>
        </w:rPr>
        <w:t>Louhichi</w:t>
      </w:r>
      <w:proofErr w:type="spellEnd"/>
      <w:r w:rsidRPr="009B2F58">
        <w:rPr>
          <w:rFonts w:ascii="Times New Roman" w:hAnsi="Times New Roman"/>
          <w:sz w:val="20"/>
          <w:szCs w:val="20"/>
        </w:rPr>
        <w:t xml:space="preserve"> W., 2012). Dans la mesure où l’information ne serait pas nécessairement accessible de manière simultanée à tous les investisseurs, certains auteurs préconisent dès lors de recourir à d’autres outils (analyses graphiques et techniques) pour appréhender l’évolution des cours de Bourse. Ces techniques ont connu un essor très important ces dernières années. L’analyse de leur efficacité réelle est complexifiée par le nombre d’outils envisageables (voir </w:t>
      </w:r>
      <w:proofErr w:type="spellStart"/>
      <w:r w:rsidRPr="009B2F58">
        <w:rPr>
          <w:rFonts w:ascii="Times New Roman" w:hAnsi="Times New Roman"/>
          <w:sz w:val="20"/>
          <w:szCs w:val="20"/>
        </w:rPr>
        <w:t>Toríbio</w:t>
      </w:r>
      <w:proofErr w:type="spellEnd"/>
      <w:r w:rsidRPr="009B2F58">
        <w:rPr>
          <w:rFonts w:ascii="Times New Roman" w:hAnsi="Times New Roman"/>
          <w:sz w:val="20"/>
          <w:szCs w:val="20"/>
        </w:rPr>
        <w:t xml:space="preserve"> R., </w:t>
      </w:r>
      <w:proofErr w:type="spellStart"/>
      <w:r w:rsidRPr="009B2F58">
        <w:rPr>
          <w:rFonts w:ascii="Times New Roman" w:hAnsi="Times New Roman"/>
          <w:sz w:val="20"/>
          <w:szCs w:val="20"/>
        </w:rPr>
        <w:t>Nazárioa</w:t>
      </w:r>
      <w:proofErr w:type="spellEnd"/>
      <w:r w:rsidRPr="009B2F58">
        <w:rPr>
          <w:rFonts w:ascii="Times New Roman" w:hAnsi="Times New Roman"/>
          <w:sz w:val="20"/>
          <w:szCs w:val="20"/>
        </w:rPr>
        <w:t xml:space="preserve"> J., </w:t>
      </w:r>
      <w:proofErr w:type="spellStart"/>
      <w:r w:rsidRPr="009B2F58">
        <w:rPr>
          <w:rFonts w:ascii="Times New Roman" w:hAnsi="Times New Roman"/>
          <w:sz w:val="20"/>
          <w:szCs w:val="20"/>
        </w:rPr>
        <w:t>Limae</w:t>
      </w:r>
      <w:proofErr w:type="spellEnd"/>
      <w:r w:rsidRPr="009B2F58">
        <w:rPr>
          <w:rFonts w:ascii="Times New Roman" w:hAnsi="Times New Roman"/>
          <w:sz w:val="20"/>
          <w:szCs w:val="20"/>
        </w:rPr>
        <w:t xml:space="preserve"> S. </w:t>
      </w:r>
      <w:proofErr w:type="spellStart"/>
      <w:r w:rsidRPr="009B2F58">
        <w:rPr>
          <w:rFonts w:ascii="Times New Roman" w:hAnsi="Times New Roman"/>
          <w:sz w:val="20"/>
          <w:szCs w:val="20"/>
        </w:rPr>
        <w:t>Amorim</w:t>
      </w:r>
      <w:proofErr w:type="spellEnd"/>
      <w:r w:rsidRPr="009B2F58">
        <w:rPr>
          <w:rFonts w:ascii="Times New Roman" w:hAnsi="Times New Roman"/>
          <w:sz w:val="20"/>
          <w:szCs w:val="20"/>
        </w:rPr>
        <w:t xml:space="preserve"> S., </w:t>
      </w:r>
      <w:proofErr w:type="spellStart"/>
      <w:r w:rsidRPr="009B2F58">
        <w:rPr>
          <w:rFonts w:ascii="Times New Roman" w:hAnsi="Times New Roman"/>
          <w:sz w:val="20"/>
          <w:szCs w:val="20"/>
        </w:rPr>
        <w:t>Kimurair</w:t>
      </w:r>
      <w:proofErr w:type="spellEnd"/>
      <w:r w:rsidRPr="009B2F58">
        <w:rPr>
          <w:rFonts w:ascii="Times New Roman" w:hAnsi="Times New Roman"/>
          <w:sz w:val="20"/>
          <w:szCs w:val="20"/>
        </w:rPr>
        <w:t xml:space="preserve"> H., 2017) et certaines de ces techniques ont aussi été largement critiquées (</w:t>
      </w:r>
      <w:proofErr w:type="spellStart"/>
      <w:r w:rsidRPr="009B2F58">
        <w:rPr>
          <w:rFonts w:ascii="Times New Roman" w:hAnsi="Times New Roman"/>
          <w:sz w:val="20"/>
          <w:szCs w:val="20"/>
        </w:rPr>
        <w:t>Halilbegovic</w:t>
      </w:r>
      <w:proofErr w:type="spellEnd"/>
      <w:r w:rsidRPr="009B2F58">
        <w:rPr>
          <w:rFonts w:ascii="Times New Roman" w:hAnsi="Times New Roman"/>
          <w:sz w:val="20"/>
          <w:szCs w:val="20"/>
        </w:rPr>
        <w:t xml:space="preserve"> S., 2016) car elles sembleraient posséder une opérationnalité très variable en fonction des contextes pris en considération (</w:t>
      </w:r>
      <w:proofErr w:type="spellStart"/>
      <w:r w:rsidRPr="009B2F58">
        <w:rPr>
          <w:rFonts w:ascii="Times New Roman" w:hAnsi="Times New Roman"/>
          <w:sz w:val="20"/>
          <w:szCs w:val="20"/>
        </w:rPr>
        <w:t>Kubińska</w:t>
      </w:r>
      <w:proofErr w:type="spellEnd"/>
      <w:r w:rsidRPr="009B2F58">
        <w:rPr>
          <w:rFonts w:ascii="Times New Roman" w:hAnsi="Times New Roman"/>
          <w:sz w:val="20"/>
          <w:szCs w:val="20"/>
        </w:rPr>
        <w:t xml:space="preserve"> E., </w:t>
      </w:r>
      <w:proofErr w:type="spellStart"/>
      <w:r w:rsidRPr="009B2F58">
        <w:rPr>
          <w:rFonts w:ascii="Times New Roman" w:hAnsi="Times New Roman"/>
          <w:sz w:val="20"/>
          <w:szCs w:val="20"/>
        </w:rPr>
        <w:t>Czupryna</w:t>
      </w:r>
      <w:proofErr w:type="spellEnd"/>
      <w:r w:rsidRPr="009B2F58">
        <w:rPr>
          <w:rFonts w:ascii="Times New Roman" w:hAnsi="Times New Roman"/>
          <w:sz w:val="20"/>
          <w:szCs w:val="20"/>
        </w:rPr>
        <w:t xml:space="preserve"> M., </w:t>
      </w:r>
      <w:proofErr w:type="spellStart"/>
      <w:r w:rsidRPr="009B2F58">
        <w:rPr>
          <w:rFonts w:ascii="Times New Roman" w:hAnsi="Times New Roman"/>
          <w:sz w:val="20"/>
          <w:szCs w:val="20"/>
        </w:rPr>
        <w:t>Markiewicz</w:t>
      </w:r>
      <w:proofErr w:type="spellEnd"/>
      <w:r w:rsidRPr="009B2F58">
        <w:rPr>
          <w:rFonts w:ascii="Times New Roman" w:hAnsi="Times New Roman"/>
          <w:sz w:val="20"/>
          <w:szCs w:val="20"/>
        </w:rPr>
        <w:t xml:space="preserve"> L., </w:t>
      </w:r>
      <w:proofErr w:type="spellStart"/>
      <w:r w:rsidRPr="009B2F58">
        <w:rPr>
          <w:rFonts w:ascii="Times New Roman" w:hAnsi="Times New Roman"/>
          <w:sz w:val="20"/>
          <w:szCs w:val="20"/>
        </w:rPr>
        <w:t>Czekaj</w:t>
      </w:r>
      <w:proofErr w:type="spellEnd"/>
      <w:r w:rsidRPr="009B2F58">
        <w:rPr>
          <w:rFonts w:ascii="Times New Roman" w:hAnsi="Times New Roman"/>
          <w:sz w:val="20"/>
          <w:szCs w:val="20"/>
        </w:rPr>
        <w:t xml:space="preserve"> J., 2016). Dérivée de cette approche, la théorie des conventions part du principe que le prix d’un actif ne serait qu’une représentation d’un accord explicite des intervenants sur le marché quant à une opinion généralement admise et ses évolutions probables dans le futur (</w:t>
      </w:r>
      <w:proofErr w:type="spellStart"/>
      <w:r w:rsidRPr="009B2F58">
        <w:rPr>
          <w:rFonts w:ascii="Times New Roman" w:hAnsi="Times New Roman"/>
          <w:sz w:val="20"/>
          <w:szCs w:val="20"/>
        </w:rPr>
        <w:t>Orléan</w:t>
      </w:r>
      <w:proofErr w:type="spellEnd"/>
      <w:r w:rsidRPr="009B2F58">
        <w:rPr>
          <w:rFonts w:ascii="Times New Roman" w:hAnsi="Times New Roman"/>
          <w:sz w:val="20"/>
          <w:szCs w:val="20"/>
        </w:rPr>
        <w:t xml:space="preserve"> A., (2004)). A moins de partir de l’idée que les investisseurs construisent et mobilisent eux-mêmes certaines techniques, en fonction de la multiplication des blogs et des analyses techniques directement réalisées en temps réel au départ des plateformes boursières classiques, on peut se demander si</w:t>
      </w:r>
      <w:r w:rsidR="007343CC">
        <w:rPr>
          <w:rFonts w:ascii="Times New Roman" w:hAnsi="Times New Roman"/>
          <w:sz w:val="20"/>
          <w:szCs w:val="20"/>
        </w:rPr>
        <w:t xml:space="preserve"> </w:t>
      </w:r>
      <w:r w:rsidRPr="009B2F58">
        <w:rPr>
          <w:rFonts w:ascii="Times New Roman" w:hAnsi="Times New Roman"/>
          <w:sz w:val="20"/>
          <w:szCs w:val="20"/>
        </w:rPr>
        <w:t>l’analyse technique n’appartiendrait pas tout simplement au cadre informationnel publiquement accessible aux différents acteurs de marché.</w:t>
      </w:r>
    </w:p>
    <w:p w14:paraId="491E593F" w14:textId="2CB9EEA0"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En tout état de cause, les critiques adressées à l’analyse fondamentale et à l’approche technique revêtent un caractère pluriel et ont schématiquement donné corps à la finance comportementale (voir</w:t>
      </w:r>
      <w:r w:rsidR="00C1674E">
        <w:rPr>
          <w:rFonts w:ascii="Times New Roman" w:hAnsi="Times New Roman"/>
          <w:sz w:val="20"/>
          <w:szCs w:val="20"/>
        </w:rPr>
        <w:t xml:space="preserve"> </w:t>
      </w:r>
      <w:proofErr w:type="spellStart"/>
      <w:r w:rsidRPr="009B2F58">
        <w:rPr>
          <w:rFonts w:ascii="Times New Roman" w:hAnsi="Times New Roman"/>
          <w:sz w:val="20"/>
          <w:szCs w:val="20"/>
        </w:rPr>
        <w:t>Aktas</w:t>
      </w:r>
      <w:proofErr w:type="spellEnd"/>
      <w:r w:rsidRPr="009B2F58">
        <w:rPr>
          <w:rFonts w:ascii="Times New Roman" w:hAnsi="Times New Roman"/>
          <w:sz w:val="20"/>
          <w:szCs w:val="20"/>
        </w:rPr>
        <w:t xml:space="preserve"> N., 2004). En phase avec les conclusions de celle-ci, si l’importance de l’information a été fortement relativisée ces dernières années, nous pensons que des éléments d’explications pourraient être obtenus au départ de la nature des acteurs sur les marchés. </w:t>
      </w:r>
    </w:p>
    <w:p w14:paraId="2C52A81F" w14:textId="11A827C9"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Dans le cadre de cette étude, nous avons fait le choix de nous focaliser sur les petits porteurs pour lesquels, quel que soit le champ d’analyse potentiellement retenu, de nombreuses critiques ont émergé quant à leur réelle opérationnalité. Celles-ci prennent principalement leur source, pour les petits investisseurs, dans la vitesse avec laquelle s’opèrent les échanges sur les marchés du fait de l’automatisation et de l’</w:t>
      </w:r>
      <w:proofErr w:type="spellStart"/>
      <w:r w:rsidRPr="009B2F58">
        <w:rPr>
          <w:rFonts w:ascii="Times New Roman" w:hAnsi="Times New Roman"/>
          <w:sz w:val="20"/>
          <w:szCs w:val="20"/>
        </w:rPr>
        <w:t>électronisation</w:t>
      </w:r>
      <w:proofErr w:type="spellEnd"/>
      <w:r w:rsidRPr="009B2F58">
        <w:rPr>
          <w:rFonts w:ascii="Times New Roman" w:hAnsi="Times New Roman"/>
          <w:sz w:val="20"/>
          <w:szCs w:val="20"/>
        </w:rPr>
        <w:t xml:space="preserve"> de ceux-ci (</w:t>
      </w:r>
      <w:proofErr w:type="spellStart"/>
      <w:r w:rsidRPr="009B2F58">
        <w:rPr>
          <w:rFonts w:ascii="Times New Roman" w:hAnsi="Times New Roman"/>
          <w:sz w:val="20"/>
          <w:szCs w:val="20"/>
        </w:rPr>
        <w:t>Declerck</w:t>
      </w:r>
      <w:proofErr w:type="spellEnd"/>
      <w:r w:rsidRPr="009B2F58">
        <w:rPr>
          <w:rFonts w:ascii="Times New Roman" w:hAnsi="Times New Roman"/>
          <w:sz w:val="20"/>
          <w:szCs w:val="20"/>
        </w:rPr>
        <w:t xml:space="preserve"> F., </w:t>
      </w:r>
      <w:proofErr w:type="spellStart"/>
      <w:r w:rsidRPr="009B2F58">
        <w:rPr>
          <w:rFonts w:ascii="Times New Roman" w:hAnsi="Times New Roman"/>
          <w:sz w:val="20"/>
          <w:szCs w:val="20"/>
        </w:rPr>
        <w:t>Lescourret</w:t>
      </w:r>
      <w:proofErr w:type="spellEnd"/>
      <w:r w:rsidRPr="009B2F58">
        <w:rPr>
          <w:rFonts w:ascii="Times New Roman" w:hAnsi="Times New Roman"/>
          <w:sz w:val="20"/>
          <w:szCs w:val="20"/>
        </w:rPr>
        <w:t xml:space="preserve"> L., 2015). L’idée n’est pas que les petits investisseurs soient en manque d’informations, ce serait plutôt l’accès en temps utile et la manière avec laquelle elles pourraient être interprétées qui posent question (De </w:t>
      </w:r>
      <w:proofErr w:type="spellStart"/>
      <w:r w:rsidRPr="009B2F58">
        <w:rPr>
          <w:rFonts w:ascii="Times New Roman" w:hAnsi="Times New Roman"/>
          <w:sz w:val="20"/>
          <w:szCs w:val="20"/>
        </w:rPr>
        <w:t>Larminat</w:t>
      </w:r>
      <w:proofErr w:type="spellEnd"/>
      <w:r w:rsidRPr="009B2F58">
        <w:rPr>
          <w:rFonts w:ascii="Times New Roman" w:hAnsi="Times New Roman"/>
          <w:sz w:val="20"/>
          <w:szCs w:val="20"/>
        </w:rPr>
        <w:t xml:space="preserve"> P., 2013).  </w:t>
      </w:r>
    </w:p>
    <w:p w14:paraId="7A0865C1" w14:textId="1219DDA2"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Sur base de ces différents constats largement repris dans la littérature financière, le petit porteur</w:t>
      </w:r>
      <w:r w:rsidR="00B7016A">
        <w:rPr>
          <w:rFonts w:ascii="Times New Roman" w:hAnsi="Times New Roman"/>
          <w:sz w:val="20"/>
          <w:szCs w:val="20"/>
        </w:rPr>
        <w:t xml:space="preserve"> </w:t>
      </w:r>
      <w:r w:rsidRPr="009B2F58">
        <w:rPr>
          <w:rFonts w:ascii="Times New Roman" w:hAnsi="Times New Roman"/>
          <w:sz w:val="20"/>
          <w:szCs w:val="20"/>
        </w:rPr>
        <w:t xml:space="preserve">pourrait être en manque chronique de points de repère sur les marchés boursiers (contrairement aux investisseurs institutionnels qui, outre leurs possibilités de diversification, ont à disposition des routines de positionnement ancrées de longue date, </w:t>
      </w:r>
      <w:proofErr w:type="spellStart"/>
      <w:r w:rsidRPr="009B2F58">
        <w:rPr>
          <w:rFonts w:ascii="Times New Roman" w:hAnsi="Times New Roman"/>
          <w:sz w:val="20"/>
          <w:szCs w:val="20"/>
        </w:rPr>
        <w:t>Hautcoeur</w:t>
      </w:r>
      <w:proofErr w:type="spellEnd"/>
      <w:r w:rsidRPr="009B2F58">
        <w:rPr>
          <w:rFonts w:ascii="Times New Roman" w:hAnsi="Times New Roman"/>
          <w:sz w:val="20"/>
          <w:szCs w:val="20"/>
        </w:rPr>
        <w:t xml:space="preserve"> P., (2011)) et s’accrocher à des bruits qu’ils pourraient assimiler, à tort, à de l’information (Black F., 1986). Il lui est dès lors nécessaire de se construire un schéma personnel censé le conduire à retenir telle ou telle technique de placements. Ce schéma va être contingenté par différents éléments qui proviennent de la personnalité de l’investisseur : ses connaissances, ses attentes, son éventuelle propension à prendre des risques, ses humeurs et ses émotions... Dans cette optique, nous pensons que les biais psychologiques (cognitifs et comportementaux) mis en évidence par les études financières sont génétiquement inscrits dans la réalité des petits investisseurs. En sortant du dogme </w:t>
      </w:r>
      <w:r w:rsidR="00D605E3">
        <w:rPr>
          <w:rFonts w:ascii="Times New Roman" w:hAnsi="Times New Roman"/>
          <w:sz w:val="20"/>
          <w:szCs w:val="20"/>
        </w:rPr>
        <w:t xml:space="preserve">du </w:t>
      </w:r>
      <w:r w:rsidRPr="009B2F58">
        <w:rPr>
          <w:rFonts w:ascii="Times New Roman" w:hAnsi="Times New Roman"/>
          <w:sz w:val="20"/>
          <w:szCs w:val="20"/>
        </w:rPr>
        <w:t xml:space="preserve">« comme si » les agents économiques étaient rationnels, nous pensons que les biais psychologiques permettent d’appréhender des comportements qui échappent aux champs de la rationalité </w:t>
      </w:r>
      <w:r w:rsidRPr="009B2F58">
        <w:rPr>
          <w:rFonts w:ascii="Times New Roman" w:hAnsi="Times New Roman"/>
          <w:sz w:val="20"/>
          <w:szCs w:val="20"/>
        </w:rPr>
        <w:lastRenderedPageBreak/>
        <w:t xml:space="preserve">(Bergeron H., Castel P., </w:t>
      </w:r>
      <w:proofErr w:type="spellStart"/>
      <w:r w:rsidRPr="009B2F58">
        <w:rPr>
          <w:rFonts w:ascii="Times New Roman" w:hAnsi="Times New Roman"/>
          <w:sz w:val="20"/>
          <w:szCs w:val="20"/>
        </w:rPr>
        <w:t>Quellier</w:t>
      </w:r>
      <w:proofErr w:type="spellEnd"/>
      <w:r w:rsidRPr="009B2F58">
        <w:rPr>
          <w:rFonts w:ascii="Times New Roman" w:hAnsi="Times New Roman"/>
          <w:sz w:val="20"/>
          <w:szCs w:val="20"/>
        </w:rPr>
        <w:t xml:space="preserve"> S., Lazarus J., </w:t>
      </w:r>
      <w:proofErr w:type="spellStart"/>
      <w:r w:rsidRPr="009B2F58">
        <w:rPr>
          <w:rFonts w:ascii="Times New Roman" w:hAnsi="Times New Roman"/>
          <w:sz w:val="20"/>
          <w:szCs w:val="20"/>
        </w:rPr>
        <w:t>Nouguez</w:t>
      </w:r>
      <w:proofErr w:type="spellEnd"/>
      <w:r w:rsidRPr="009B2F58">
        <w:rPr>
          <w:rFonts w:ascii="Times New Roman" w:hAnsi="Times New Roman"/>
          <w:sz w:val="20"/>
          <w:szCs w:val="20"/>
        </w:rPr>
        <w:t xml:space="preserve"> E., </w:t>
      </w:r>
      <w:proofErr w:type="spellStart"/>
      <w:r w:rsidRPr="009B2F58">
        <w:rPr>
          <w:rFonts w:ascii="Times New Roman" w:hAnsi="Times New Roman"/>
          <w:sz w:val="20"/>
          <w:szCs w:val="20"/>
        </w:rPr>
        <w:t>Pimis</w:t>
      </w:r>
      <w:proofErr w:type="spellEnd"/>
      <w:r w:rsidRPr="009B2F58">
        <w:rPr>
          <w:rFonts w:ascii="Times New Roman" w:hAnsi="Times New Roman"/>
          <w:sz w:val="20"/>
          <w:szCs w:val="20"/>
        </w:rPr>
        <w:t xml:space="preserve"> O., 2018) ; ceux-ci conduisent à une remise en question de l’efficience des marchés (Thaler R., 2000). Dans cette logique, et en reprenant la classification de Kabbaj T. (2015), deux grandes catégories d’intervenants peuvent émerger : les novices et les gérants amateurs (principales victimes des champs émotionnels et des biais psychologiques) </w:t>
      </w:r>
      <w:r w:rsidR="00935182">
        <w:rPr>
          <w:rFonts w:ascii="Times New Roman" w:hAnsi="Times New Roman"/>
          <w:sz w:val="20"/>
          <w:szCs w:val="20"/>
        </w:rPr>
        <w:t>et</w:t>
      </w:r>
      <w:r w:rsidRPr="009B2F58">
        <w:rPr>
          <w:rFonts w:ascii="Times New Roman" w:hAnsi="Times New Roman"/>
          <w:sz w:val="20"/>
          <w:szCs w:val="20"/>
        </w:rPr>
        <w:t xml:space="preserve"> les investisseurs professionnels (maîtres de leurs émotions).</w:t>
      </w:r>
    </w:p>
    <w:p w14:paraId="2F349BAB" w14:textId="53DEA31C"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Les biais psychologiques se basent sur l’idée que la digestion personnelle de l’information est soumise à des contraintes de sensibilité individuelle. Diverses classifications des biais ont été mises en évidence. S’il existe un très grand nombre de biais, les deux listes reprises ci-dessous s’appuient sur différents travaux en lien avec les comportements des traders (Attia C., Hilton D., (2013)).</w:t>
      </w:r>
    </w:p>
    <w:p w14:paraId="1044C105" w14:textId="77777777"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 xml:space="preserve">Dans un premier temps, la prise en considération du cadre émotif passe par plusieurs niveaux d’analyse et plusieurs biais (parfois imbriqués les uns aux autres) peuvent ainsi apparaître : </w:t>
      </w:r>
    </w:p>
    <w:p w14:paraId="38ADA4C0" w14:textId="77777777" w:rsidR="00845B6C" w:rsidRPr="009B2F58" w:rsidRDefault="009B2F58">
      <w:pPr>
        <w:pStyle w:val="Paragraphedeliste"/>
        <w:numPr>
          <w:ilvl w:val="0"/>
          <w:numId w:val="2"/>
        </w:numPr>
        <w:spacing w:line="240" w:lineRule="auto"/>
        <w:jc w:val="both"/>
        <w:rPr>
          <w:rFonts w:ascii="Times New Roman" w:hAnsi="Times New Roman"/>
          <w:sz w:val="20"/>
          <w:szCs w:val="20"/>
        </w:rPr>
      </w:pPr>
      <w:r w:rsidRPr="009B2F58">
        <w:rPr>
          <w:rFonts w:ascii="Times New Roman" w:hAnsi="Times New Roman"/>
          <w:sz w:val="20"/>
          <w:szCs w:val="20"/>
          <w:u w:val="single"/>
        </w:rPr>
        <w:t>La gestion des pertes et des gains </w:t>
      </w:r>
      <w:r w:rsidRPr="009B2F58">
        <w:rPr>
          <w:rFonts w:ascii="Times New Roman" w:hAnsi="Times New Roman"/>
          <w:sz w:val="20"/>
          <w:szCs w:val="20"/>
        </w:rPr>
        <w:t>: les pertes sont souvent perçues de manière plus douloureuse que la satisfaction ressentie pour un gain de même ordre (Martinez F., 2010). Les investisseurs refusent de prendre des risques supplémentaires en situation gagnante mais y sont enclins en zone de pertes (Kabbaj T., 2011) ;</w:t>
      </w:r>
    </w:p>
    <w:p w14:paraId="78961B9C" w14:textId="32587358" w:rsidR="00845B6C" w:rsidRPr="009B2F58" w:rsidRDefault="009B2F58">
      <w:pPr>
        <w:pStyle w:val="Paragraphedeliste"/>
        <w:numPr>
          <w:ilvl w:val="0"/>
          <w:numId w:val="2"/>
        </w:numPr>
        <w:spacing w:line="240" w:lineRule="auto"/>
        <w:jc w:val="both"/>
        <w:rPr>
          <w:rFonts w:ascii="Times New Roman" w:hAnsi="Times New Roman"/>
          <w:sz w:val="20"/>
          <w:szCs w:val="20"/>
        </w:rPr>
      </w:pPr>
      <w:r w:rsidRPr="009B2F58">
        <w:rPr>
          <w:rFonts w:ascii="Times New Roman" w:hAnsi="Times New Roman"/>
          <w:sz w:val="20"/>
          <w:szCs w:val="20"/>
          <w:u w:val="single"/>
        </w:rPr>
        <w:t xml:space="preserve">L’excès de confiance </w:t>
      </w:r>
      <w:r w:rsidRPr="009B2F58">
        <w:rPr>
          <w:rFonts w:ascii="Times New Roman" w:hAnsi="Times New Roman"/>
          <w:sz w:val="20"/>
          <w:szCs w:val="20"/>
        </w:rPr>
        <w:t>: les investisseurs peuvent penser qu’ils disposent de qualités et de capacités supérieures à la moyenne, ce qui peut les pousser à effectuer des opérations peu réfléchies (</w:t>
      </w:r>
      <w:proofErr w:type="spellStart"/>
      <w:r w:rsidRPr="009B2F58">
        <w:rPr>
          <w:rFonts w:ascii="Times New Roman" w:hAnsi="Times New Roman"/>
          <w:sz w:val="20"/>
          <w:szCs w:val="20"/>
        </w:rPr>
        <w:t>Sharot</w:t>
      </w:r>
      <w:proofErr w:type="spellEnd"/>
      <w:r w:rsidRPr="009B2F58">
        <w:rPr>
          <w:rFonts w:ascii="Times New Roman" w:hAnsi="Times New Roman"/>
          <w:sz w:val="20"/>
          <w:szCs w:val="20"/>
        </w:rPr>
        <w:t xml:space="preserve"> T., (2011)). Différentes formes sont envisageables : le défaut de calibration, l’effet « meilleur que la moyenne »</w:t>
      </w:r>
      <w:r w:rsidR="00B40323">
        <w:rPr>
          <w:rFonts w:ascii="Times New Roman" w:hAnsi="Times New Roman"/>
          <w:sz w:val="20"/>
          <w:szCs w:val="20"/>
        </w:rPr>
        <w:t xml:space="preserve"> </w:t>
      </w:r>
      <w:r w:rsidRPr="009B2F58">
        <w:rPr>
          <w:rFonts w:ascii="Times New Roman" w:hAnsi="Times New Roman"/>
          <w:sz w:val="20"/>
          <w:szCs w:val="20"/>
        </w:rPr>
        <w:t>et l’optimisme irréaliste. Cet excès de confiance serait induit</w:t>
      </w:r>
      <w:r w:rsidR="00EC7193">
        <w:rPr>
          <w:rFonts w:ascii="Times New Roman" w:hAnsi="Times New Roman"/>
          <w:sz w:val="20"/>
          <w:szCs w:val="20"/>
        </w:rPr>
        <w:t xml:space="preserve"> </w:t>
      </w:r>
      <w:r w:rsidRPr="009B2F58">
        <w:rPr>
          <w:rFonts w:ascii="Times New Roman" w:hAnsi="Times New Roman"/>
          <w:sz w:val="20"/>
          <w:szCs w:val="20"/>
        </w:rPr>
        <w:t>par le biais de confirmation et d’optimisme, en délaissant les arguments contradictoires au profit de schémas qui valident le positionnement de l’individu (</w:t>
      </w:r>
      <w:proofErr w:type="spellStart"/>
      <w:r w:rsidRPr="009B2F58">
        <w:rPr>
          <w:rFonts w:ascii="Times New Roman" w:hAnsi="Times New Roman"/>
          <w:sz w:val="20"/>
          <w:szCs w:val="20"/>
        </w:rPr>
        <w:t>Skala</w:t>
      </w:r>
      <w:proofErr w:type="spellEnd"/>
      <w:r w:rsidRPr="009B2F58">
        <w:rPr>
          <w:rFonts w:ascii="Times New Roman" w:hAnsi="Times New Roman"/>
          <w:sz w:val="20"/>
          <w:szCs w:val="20"/>
        </w:rPr>
        <w:t xml:space="preserve"> D., 2008). </w:t>
      </w:r>
    </w:p>
    <w:p w14:paraId="31AE22EA" w14:textId="77777777" w:rsidR="00845B6C" w:rsidRPr="009B2F58" w:rsidRDefault="009B2F58">
      <w:pPr>
        <w:pStyle w:val="Paragraphedeliste"/>
        <w:numPr>
          <w:ilvl w:val="0"/>
          <w:numId w:val="2"/>
        </w:numPr>
        <w:spacing w:line="240" w:lineRule="auto"/>
        <w:jc w:val="both"/>
        <w:rPr>
          <w:rFonts w:ascii="Times New Roman" w:hAnsi="Times New Roman"/>
          <w:sz w:val="20"/>
          <w:szCs w:val="20"/>
        </w:rPr>
      </w:pPr>
      <w:r w:rsidRPr="009B2F58">
        <w:rPr>
          <w:rFonts w:ascii="Times New Roman" w:hAnsi="Times New Roman"/>
          <w:sz w:val="20"/>
          <w:szCs w:val="20"/>
          <w:u w:val="single"/>
        </w:rPr>
        <w:t xml:space="preserve">L’influence des humeurs et des émotions </w:t>
      </w:r>
      <w:r w:rsidRPr="009B2F58">
        <w:rPr>
          <w:rFonts w:ascii="Times New Roman" w:hAnsi="Times New Roman"/>
          <w:sz w:val="20"/>
          <w:szCs w:val="20"/>
        </w:rPr>
        <w:t xml:space="preserve">: un investisseur serein serait capable de mieux assimiler l’information. L’état du marché va également avoir une influence déterminante sur les émotions éprouvées par un individu (Van </w:t>
      </w:r>
      <w:proofErr w:type="spellStart"/>
      <w:r w:rsidRPr="009B2F58">
        <w:rPr>
          <w:rFonts w:ascii="Times New Roman" w:hAnsi="Times New Roman"/>
          <w:sz w:val="20"/>
          <w:szCs w:val="20"/>
        </w:rPr>
        <w:t>Hoorebeke</w:t>
      </w:r>
      <w:proofErr w:type="spellEnd"/>
      <w:r w:rsidRPr="009B2F58">
        <w:rPr>
          <w:rFonts w:ascii="Times New Roman" w:hAnsi="Times New Roman"/>
          <w:sz w:val="20"/>
          <w:szCs w:val="20"/>
        </w:rPr>
        <w:t xml:space="preserve"> D., 2012). </w:t>
      </w:r>
    </w:p>
    <w:p w14:paraId="007E2C93" w14:textId="6BD808A1"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 xml:space="preserve">Dans un deuxième temps, les chercheurs montrent que doivent également être prises en considérant les croyances ainsi que les connaissances. </w:t>
      </w:r>
      <w:r w:rsidR="000C480E">
        <w:rPr>
          <w:rFonts w:ascii="Times New Roman" w:hAnsi="Times New Roman"/>
          <w:sz w:val="20"/>
          <w:szCs w:val="20"/>
        </w:rPr>
        <w:t>P</w:t>
      </w:r>
      <w:r w:rsidRPr="009B2F58">
        <w:rPr>
          <w:rFonts w:ascii="Times New Roman" w:hAnsi="Times New Roman"/>
          <w:sz w:val="20"/>
          <w:szCs w:val="20"/>
        </w:rPr>
        <w:t xml:space="preserve">lusieurs biais peuvent </w:t>
      </w:r>
      <w:r w:rsidR="000C480E">
        <w:rPr>
          <w:rFonts w:ascii="Times New Roman" w:hAnsi="Times New Roman"/>
          <w:sz w:val="20"/>
          <w:szCs w:val="20"/>
        </w:rPr>
        <w:t xml:space="preserve">ainsi </w:t>
      </w:r>
      <w:r w:rsidRPr="009B2F58">
        <w:rPr>
          <w:rFonts w:ascii="Times New Roman" w:hAnsi="Times New Roman"/>
          <w:sz w:val="20"/>
          <w:szCs w:val="20"/>
        </w:rPr>
        <w:t>être repérés :</w:t>
      </w:r>
    </w:p>
    <w:p w14:paraId="0380B469" w14:textId="2310C3DB" w:rsidR="00845B6C" w:rsidRPr="009B2F58" w:rsidRDefault="009B2F58">
      <w:pPr>
        <w:pStyle w:val="Paragraphedeliste"/>
        <w:numPr>
          <w:ilvl w:val="0"/>
          <w:numId w:val="3"/>
        </w:numPr>
        <w:spacing w:line="240" w:lineRule="auto"/>
        <w:jc w:val="both"/>
        <w:rPr>
          <w:rFonts w:ascii="Times New Roman" w:hAnsi="Times New Roman"/>
          <w:sz w:val="20"/>
          <w:szCs w:val="20"/>
        </w:rPr>
      </w:pPr>
      <w:r w:rsidRPr="009B2F58">
        <w:rPr>
          <w:rFonts w:ascii="Times New Roman" w:hAnsi="Times New Roman"/>
          <w:sz w:val="20"/>
          <w:szCs w:val="20"/>
          <w:u w:val="single"/>
        </w:rPr>
        <w:t>Le biais de disponibilité :</w:t>
      </w:r>
      <w:r w:rsidRPr="009B2F58">
        <w:rPr>
          <w:rFonts w:ascii="Times New Roman" w:hAnsi="Times New Roman"/>
          <w:sz w:val="20"/>
          <w:szCs w:val="20"/>
        </w:rPr>
        <w:t xml:space="preserve"> l’investisseur se contente de l’information immédiatement disponible, au lieu de rechercher toutes les informations nécessaires à la prise de décisions (</w:t>
      </w:r>
      <w:proofErr w:type="spellStart"/>
      <w:r w:rsidRPr="009B2F58">
        <w:rPr>
          <w:rFonts w:ascii="Times New Roman" w:hAnsi="Times New Roman"/>
          <w:sz w:val="20"/>
          <w:szCs w:val="20"/>
        </w:rPr>
        <w:t>Javed</w:t>
      </w:r>
      <w:proofErr w:type="spellEnd"/>
      <w:r w:rsidRPr="009B2F58">
        <w:rPr>
          <w:rFonts w:ascii="Times New Roman" w:hAnsi="Times New Roman"/>
          <w:sz w:val="20"/>
          <w:szCs w:val="20"/>
        </w:rPr>
        <w:t xml:space="preserve"> H., </w:t>
      </w:r>
      <w:proofErr w:type="spellStart"/>
      <w:r w:rsidRPr="009B2F58">
        <w:rPr>
          <w:rFonts w:ascii="Times New Roman" w:hAnsi="Times New Roman"/>
          <w:sz w:val="20"/>
          <w:szCs w:val="20"/>
        </w:rPr>
        <w:t>Bagh</w:t>
      </w:r>
      <w:proofErr w:type="spellEnd"/>
      <w:r w:rsidRPr="009B2F58">
        <w:rPr>
          <w:rFonts w:ascii="Times New Roman" w:hAnsi="Times New Roman"/>
          <w:sz w:val="20"/>
          <w:szCs w:val="20"/>
        </w:rPr>
        <w:t xml:space="preserve"> T., </w:t>
      </w:r>
      <w:proofErr w:type="spellStart"/>
      <w:r w:rsidRPr="009B2F58">
        <w:rPr>
          <w:rFonts w:ascii="Times New Roman" w:hAnsi="Times New Roman"/>
          <w:sz w:val="20"/>
          <w:szCs w:val="20"/>
        </w:rPr>
        <w:t>Razzaq</w:t>
      </w:r>
      <w:proofErr w:type="spellEnd"/>
      <w:r w:rsidRPr="009B2F58">
        <w:rPr>
          <w:rFonts w:ascii="Times New Roman" w:hAnsi="Times New Roman"/>
          <w:sz w:val="20"/>
          <w:szCs w:val="20"/>
        </w:rPr>
        <w:t xml:space="preserve"> S., 2017). L’idée</w:t>
      </w:r>
      <w:r w:rsidR="00255855">
        <w:rPr>
          <w:rFonts w:ascii="Times New Roman" w:hAnsi="Times New Roman"/>
          <w:sz w:val="20"/>
          <w:szCs w:val="20"/>
        </w:rPr>
        <w:t xml:space="preserve"> </w:t>
      </w:r>
      <w:r w:rsidRPr="009B2F58">
        <w:rPr>
          <w:rFonts w:ascii="Times New Roman" w:hAnsi="Times New Roman"/>
          <w:sz w:val="20"/>
          <w:szCs w:val="20"/>
        </w:rPr>
        <w:t>serait donc de recouper toutes les informations à disposition pour challenger et conforter son jugement. Sans cet effort, le risque est de se concentrer sur des signaux insuffisants pour que la décision soit pertinente</w:t>
      </w:r>
      <w:r w:rsidR="00006EFB">
        <w:rPr>
          <w:rFonts w:ascii="Times New Roman" w:hAnsi="Times New Roman"/>
          <w:sz w:val="20"/>
          <w:szCs w:val="20"/>
        </w:rPr>
        <w:t xml:space="preserve"> </w:t>
      </w:r>
      <w:r w:rsidRPr="009B2F58">
        <w:rPr>
          <w:rFonts w:ascii="Times New Roman" w:hAnsi="Times New Roman"/>
          <w:sz w:val="20"/>
          <w:szCs w:val="20"/>
        </w:rPr>
        <w:t>;</w:t>
      </w:r>
    </w:p>
    <w:p w14:paraId="7B95CBAD" w14:textId="6F94169D" w:rsidR="00845B6C" w:rsidRPr="009B2F58" w:rsidRDefault="009B2F58">
      <w:pPr>
        <w:pStyle w:val="Paragraphedeliste"/>
        <w:numPr>
          <w:ilvl w:val="0"/>
          <w:numId w:val="3"/>
        </w:numPr>
        <w:spacing w:line="240" w:lineRule="auto"/>
        <w:jc w:val="both"/>
        <w:rPr>
          <w:rFonts w:ascii="Times New Roman" w:hAnsi="Times New Roman"/>
          <w:sz w:val="20"/>
          <w:szCs w:val="20"/>
        </w:rPr>
      </w:pPr>
      <w:r w:rsidRPr="009B2F58">
        <w:rPr>
          <w:rFonts w:ascii="Times New Roman" w:hAnsi="Times New Roman"/>
          <w:sz w:val="20"/>
          <w:szCs w:val="20"/>
          <w:u w:val="single"/>
        </w:rPr>
        <w:t>L’importance du contexte, les heuristiques et l’héritage du passé :</w:t>
      </w:r>
      <w:r w:rsidRPr="009B2F58">
        <w:rPr>
          <w:rFonts w:ascii="Times New Roman" w:hAnsi="Times New Roman"/>
          <w:sz w:val="20"/>
          <w:szCs w:val="20"/>
        </w:rPr>
        <w:t xml:space="preserve"> un investisseur peut systématiquement s’intéresser à une situation qui lui semble coutumière et acheter des titres parce qu’ils lui ont permis, dans le passé, d’accroître la valeur de son portefeuille</w:t>
      </w:r>
      <w:r w:rsidR="00D44106">
        <w:rPr>
          <w:rFonts w:ascii="Times New Roman" w:hAnsi="Times New Roman"/>
          <w:sz w:val="20"/>
          <w:szCs w:val="20"/>
        </w:rPr>
        <w:t xml:space="preserve"> </w:t>
      </w:r>
      <w:r w:rsidR="00D44106" w:rsidRPr="00D44106">
        <w:rPr>
          <w:rFonts w:ascii="Times New Roman" w:hAnsi="Times New Roman"/>
          <w:sz w:val="20"/>
          <w:szCs w:val="20"/>
        </w:rPr>
        <w:t>(Wagner P., 2011)</w:t>
      </w:r>
      <w:r w:rsidRPr="009B2F58">
        <w:rPr>
          <w:rFonts w:ascii="Times New Roman" w:hAnsi="Times New Roman"/>
          <w:sz w:val="20"/>
          <w:szCs w:val="20"/>
        </w:rPr>
        <w:t>. Il s’agit de raccourcis cognitifs empruntés par les individus pour émettre un jugement</w:t>
      </w:r>
      <w:r w:rsidR="00D44106">
        <w:rPr>
          <w:rFonts w:ascii="Times New Roman" w:hAnsi="Times New Roman"/>
          <w:sz w:val="20"/>
          <w:szCs w:val="20"/>
        </w:rPr>
        <w:t xml:space="preserve"> </w:t>
      </w:r>
      <w:r w:rsidRPr="009B2F58">
        <w:rPr>
          <w:rFonts w:ascii="Times New Roman" w:hAnsi="Times New Roman"/>
          <w:sz w:val="20"/>
          <w:szCs w:val="20"/>
        </w:rPr>
        <w:t>;</w:t>
      </w:r>
    </w:p>
    <w:p w14:paraId="3CB3A5A4" w14:textId="77777777" w:rsidR="00845B6C" w:rsidRPr="009B2F58" w:rsidRDefault="009B2F58">
      <w:pPr>
        <w:pStyle w:val="Paragraphedeliste"/>
        <w:numPr>
          <w:ilvl w:val="0"/>
          <w:numId w:val="3"/>
        </w:numPr>
        <w:spacing w:line="240" w:lineRule="auto"/>
        <w:jc w:val="both"/>
        <w:rPr>
          <w:rFonts w:ascii="Times New Roman" w:hAnsi="Times New Roman"/>
          <w:sz w:val="20"/>
          <w:szCs w:val="20"/>
        </w:rPr>
      </w:pPr>
      <w:r w:rsidRPr="009B2F58">
        <w:rPr>
          <w:rFonts w:ascii="Times New Roman" w:hAnsi="Times New Roman"/>
          <w:sz w:val="20"/>
          <w:szCs w:val="20"/>
          <w:u w:val="single"/>
        </w:rPr>
        <w:t>Tout ce qui brille attire :</w:t>
      </w:r>
      <w:r w:rsidRPr="009B2F58">
        <w:rPr>
          <w:rFonts w:ascii="Times New Roman" w:hAnsi="Times New Roman"/>
          <w:sz w:val="20"/>
          <w:szCs w:val="20"/>
        </w:rPr>
        <w:t xml:space="preserve"> les investisseurs privilégient les titres qui font l’actualité : des entreprises largement suivies par les journaux financiers, caractérisées par des volumes anormalement élevés, une progression extrêmement forte sur des horizons temporels variables.</w:t>
      </w:r>
    </w:p>
    <w:p w14:paraId="52E64D7C" w14:textId="0728443A"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Notons que nous avons volontairement fait le choix de laisser de côté deux biais classiquement repérés dans les champs théoriques, à savoir l’influence des connaissances et des croyances en trading et le biais de confirmation et de conservatisme</w:t>
      </w:r>
      <w:r w:rsidR="002713A3">
        <w:rPr>
          <w:rFonts w:ascii="Times New Roman" w:hAnsi="Times New Roman"/>
          <w:sz w:val="20"/>
          <w:szCs w:val="20"/>
        </w:rPr>
        <w:t xml:space="preserve"> en raison de</w:t>
      </w:r>
      <w:r w:rsidRPr="009B2F58">
        <w:rPr>
          <w:rFonts w:ascii="Times New Roman" w:hAnsi="Times New Roman"/>
          <w:sz w:val="20"/>
          <w:szCs w:val="20"/>
        </w:rPr>
        <w:t xml:space="preserve"> la forte porosité avec les autres biais que nous envisage</w:t>
      </w:r>
      <w:r w:rsidR="002713A3">
        <w:rPr>
          <w:rFonts w:ascii="Times New Roman" w:hAnsi="Times New Roman"/>
          <w:sz w:val="20"/>
          <w:szCs w:val="20"/>
        </w:rPr>
        <w:t>ons</w:t>
      </w:r>
      <w:r w:rsidRPr="009B2F58">
        <w:rPr>
          <w:rFonts w:ascii="Times New Roman" w:hAnsi="Times New Roman"/>
          <w:sz w:val="20"/>
          <w:szCs w:val="20"/>
        </w:rPr>
        <w:t>. Par exemple, le biais de conservatisme influera sur la manière avec laquelle les gains et les pertes sont gérés. Dans la même logique, sous certains aspects, l’influence des connaissances peut être fortement corrélée à l’héritage du passé et des heuristiques.</w:t>
      </w:r>
    </w:p>
    <w:p w14:paraId="68375DC5" w14:textId="77777777" w:rsidR="00845B6C" w:rsidRDefault="00845B6C">
      <w:pPr>
        <w:spacing w:line="240" w:lineRule="auto"/>
        <w:ind w:left="709"/>
        <w:jc w:val="both"/>
        <w:rPr>
          <w:sz w:val="24"/>
          <w:szCs w:val="24"/>
          <w:u w:val="single"/>
        </w:rPr>
      </w:pPr>
    </w:p>
    <w:p w14:paraId="2F153299" w14:textId="77777777" w:rsidR="00845B6C" w:rsidRPr="009B2F58" w:rsidRDefault="009B2F58">
      <w:pPr>
        <w:pStyle w:val="Paragraphedeliste"/>
        <w:numPr>
          <w:ilvl w:val="0"/>
          <w:numId w:val="4"/>
        </w:numPr>
        <w:spacing w:line="240" w:lineRule="auto"/>
        <w:jc w:val="both"/>
        <w:rPr>
          <w:rFonts w:ascii="Times New Roman" w:hAnsi="Times New Roman"/>
          <w:b/>
          <w:u w:val="single"/>
        </w:rPr>
      </w:pPr>
      <w:r w:rsidRPr="009B2F58">
        <w:rPr>
          <w:rFonts w:ascii="Times New Roman" w:hAnsi="Times New Roman"/>
          <w:b/>
          <w:u w:val="single"/>
        </w:rPr>
        <w:t>Echantillonnage et méthodologie</w:t>
      </w:r>
    </w:p>
    <w:p w14:paraId="5B42DDDD" w14:textId="77777777" w:rsidR="00845B6C" w:rsidRDefault="00845B6C">
      <w:pPr>
        <w:pStyle w:val="Paragraphedeliste"/>
        <w:spacing w:line="240" w:lineRule="auto"/>
        <w:rPr>
          <w:sz w:val="26"/>
          <w:szCs w:val="26"/>
        </w:rPr>
      </w:pPr>
    </w:p>
    <w:p w14:paraId="2F464FA9" w14:textId="5729527F"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 xml:space="preserve">Sur base de ce qui a été précédemment évoqué et afin d’appréhender les champs émotionnels éventuellement activés par les acteurs en situation de trading, nous analysons les comportements – et les possibles biais associés – d’un échantillon d’étudiants inscrits dans le cursus en Sciences de Gestion de l’Université de Mons (Belgique) </w:t>
      </w:r>
      <w:r w:rsidRPr="009B2F58">
        <w:rPr>
          <w:rFonts w:ascii="Times New Roman" w:hAnsi="Times New Roman"/>
          <w:sz w:val="20"/>
          <w:szCs w:val="20"/>
        </w:rPr>
        <w:lastRenderedPageBreak/>
        <w:t xml:space="preserve">durant une semaine boursière (en continu, du 28 janvier matin au 1er février 2019 fin d’après-midi).  Il s’agissait, en référence à Claudon P. et Weber M. (2009), de </w:t>
      </w:r>
      <w:r w:rsidRPr="009B2F58">
        <w:rPr>
          <w:rFonts w:ascii="Times New Roman" w:hAnsi="Times New Roman"/>
          <w:i/>
          <w:sz w:val="20"/>
          <w:szCs w:val="20"/>
        </w:rPr>
        <w:t>jeter</w:t>
      </w:r>
      <w:r w:rsidRPr="009B2F58">
        <w:rPr>
          <w:rFonts w:ascii="Times New Roman" w:hAnsi="Times New Roman"/>
          <w:sz w:val="20"/>
          <w:szCs w:val="20"/>
        </w:rPr>
        <w:t xml:space="preserve"> les participants dans un bain émotionnel qui aurait pour effet de façonner</w:t>
      </w:r>
      <w:r w:rsidR="006D7144">
        <w:rPr>
          <w:rFonts w:ascii="Times New Roman" w:hAnsi="Times New Roman"/>
          <w:sz w:val="20"/>
          <w:szCs w:val="20"/>
        </w:rPr>
        <w:t xml:space="preserve"> </w:t>
      </w:r>
      <w:r w:rsidRPr="009B2F58">
        <w:rPr>
          <w:rFonts w:ascii="Times New Roman" w:hAnsi="Times New Roman"/>
          <w:sz w:val="20"/>
          <w:szCs w:val="20"/>
        </w:rPr>
        <w:t>ou exacerber certaines émotions et certains biais psychologiques.</w:t>
      </w:r>
    </w:p>
    <w:p w14:paraId="376AE135" w14:textId="3BCA959D" w:rsidR="00845B6C" w:rsidRPr="009B2F58" w:rsidRDefault="009B2F58">
      <w:pPr>
        <w:spacing w:line="240" w:lineRule="auto"/>
        <w:jc w:val="both"/>
        <w:rPr>
          <w:rFonts w:ascii="Times New Roman" w:hAnsi="Times New Roman"/>
          <w:sz w:val="20"/>
          <w:szCs w:val="20"/>
        </w:rPr>
      </w:pPr>
      <w:proofErr w:type="gramStart"/>
      <w:r w:rsidRPr="009B2F58">
        <w:rPr>
          <w:rFonts w:ascii="Times New Roman" w:hAnsi="Times New Roman"/>
          <w:sz w:val="20"/>
          <w:szCs w:val="20"/>
        </w:rPr>
        <w:t>Suite à un</w:t>
      </w:r>
      <w:proofErr w:type="gramEnd"/>
      <w:r w:rsidRPr="009B2F58">
        <w:rPr>
          <w:rFonts w:ascii="Times New Roman" w:hAnsi="Times New Roman"/>
          <w:sz w:val="20"/>
          <w:szCs w:val="20"/>
        </w:rPr>
        <w:t xml:space="preserve"> appel à candidatures, nous avons reçu 15 sollicitations, qui ont toutes été retenues (13 étudiants de troisième année du Bachelier et 2 étudiants de première année du Mastère). Notre échantillon comprend 11 étudiants (73.3%) et 4 étudiantes (26,7%). La répartition sur base du sexe dans la population initiale était de 188 étudiantes (47,77%) et 206 étudiants (52,3%). A noter que cette répartition des candidatures en fonction du genre constitue en soi </w:t>
      </w:r>
      <w:proofErr w:type="gramStart"/>
      <w:r w:rsidRPr="009B2F58">
        <w:rPr>
          <w:rFonts w:ascii="Times New Roman" w:hAnsi="Times New Roman"/>
          <w:sz w:val="20"/>
          <w:szCs w:val="20"/>
        </w:rPr>
        <w:t>une proxy</w:t>
      </w:r>
      <w:proofErr w:type="gramEnd"/>
      <w:r w:rsidRPr="009B2F58">
        <w:rPr>
          <w:rFonts w:ascii="Times New Roman" w:hAnsi="Times New Roman"/>
          <w:sz w:val="20"/>
          <w:szCs w:val="20"/>
        </w:rPr>
        <w:t xml:space="preserve"> d’une propension masculine si pas à prendre des risques, à tout le moins à jouer (Cueva C., </w:t>
      </w:r>
      <w:proofErr w:type="spellStart"/>
      <w:r w:rsidRPr="009B2F58">
        <w:rPr>
          <w:rFonts w:ascii="Times New Roman" w:hAnsi="Times New Roman"/>
          <w:sz w:val="20"/>
          <w:szCs w:val="20"/>
        </w:rPr>
        <w:t>Iturbe-Ormaetxea</w:t>
      </w:r>
      <w:proofErr w:type="spellEnd"/>
      <w:r w:rsidRPr="009B2F58">
        <w:rPr>
          <w:rFonts w:ascii="Times New Roman" w:hAnsi="Times New Roman"/>
          <w:sz w:val="20"/>
          <w:szCs w:val="20"/>
        </w:rPr>
        <w:t xml:space="preserve"> I., Ponti G., </w:t>
      </w:r>
      <w:proofErr w:type="spellStart"/>
      <w:r w:rsidRPr="009B2F58">
        <w:rPr>
          <w:rFonts w:ascii="Times New Roman" w:hAnsi="Times New Roman"/>
          <w:sz w:val="20"/>
          <w:szCs w:val="20"/>
        </w:rPr>
        <w:t>Tomás</w:t>
      </w:r>
      <w:proofErr w:type="spellEnd"/>
      <w:r w:rsidRPr="009B2F58">
        <w:rPr>
          <w:rFonts w:ascii="Times New Roman" w:hAnsi="Times New Roman"/>
          <w:sz w:val="20"/>
          <w:szCs w:val="20"/>
        </w:rPr>
        <w:t xml:space="preserve"> J., 2019). Les étudiants ont été répartis de manière aléatoire en sept couples et un groupe unipersonnel : quatre groupes masculins (C1, C2, C3, C4), deux groupes mixtes (C6, C7), un groupe féminin (C5) et une personne masculine isolée (C8). Il était prévu</w:t>
      </w:r>
      <w:r w:rsidR="00B375D4">
        <w:rPr>
          <w:rFonts w:ascii="Times New Roman" w:hAnsi="Times New Roman"/>
          <w:sz w:val="20"/>
          <w:szCs w:val="20"/>
        </w:rPr>
        <w:t xml:space="preserve"> </w:t>
      </w:r>
      <w:r w:rsidRPr="009B2F58">
        <w:rPr>
          <w:rFonts w:ascii="Times New Roman" w:hAnsi="Times New Roman"/>
          <w:sz w:val="20"/>
          <w:szCs w:val="20"/>
        </w:rPr>
        <w:t>de les rémunérer pour le nombre d’heures prestées. Par rapport à ces choix, trois remarques doivent être formulées. Premièrement, en travaillant au départ d’une cohorte estudiantine, le groupe n’est pas socialisé aux standards des traders. Deuxièmement, s’ils poss</w:t>
      </w:r>
      <w:r w:rsidR="00AA4C2C">
        <w:rPr>
          <w:rFonts w:ascii="Times New Roman" w:hAnsi="Times New Roman"/>
          <w:sz w:val="20"/>
          <w:szCs w:val="20"/>
        </w:rPr>
        <w:t>é</w:t>
      </w:r>
      <w:r w:rsidRPr="009B2F58">
        <w:rPr>
          <w:rFonts w:ascii="Times New Roman" w:hAnsi="Times New Roman"/>
          <w:sz w:val="20"/>
          <w:szCs w:val="20"/>
        </w:rPr>
        <w:t>d</w:t>
      </w:r>
      <w:r w:rsidR="00AA4C2C">
        <w:rPr>
          <w:rFonts w:ascii="Times New Roman" w:hAnsi="Times New Roman"/>
          <w:sz w:val="20"/>
          <w:szCs w:val="20"/>
        </w:rPr>
        <w:t>ai</w:t>
      </w:r>
      <w:r w:rsidRPr="009B2F58">
        <w:rPr>
          <w:rFonts w:ascii="Times New Roman" w:hAnsi="Times New Roman"/>
          <w:sz w:val="20"/>
          <w:szCs w:val="20"/>
        </w:rPr>
        <w:t xml:space="preserve">ent un niveau de connaissance des outils théoriques dans le domaine financier, ils </w:t>
      </w:r>
      <w:r w:rsidR="00F52616">
        <w:rPr>
          <w:rFonts w:ascii="Times New Roman" w:hAnsi="Times New Roman"/>
          <w:sz w:val="20"/>
          <w:szCs w:val="20"/>
        </w:rPr>
        <w:t>étaient</w:t>
      </w:r>
      <w:r w:rsidRPr="009B2F58">
        <w:rPr>
          <w:rFonts w:ascii="Times New Roman" w:hAnsi="Times New Roman"/>
          <w:sz w:val="20"/>
          <w:szCs w:val="20"/>
        </w:rPr>
        <w:t xml:space="preserve"> cependant novices en termes d’expérience pratique de négociations sur les marchés financiers. Troisièmement, en les rémunérant, peut se poser la question de leurs motivations à participer au projet</w:t>
      </w:r>
      <w:r w:rsidR="00C50403">
        <w:rPr>
          <w:rFonts w:ascii="Times New Roman" w:hAnsi="Times New Roman"/>
          <w:sz w:val="20"/>
          <w:szCs w:val="20"/>
        </w:rPr>
        <w:t>.</w:t>
      </w:r>
    </w:p>
    <w:p w14:paraId="1A4E8DCA" w14:textId="28719D9E"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 xml:space="preserve">Les étudiants ont été rassemblés dans la salle des marchés de l’Université de Mons. Ils avaient à disposition en portefeuille virtuel de 100.000 euros initialement constitué de cinq actions reprises dans le CAC40 (Arcelor Mittal, Legrand, Sodexo, Michelin et Bouygues). Les opérations passées ne devaient concerner que des actions de cet indice et se sont effectuées au départ de la plateforme ABC Bourse. Ils étaient libres de modifier à leur guise leur portefeuille initial, aucune consigne ne leur a été donnée quant à la gestion de leurs liquidités, aucune limitation dans le nombre d’opérations passées n’a été fixée, aucun frais de transaction n’a été comptabilisé et aucune gratification n’a été octroyée au(x) propriétaire(s) du portefeuille le plus performant. Par rapport à ce dernier point, il s’agissait d’éviter des comportements contre-nature durant les derniers moments de l’expérience avec un recours à des techniques en décalage avec la réalité comportementale des personnes. </w:t>
      </w:r>
    </w:p>
    <w:p w14:paraId="52A24890" w14:textId="42128B45"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 xml:space="preserve">En amont de l’expérimentation leur ont été envoyées toutes les informations macroéconomiques et celles relatives aux entreprises qui seraient publiquement annoncées durant la semaine. Dans les jours qui ont précédé l’expérience, les marchés ont notamment été influencés par différentes informations de nature </w:t>
      </w:r>
      <w:proofErr w:type="spellStart"/>
      <w:r w:rsidRPr="009B2F58">
        <w:rPr>
          <w:rFonts w:ascii="Times New Roman" w:hAnsi="Times New Roman"/>
          <w:sz w:val="20"/>
          <w:szCs w:val="20"/>
        </w:rPr>
        <w:t>Corporate</w:t>
      </w:r>
      <w:proofErr w:type="spellEnd"/>
      <w:r w:rsidRPr="009B2F58">
        <w:rPr>
          <w:rFonts w:ascii="Times New Roman" w:hAnsi="Times New Roman"/>
          <w:sz w:val="20"/>
          <w:szCs w:val="20"/>
        </w:rPr>
        <w:t xml:space="preserve"> mais également macroéconomiques : des interrogations de plus en plus nombreuses quant à la probabilité de parvenir à un Brexit</w:t>
      </w:r>
      <w:r w:rsidR="005D6B12">
        <w:rPr>
          <w:rFonts w:ascii="Times New Roman" w:hAnsi="Times New Roman"/>
          <w:sz w:val="20"/>
          <w:szCs w:val="20"/>
        </w:rPr>
        <w:t xml:space="preserve"> structuré</w:t>
      </w:r>
      <w:r w:rsidRPr="009B2F58">
        <w:rPr>
          <w:rFonts w:ascii="Times New Roman" w:hAnsi="Times New Roman"/>
          <w:sz w:val="20"/>
          <w:szCs w:val="20"/>
        </w:rPr>
        <w:t xml:space="preserve">, la faiblesse de la demande chinoise engendrant un profit warning d’Apple avec effet ricochet sur ses fournisseurs, l’entrée en vigueur du </w:t>
      </w:r>
      <w:proofErr w:type="spellStart"/>
      <w:r w:rsidRPr="009B2F58">
        <w:rPr>
          <w:rFonts w:ascii="Times New Roman" w:hAnsi="Times New Roman"/>
          <w:sz w:val="20"/>
          <w:szCs w:val="20"/>
        </w:rPr>
        <w:t>shutdown</w:t>
      </w:r>
      <w:proofErr w:type="spellEnd"/>
      <w:r w:rsidRPr="009B2F58">
        <w:rPr>
          <w:rFonts w:ascii="Times New Roman" w:hAnsi="Times New Roman"/>
          <w:sz w:val="20"/>
          <w:szCs w:val="20"/>
        </w:rPr>
        <w:t>, les tensions commerciales entre la Chine et les États-Unis et les anticipations de relèvement des taux d’intérêt par la Réserve Fédérale Américaine. La veille de l’expérience, nous leur avons également fourni la composition initiale de leur portefeuille ainsi que la répartition des couples.</w:t>
      </w:r>
    </w:p>
    <w:p w14:paraId="36C68F69" w14:textId="77777777"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 xml:space="preserve">Au niveau des outils à disposition pour l’émergence des résultats, le matériel pour l’analyse comprend trois parties. Premièrement, les carnets de trading avaient pour vocation de donner des informations quant aux stratégies et techniques retenues, les raisons des mouvements financiers envisagés ainsi que les moments auxquels ceux-ci ont été effectués. Il était également possible aux participants d’indiquer tout élément qui leur semblait pertinent. Deuxièmement, nous avons récolté, par l’intermédiaire d’entretiens semi-directifs structurés autour de grandes problématiques d’analyse, les impressions des étudiants dégagées, couple par couple, au sortir de l’expérience. L’objectif était qu’ils nous expliquent oralement leurs ressentis, la manière avec laquelle ils avaient vécu l’expérience, les stratégies de placements conduites, la gestion des liquidités, les outils mobilisés pour opérer leurs choix, leur </w:t>
      </w:r>
      <w:proofErr w:type="gramStart"/>
      <w:r w:rsidRPr="009B2F58">
        <w:rPr>
          <w:rFonts w:ascii="Times New Roman" w:hAnsi="Times New Roman"/>
          <w:sz w:val="20"/>
          <w:szCs w:val="20"/>
        </w:rPr>
        <w:t>timing</w:t>
      </w:r>
      <w:proofErr w:type="gramEnd"/>
      <w:r w:rsidRPr="009B2F58">
        <w:rPr>
          <w:rFonts w:ascii="Times New Roman" w:hAnsi="Times New Roman"/>
          <w:sz w:val="20"/>
          <w:szCs w:val="20"/>
        </w:rPr>
        <w:t xml:space="preserve"> de positionnement durant la journée (et durant la semaine écoulée) ainsi que les émotions qu’ils avaient éventuellement ressenties. Troisièmement, le lendemain de l’expérience, nous leur avons adressé un questionnaire électronique de manière individualisée, en partant du principe que, peut-être, dans la mesure où ils travaillaient en règle générale de manière couplée, ils ne s’étaient pas adressés à nous, lors des entretiens groupés, de manière totalement libérée. La focalisation s’est alors principalement faite sur leur ressenti personnel et leurs émotions. En nous focalisant sur une approche à orientation qualitative, nous voulions, premièrement, nous éloigner des ancrages méthodologiques quantitatifs largement répandus en finance comportementale. Deuxièmement, l’analyse du comportement des petits porteurs sous une perspective proche de la psychologie expérimentale nous semblait coller à un cadre d’analyse à vocation qualitative.</w:t>
      </w:r>
    </w:p>
    <w:p w14:paraId="7A78737A" w14:textId="3D659A18"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 xml:space="preserve">L’objectif, sur base de la triangulation de données </w:t>
      </w:r>
      <w:r w:rsidR="00CA226A">
        <w:rPr>
          <w:rFonts w:ascii="Times New Roman" w:hAnsi="Times New Roman"/>
          <w:sz w:val="20"/>
          <w:szCs w:val="20"/>
        </w:rPr>
        <w:t>accumulées</w:t>
      </w:r>
      <w:r w:rsidRPr="009B2F58">
        <w:rPr>
          <w:rFonts w:ascii="Times New Roman" w:hAnsi="Times New Roman"/>
          <w:sz w:val="20"/>
          <w:szCs w:val="20"/>
        </w:rPr>
        <w:t>, a consisté en la réalisation d’un parallèle entre les biais comportementaux théoriquement envisageables et ceux</w:t>
      </w:r>
      <w:r w:rsidR="009C5D7A">
        <w:rPr>
          <w:rFonts w:ascii="Times New Roman" w:hAnsi="Times New Roman"/>
          <w:sz w:val="20"/>
          <w:szCs w:val="20"/>
        </w:rPr>
        <w:t xml:space="preserve"> </w:t>
      </w:r>
      <w:r w:rsidRPr="009B2F58">
        <w:rPr>
          <w:rFonts w:ascii="Times New Roman" w:hAnsi="Times New Roman"/>
          <w:sz w:val="20"/>
          <w:szCs w:val="20"/>
        </w:rPr>
        <w:t xml:space="preserve">observés lors de l’expérimentation. Nous travaillerons donc sur un faisceau d’éléments qui tendraient à prouver que des biais comportementaux seraient bel et bien apparus et que ceux-ci ont été plus ou moins fortement conditionnés </w:t>
      </w:r>
      <w:r w:rsidR="000D615C">
        <w:rPr>
          <w:rFonts w:ascii="Times New Roman" w:hAnsi="Times New Roman"/>
          <w:sz w:val="20"/>
          <w:szCs w:val="20"/>
        </w:rPr>
        <w:t>à</w:t>
      </w:r>
      <w:r w:rsidRPr="009B2F58">
        <w:rPr>
          <w:rFonts w:ascii="Times New Roman" w:hAnsi="Times New Roman"/>
          <w:sz w:val="20"/>
          <w:szCs w:val="20"/>
        </w:rPr>
        <w:t xml:space="preserve"> des flux émotionnels. Nous avons fait en sorte de travailler au plus près des propos émis de manière verbale et écrite pour éviter que nos conclusions ne constituent qu’un ressenti des auteurs émanant d’impressions recueillies. Nous pensons que le nombre important de données en notre possession réduit le risque de commentaires qui ne correspondraient au ressenti </w:t>
      </w:r>
      <w:r w:rsidRPr="009B2F58">
        <w:rPr>
          <w:rFonts w:ascii="Times New Roman" w:hAnsi="Times New Roman"/>
          <w:sz w:val="20"/>
          <w:szCs w:val="20"/>
        </w:rPr>
        <w:lastRenderedPageBreak/>
        <w:t xml:space="preserve">réel. En effet, à partir du moment où ils s’adressent à des personnes qui sont censées, dans le cadre de leur parcours universitaire, les évaluer, cela pourrait conduire à une présentation des éléments qui seraient susceptibles de rencontrer nos attentes (une sorte de biais dans les biais), même si nous n’en avions établi aucune au préalable. On pourrait ainsi nous objecter que, connaissant les biais auxquels ils allaient être sujets, ils ont peut-être sur (ou </w:t>
      </w:r>
      <w:proofErr w:type="gramStart"/>
      <w:r w:rsidRPr="009B2F58">
        <w:rPr>
          <w:rFonts w:ascii="Times New Roman" w:hAnsi="Times New Roman"/>
          <w:sz w:val="20"/>
          <w:szCs w:val="20"/>
        </w:rPr>
        <w:t>sous)-</w:t>
      </w:r>
      <w:proofErr w:type="gramEnd"/>
      <w:r w:rsidRPr="009B2F58">
        <w:rPr>
          <w:rFonts w:ascii="Times New Roman" w:hAnsi="Times New Roman"/>
          <w:sz w:val="20"/>
          <w:szCs w:val="20"/>
        </w:rPr>
        <w:t>joué certaines postures. A cela, nous répondons qu’il est peu envisageable de travestir une réalité comportementale sur l’horizon temporel retenu (et ce d’autant plus que des référents verbaux et écrits étaient censés consolider ce que nous observions). Ce sont donc des faisceaux d’éléments et leur caractère congruent qui nous ont permis de dresser les analyses présentées ci-dessous.</w:t>
      </w:r>
    </w:p>
    <w:p w14:paraId="79F30255" w14:textId="3B3E1938"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 xml:space="preserve">Pour chaque biais théoriquement envisageable, nous proposons </w:t>
      </w:r>
      <w:proofErr w:type="gramStart"/>
      <w:r w:rsidRPr="009B2F58">
        <w:rPr>
          <w:rFonts w:ascii="Times New Roman" w:hAnsi="Times New Roman"/>
          <w:sz w:val="20"/>
          <w:szCs w:val="20"/>
        </w:rPr>
        <w:t>différentes proxys</w:t>
      </w:r>
      <w:proofErr w:type="gramEnd"/>
      <w:r w:rsidR="00430AC5">
        <w:rPr>
          <w:rFonts w:ascii="Times New Roman" w:hAnsi="Times New Roman"/>
          <w:sz w:val="20"/>
          <w:szCs w:val="20"/>
        </w:rPr>
        <w:t> :</w:t>
      </w:r>
    </w:p>
    <w:p w14:paraId="7AAD702F" w14:textId="77777777" w:rsidR="00845B6C" w:rsidRPr="009B2F58" w:rsidRDefault="009B2F58">
      <w:pPr>
        <w:pStyle w:val="Paragraphedeliste"/>
        <w:numPr>
          <w:ilvl w:val="0"/>
          <w:numId w:val="5"/>
        </w:numPr>
        <w:spacing w:line="240" w:lineRule="auto"/>
        <w:jc w:val="both"/>
        <w:rPr>
          <w:rFonts w:ascii="Times New Roman" w:hAnsi="Times New Roman"/>
          <w:sz w:val="20"/>
          <w:szCs w:val="20"/>
        </w:rPr>
      </w:pPr>
      <w:proofErr w:type="gramStart"/>
      <w:r w:rsidRPr="009B2F58">
        <w:rPr>
          <w:rFonts w:ascii="Times New Roman" w:hAnsi="Times New Roman"/>
          <w:sz w:val="20"/>
          <w:szCs w:val="20"/>
        </w:rPr>
        <w:t>pour</w:t>
      </w:r>
      <w:proofErr w:type="gramEnd"/>
      <w:r w:rsidRPr="009B2F58">
        <w:rPr>
          <w:rFonts w:ascii="Times New Roman" w:hAnsi="Times New Roman"/>
          <w:sz w:val="20"/>
          <w:szCs w:val="20"/>
        </w:rPr>
        <w:t xml:space="preserve"> l’excès de confiance et le biais d’optimisme, nous nous référons au nombre de transactions opérées par les couples ainsi que leur évolution temporelle. Ainsi, nous reprenons exercice de classification des différentes possibilités de trading de Kabbaj T. (2015). Sur base des horizons temporels de placements, trois postures théoriques dans les activités de trading : </w:t>
      </w:r>
    </w:p>
    <w:p w14:paraId="6AB5BE45" w14:textId="77777777" w:rsidR="00845B6C" w:rsidRPr="009B2F58" w:rsidRDefault="009B2F58">
      <w:pPr>
        <w:pStyle w:val="Paragraphedeliste"/>
        <w:numPr>
          <w:ilvl w:val="1"/>
          <w:numId w:val="5"/>
        </w:numPr>
        <w:spacing w:line="240" w:lineRule="auto"/>
        <w:jc w:val="both"/>
        <w:rPr>
          <w:rFonts w:ascii="Times New Roman" w:hAnsi="Times New Roman"/>
          <w:sz w:val="20"/>
          <w:szCs w:val="20"/>
        </w:rPr>
      </w:pPr>
      <w:proofErr w:type="gramStart"/>
      <w:r w:rsidRPr="009B2F58">
        <w:rPr>
          <w:rFonts w:ascii="Times New Roman" w:hAnsi="Times New Roman"/>
          <w:sz w:val="20"/>
          <w:szCs w:val="20"/>
        </w:rPr>
        <w:t>le</w:t>
      </w:r>
      <w:proofErr w:type="gramEnd"/>
      <w:r w:rsidRPr="009B2F58">
        <w:rPr>
          <w:rFonts w:ascii="Times New Roman" w:hAnsi="Times New Roman"/>
          <w:sz w:val="20"/>
          <w:szCs w:val="20"/>
        </w:rPr>
        <w:t xml:space="preserve"> swing trading : l’investissement est effectué sur une période temporelle relativement longue (de 5 jours à un an). A ce niveau, l’analyse fondamentale constituerait une donnée centrale pour le processus de prise de décision, les techniques mobilisées pour l’évaluation des produits potentiellement achetés vont revêtir un caractère pluriel et étoffé. </w:t>
      </w:r>
    </w:p>
    <w:p w14:paraId="59515F5E" w14:textId="77777777" w:rsidR="00845B6C" w:rsidRPr="009B2F58" w:rsidRDefault="009B2F58">
      <w:pPr>
        <w:pStyle w:val="Paragraphedeliste"/>
        <w:numPr>
          <w:ilvl w:val="1"/>
          <w:numId w:val="5"/>
        </w:numPr>
        <w:spacing w:line="240" w:lineRule="auto"/>
        <w:jc w:val="both"/>
        <w:rPr>
          <w:rFonts w:ascii="Times New Roman" w:hAnsi="Times New Roman"/>
          <w:sz w:val="20"/>
          <w:szCs w:val="20"/>
        </w:rPr>
      </w:pPr>
      <w:proofErr w:type="gramStart"/>
      <w:r w:rsidRPr="009B2F58">
        <w:rPr>
          <w:rFonts w:ascii="Times New Roman" w:hAnsi="Times New Roman"/>
          <w:sz w:val="20"/>
          <w:szCs w:val="20"/>
        </w:rPr>
        <w:t>le</w:t>
      </w:r>
      <w:proofErr w:type="gramEnd"/>
      <w:r w:rsidRPr="009B2F58">
        <w:rPr>
          <w:rFonts w:ascii="Times New Roman" w:hAnsi="Times New Roman"/>
          <w:sz w:val="20"/>
          <w:szCs w:val="20"/>
        </w:rPr>
        <w:t xml:space="preserve"> </w:t>
      </w:r>
      <w:proofErr w:type="spellStart"/>
      <w:r w:rsidRPr="009B2F58">
        <w:rPr>
          <w:rFonts w:ascii="Times New Roman" w:hAnsi="Times New Roman"/>
          <w:sz w:val="20"/>
          <w:szCs w:val="20"/>
        </w:rPr>
        <w:t>day</w:t>
      </w:r>
      <w:proofErr w:type="spellEnd"/>
      <w:r w:rsidRPr="009B2F58">
        <w:rPr>
          <w:rFonts w:ascii="Times New Roman" w:hAnsi="Times New Roman"/>
          <w:sz w:val="20"/>
          <w:szCs w:val="20"/>
        </w:rPr>
        <w:t xml:space="preserve"> trading : la perspective temporelle du placement varie entre 15 minutes à une journée au maximum. Dans cette logique, on peut penser que les intervenants vont se concentrer sur des outils dérivés de l’analyse technique qu’ils maîtrisent parce qu’ils ont l’habitude d’y recourir ;</w:t>
      </w:r>
    </w:p>
    <w:p w14:paraId="21C46E1F" w14:textId="393D6253" w:rsidR="00845B6C" w:rsidRPr="009B2F58" w:rsidRDefault="009B2F58">
      <w:pPr>
        <w:pStyle w:val="Paragraphedeliste"/>
        <w:numPr>
          <w:ilvl w:val="1"/>
          <w:numId w:val="5"/>
        </w:numPr>
        <w:spacing w:line="240" w:lineRule="auto"/>
        <w:jc w:val="both"/>
        <w:rPr>
          <w:rFonts w:ascii="Times New Roman" w:hAnsi="Times New Roman"/>
          <w:sz w:val="20"/>
          <w:szCs w:val="20"/>
        </w:rPr>
      </w:pPr>
      <w:proofErr w:type="gramStart"/>
      <w:r w:rsidRPr="009B2F58">
        <w:rPr>
          <w:rFonts w:ascii="Times New Roman" w:hAnsi="Times New Roman"/>
          <w:sz w:val="20"/>
          <w:szCs w:val="20"/>
        </w:rPr>
        <w:t>le</w:t>
      </w:r>
      <w:proofErr w:type="gramEnd"/>
      <w:r w:rsidRPr="009B2F58">
        <w:rPr>
          <w:rFonts w:ascii="Times New Roman" w:hAnsi="Times New Roman"/>
          <w:sz w:val="20"/>
          <w:szCs w:val="20"/>
        </w:rPr>
        <w:t xml:space="preserve"> </w:t>
      </w:r>
      <w:proofErr w:type="spellStart"/>
      <w:r w:rsidRPr="009B2F58">
        <w:rPr>
          <w:rFonts w:ascii="Times New Roman" w:hAnsi="Times New Roman"/>
          <w:sz w:val="20"/>
          <w:szCs w:val="20"/>
        </w:rPr>
        <w:t>scalping</w:t>
      </w:r>
      <w:proofErr w:type="spellEnd"/>
      <w:r w:rsidRPr="009B2F58">
        <w:rPr>
          <w:rFonts w:ascii="Times New Roman" w:hAnsi="Times New Roman"/>
          <w:sz w:val="20"/>
          <w:szCs w:val="20"/>
        </w:rPr>
        <w:t xml:space="preserve"> trading : l’investisseur possède un horizon temporel de placement inférieur à 15 minutes, avec un nombre important de petits mouvements. En fonction de la durée des placements, on peut penser que les comportements instinctifs basés sur l’intuition et le ressenti posséderont une place prépondérante. Ce type de trading peut conduire</w:t>
      </w:r>
      <w:r w:rsidR="003A6E88">
        <w:rPr>
          <w:rFonts w:ascii="Times New Roman" w:hAnsi="Times New Roman"/>
          <w:sz w:val="20"/>
          <w:szCs w:val="20"/>
        </w:rPr>
        <w:t xml:space="preserve"> </w:t>
      </w:r>
      <w:r w:rsidRPr="009B2F58">
        <w:rPr>
          <w:rFonts w:ascii="Times New Roman" w:hAnsi="Times New Roman"/>
          <w:sz w:val="20"/>
          <w:szCs w:val="20"/>
        </w:rPr>
        <w:t>à une suractivité du fait de la connotation apparemment ludique sous-jacente. Le risque est donc une perte de contrôle émotionnelle et une frénésie poussant à multiplier les transactions.</w:t>
      </w:r>
    </w:p>
    <w:p w14:paraId="07C14DFE" w14:textId="77777777" w:rsidR="00845B6C" w:rsidRPr="009B2F58" w:rsidRDefault="009B2F58">
      <w:pPr>
        <w:spacing w:line="240" w:lineRule="auto"/>
        <w:ind w:left="1416"/>
        <w:jc w:val="both"/>
        <w:rPr>
          <w:rFonts w:ascii="Times New Roman" w:hAnsi="Times New Roman"/>
          <w:sz w:val="20"/>
          <w:szCs w:val="20"/>
        </w:rPr>
      </w:pPr>
      <w:r w:rsidRPr="009B2F58">
        <w:rPr>
          <w:rFonts w:ascii="Times New Roman" w:hAnsi="Times New Roman"/>
          <w:sz w:val="20"/>
          <w:szCs w:val="20"/>
        </w:rPr>
        <w:t xml:space="preserve">Sur base de cette typologie, nous approcherons l’excès de confiance sur base de la proportion de mouvements assimilables à du </w:t>
      </w:r>
      <w:proofErr w:type="spellStart"/>
      <w:r w:rsidRPr="009B2F58">
        <w:rPr>
          <w:rFonts w:ascii="Times New Roman" w:hAnsi="Times New Roman"/>
          <w:sz w:val="20"/>
          <w:szCs w:val="20"/>
        </w:rPr>
        <w:t>scalping</w:t>
      </w:r>
      <w:proofErr w:type="spellEnd"/>
      <w:r w:rsidRPr="009B2F58">
        <w:rPr>
          <w:rFonts w:ascii="Times New Roman" w:hAnsi="Times New Roman"/>
          <w:sz w:val="20"/>
          <w:szCs w:val="20"/>
        </w:rPr>
        <w:t xml:space="preserve"> trading.</w:t>
      </w:r>
    </w:p>
    <w:p w14:paraId="1DD9BBA1" w14:textId="77777777" w:rsidR="00845B6C" w:rsidRPr="009B2F58" w:rsidRDefault="009B2F58">
      <w:pPr>
        <w:pStyle w:val="Paragraphedeliste"/>
        <w:numPr>
          <w:ilvl w:val="0"/>
          <w:numId w:val="5"/>
        </w:numPr>
        <w:spacing w:line="240" w:lineRule="auto"/>
        <w:jc w:val="both"/>
        <w:rPr>
          <w:rFonts w:ascii="Times New Roman" w:hAnsi="Times New Roman"/>
          <w:sz w:val="20"/>
          <w:szCs w:val="20"/>
        </w:rPr>
      </w:pPr>
      <w:proofErr w:type="gramStart"/>
      <w:r w:rsidRPr="009B2F58">
        <w:rPr>
          <w:rFonts w:ascii="Times New Roman" w:hAnsi="Times New Roman"/>
          <w:sz w:val="20"/>
          <w:szCs w:val="20"/>
        </w:rPr>
        <w:t>pour</w:t>
      </w:r>
      <w:proofErr w:type="gramEnd"/>
      <w:r w:rsidRPr="009B2F58">
        <w:rPr>
          <w:rFonts w:ascii="Times New Roman" w:hAnsi="Times New Roman"/>
          <w:sz w:val="20"/>
          <w:szCs w:val="20"/>
        </w:rPr>
        <w:t xml:space="preserve"> le biais de disponibilité, nous analysons l’éventuel recours par les étudiants au cadre informationnel ainsi que les outils principalement retenus pour le processus décisionnel ;</w:t>
      </w:r>
    </w:p>
    <w:p w14:paraId="44FFC55D" w14:textId="77777777" w:rsidR="00845B6C" w:rsidRPr="009B2F58" w:rsidRDefault="009B2F58">
      <w:pPr>
        <w:pStyle w:val="Paragraphedeliste"/>
        <w:numPr>
          <w:ilvl w:val="0"/>
          <w:numId w:val="5"/>
        </w:numPr>
        <w:spacing w:line="240" w:lineRule="auto"/>
        <w:jc w:val="both"/>
        <w:rPr>
          <w:rFonts w:ascii="Times New Roman" w:hAnsi="Times New Roman"/>
          <w:sz w:val="20"/>
          <w:szCs w:val="20"/>
        </w:rPr>
      </w:pPr>
      <w:proofErr w:type="gramStart"/>
      <w:r w:rsidRPr="009B2F58">
        <w:rPr>
          <w:rFonts w:ascii="Times New Roman" w:hAnsi="Times New Roman"/>
          <w:sz w:val="20"/>
          <w:szCs w:val="20"/>
        </w:rPr>
        <w:t>pour</w:t>
      </w:r>
      <w:proofErr w:type="gramEnd"/>
      <w:r w:rsidRPr="009B2F58">
        <w:rPr>
          <w:rFonts w:ascii="Times New Roman" w:hAnsi="Times New Roman"/>
          <w:sz w:val="20"/>
          <w:szCs w:val="20"/>
        </w:rPr>
        <w:t xml:space="preserve"> l’influence des humeurs et des émotions, nous retenons les différents témoignages des étudiants ressortant du questionnaire individualisé envoyé le lendemain de l’expérience ;</w:t>
      </w:r>
    </w:p>
    <w:p w14:paraId="23434B44" w14:textId="77777777" w:rsidR="00845B6C" w:rsidRPr="009B2F58" w:rsidRDefault="009B2F58">
      <w:pPr>
        <w:pStyle w:val="Paragraphedeliste"/>
        <w:numPr>
          <w:ilvl w:val="0"/>
          <w:numId w:val="5"/>
        </w:numPr>
        <w:spacing w:line="240" w:lineRule="auto"/>
        <w:jc w:val="both"/>
        <w:rPr>
          <w:rFonts w:ascii="Times New Roman" w:hAnsi="Times New Roman"/>
          <w:sz w:val="20"/>
          <w:szCs w:val="20"/>
        </w:rPr>
      </w:pPr>
      <w:proofErr w:type="gramStart"/>
      <w:r w:rsidRPr="009B2F58">
        <w:rPr>
          <w:rFonts w:ascii="Times New Roman" w:hAnsi="Times New Roman"/>
          <w:sz w:val="20"/>
          <w:szCs w:val="20"/>
        </w:rPr>
        <w:t>pour</w:t>
      </w:r>
      <w:proofErr w:type="gramEnd"/>
      <w:r w:rsidRPr="009B2F58">
        <w:rPr>
          <w:rFonts w:ascii="Times New Roman" w:hAnsi="Times New Roman"/>
          <w:sz w:val="20"/>
          <w:szCs w:val="20"/>
        </w:rPr>
        <w:t xml:space="preserve"> l’importance du contexte, les heuristiques et l’héritage du passé, nous prenons en considération le nombre d’entreprises qui ont été détenues – qu’elle que soit la durée de cette détention – en portefeuille ;</w:t>
      </w:r>
    </w:p>
    <w:p w14:paraId="67AB384E" w14:textId="2431BA99" w:rsidR="00845B6C" w:rsidRPr="009B2F58" w:rsidRDefault="009B2F58">
      <w:pPr>
        <w:pStyle w:val="Paragraphedeliste"/>
        <w:numPr>
          <w:ilvl w:val="0"/>
          <w:numId w:val="5"/>
        </w:numPr>
        <w:spacing w:line="240" w:lineRule="auto"/>
        <w:jc w:val="both"/>
        <w:rPr>
          <w:rFonts w:ascii="Times New Roman" w:hAnsi="Times New Roman"/>
          <w:sz w:val="20"/>
          <w:szCs w:val="20"/>
        </w:rPr>
      </w:pPr>
      <w:proofErr w:type="gramStart"/>
      <w:r w:rsidRPr="009B2F58">
        <w:rPr>
          <w:rFonts w:ascii="Times New Roman" w:hAnsi="Times New Roman"/>
          <w:sz w:val="20"/>
          <w:szCs w:val="20"/>
        </w:rPr>
        <w:t>pour</w:t>
      </w:r>
      <w:proofErr w:type="gramEnd"/>
      <w:r w:rsidRPr="009B2F58">
        <w:rPr>
          <w:rFonts w:ascii="Times New Roman" w:hAnsi="Times New Roman"/>
          <w:sz w:val="20"/>
          <w:szCs w:val="20"/>
        </w:rPr>
        <w:t xml:space="preserve"> tout ce qui brille attire, nous prenons en considération les caractéristiques des principales entreprises détenues en portefeuille durant l’expérimentation. Nous avons également comparé les volumes échangés pour les principales entreprises détenues en portefeuille avec les volumes échangés dans les deux mois qui ont précédé l’expérience ;</w:t>
      </w:r>
    </w:p>
    <w:p w14:paraId="2E9C08EA" w14:textId="77777777" w:rsidR="00845B6C" w:rsidRPr="009B2F58" w:rsidRDefault="009B2F58">
      <w:pPr>
        <w:pStyle w:val="Paragraphedeliste"/>
        <w:numPr>
          <w:ilvl w:val="0"/>
          <w:numId w:val="5"/>
        </w:numPr>
        <w:spacing w:line="240" w:lineRule="auto"/>
        <w:jc w:val="both"/>
        <w:rPr>
          <w:rFonts w:ascii="Times New Roman" w:hAnsi="Times New Roman"/>
          <w:sz w:val="20"/>
          <w:szCs w:val="20"/>
        </w:rPr>
      </w:pPr>
      <w:proofErr w:type="gramStart"/>
      <w:r w:rsidRPr="009B2F58">
        <w:rPr>
          <w:rFonts w:ascii="Times New Roman" w:hAnsi="Times New Roman"/>
          <w:sz w:val="20"/>
          <w:szCs w:val="20"/>
        </w:rPr>
        <w:t>pour</w:t>
      </w:r>
      <w:proofErr w:type="gramEnd"/>
      <w:r w:rsidRPr="009B2F58">
        <w:rPr>
          <w:rFonts w:ascii="Times New Roman" w:hAnsi="Times New Roman"/>
          <w:sz w:val="20"/>
          <w:szCs w:val="20"/>
        </w:rPr>
        <w:t xml:space="preserve"> la gestion des gains et des pertes, nous reprenons les différents éléments éventuellement mis en évidence par les participants sur cette problématique, que ce soit oralement ou par écrit.</w:t>
      </w:r>
    </w:p>
    <w:p w14:paraId="330EC729" w14:textId="77777777" w:rsidR="00845B6C" w:rsidRDefault="009B2F58">
      <w:pPr>
        <w:pStyle w:val="Paragraphedeliste"/>
        <w:spacing w:line="240" w:lineRule="auto"/>
        <w:ind w:left="1428"/>
        <w:jc w:val="both"/>
        <w:rPr>
          <w:sz w:val="24"/>
          <w:szCs w:val="24"/>
        </w:rPr>
      </w:pPr>
      <w:r>
        <w:rPr>
          <w:sz w:val="24"/>
          <w:szCs w:val="24"/>
        </w:rPr>
        <w:t xml:space="preserve"> </w:t>
      </w:r>
    </w:p>
    <w:p w14:paraId="58FB34AD" w14:textId="77777777" w:rsidR="00845B6C" w:rsidRPr="009B2F58" w:rsidRDefault="009B2F58">
      <w:pPr>
        <w:pStyle w:val="Paragraphedeliste"/>
        <w:numPr>
          <w:ilvl w:val="0"/>
          <w:numId w:val="4"/>
        </w:numPr>
        <w:spacing w:line="240" w:lineRule="auto"/>
        <w:jc w:val="both"/>
        <w:rPr>
          <w:rFonts w:ascii="Times New Roman" w:hAnsi="Times New Roman"/>
          <w:b/>
          <w:u w:val="single"/>
        </w:rPr>
      </w:pPr>
      <w:r w:rsidRPr="009B2F58">
        <w:rPr>
          <w:rFonts w:ascii="Times New Roman" w:hAnsi="Times New Roman"/>
          <w:b/>
          <w:u w:val="single"/>
        </w:rPr>
        <w:t>Résultats et analyses</w:t>
      </w:r>
    </w:p>
    <w:p w14:paraId="3820C74F" w14:textId="77777777" w:rsidR="00845B6C" w:rsidRDefault="00845B6C">
      <w:pPr>
        <w:pStyle w:val="Paragraphedeliste"/>
        <w:spacing w:line="240" w:lineRule="auto"/>
        <w:jc w:val="both"/>
        <w:rPr>
          <w:sz w:val="26"/>
          <w:szCs w:val="26"/>
        </w:rPr>
      </w:pPr>
    </w:p>
    <w:p w14:paraId="5C8B0235" w14:textId="0C087B77"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 xml:space="preserve">Avant de passer aux résultats directement liés aux biais comportementaux, deux remarques préalables doivent être énoncées. Premièrement, alors que l’objectif ne consistait pas en une maximisation de la valeur du portefeuille </w:t>
      </w:r>
      <w:r w:rsidRPr="009B2F58">
        <w:rPr>
          <w:rFonts w:ascii="Times New Roman" w:hAnsi="Times New Roman"/>
          <w:sz w:val="20"/>
          <w:szCs w:val="20"/>
        </w:rPr>
        <w:lastRenderedPageBreak/>
        <w:t>financier, tous les couples, de manière plus ou moins forte et à des degrés divers, ont essayé de réaliser des profits (ce n’est pas l’objet direct de cette étude, mais la composante genre n’est pas anodine pour comprendre les motivations à réaliser des gains). Selon nous, comme les transactions s’opéraient dans une configuration boursière très favorable (le CAC40 s’est accru de 1,89% sur la semaine de l’expérience, ce qui pouvait être considéré comme une reprise technique après des semaines de relative déprime boursière</w:t>
      </w:r>
      <w:r w:rsidRPr="009B2F58">
        <w:rPr>
          <w:rStyle w:val="Appelnotedebasdep"/>
          <w:rFonts w:ascii="Times New Roman" w:hAnsi="Times New Roman"/>
          <w:sz w:val="20"/>
          <w:szCs w:val="20"/>
        </w:rPr>
        <w:footnoteReference w:id="1"/>
      </w:r>
      <w:r w:rsidRPr="009B2F58">
        <w:rPr>
          <w:rFonts w:ascii="Times New Roman" w:hAnsi="Times New Roman"/>
          <w:sz w:val="20"/>
          <w:szCs w:val="20"/>
        </w:rPr>
        <w:t>), cela n’a favorisé l’apparition de phénomènes d’euphorie et une multiplication des transactions, à tout le moins pour les couples désireux de prendre des risques. Ceux-ci ont bien évidemment été confortés dans leurs orientations par l’absence de comptabilisation des coûts de transaction. Deuxièmement, dans l’esprit des étudiants, le long terme était assimilable à quelques jours, le moyen terme, à quelques heures et le (très) court terme, à quelques minutes. Ce n’étaient peut-être pas les connotations que nous désirions donner à l’expérience mais elles n’étaient cependant pas illogiques.</w:t>
      </w:r>
    </w:p>
    <w:p w14:paraId="5BE0834B" w14:textId="5B51D1E3" w:rsidR="00845B6C" w:rsidRPr="009B2F58" w:rsidRDefault="009B2F58">
      <w:pPr>
        <w:pStyle w:val="Paragraphedeliste"/>
        <w:numPr>
          <w:ilvl w:val="0"/>
          <w:numId w:val="6"/>
        </w:numPr>
        <w:spacing w:line="240" w:lineRule="auto"/>
        <w:jc w:val="both"/>
        <w:rPr>
          <w:rFonts w:ascii="Times New Roman" w:hAnsi="Times New Roman"/>
          <w:sz w:val="20"/>
          <w:szCs w:val="20"/>
        </w:rPr>
      </w:pPr>
      <w:r w:rsidRPr="009B2F58">
        <w:rPr>
          <w:rFonts w:ascii="Times New Roman" w:hAnsi="Times New Roman"/>
          <w:sz w:val="20"/>
          <w:szCs w:val="20"/>
        </w:rPr>
        <w:t>L’excès de confiance et le biais d’optimisme ont été approchés</w:t>
      </w:r>
      <w:r w:rsidR="005C23FF">
        <w:rPr>
          <w:rFonts w:ascii="Times New Roman" w:hAnsi="Times New Roman"/>
          <w:sz w:val="20"/>
          <w:szCs w:val="20"/>
        </w:rPr>
        <w:t xml:space="preserve"> </w:t>
      </w:r>
      <w:r w:rsidRPr="009B2F58">
        <w:rPr>
          <w:rFonts w:ascii="Times New Roman" w:hAnsi="Times New Roman"/>
          <w:sz w:val="20"/>
          <w:szCs w:val="20"/>
        </w:rPr>
        <w:t xml:space="preserve">par le nombre d’opérations passées par les différents couples et correspondant à du </w:t>
      </w:r>
      <w:proofErr w:type="spellStart"/>
      <w:r w:rsidRPr="009B2F58">
        <w:rPr>
          <w:rFonts w:ascii="Times New Roman" w:hAnsi="Times New Roman"/>
          <w:sz w:val="20"/>
          <w:szCs w:val="20"/>
        </w:rPr>
        <w:t>scalping</w:t>
      </w:r>
      <w:proofErr w:type="spellEnd"/>
      <w:r w:rsidRPr="009B2F58">
        <w:rPr>
          <w:rFonts w:ascii="Times New Roman" w:hAnsi="Times New Roman"/>
          <w:sz w:val="20"/>
          <w:szCs w:val="20"/>
        </w:rPr>
        <w:t xml:space="preserve"> trading (voir tableau 1 en annexe). Nous constatons que, si tous les groupes sans exception, se sont </w:t>
      </w:r>
      <w:r w:rsidRPr="009B2F58">
        <w:rPr>
          <w:rFonts w:ascii="Times New Roman" w:hAnsi="Times New Roman"/>
          <w:i/>
          <w:sz w:val="20"/>
          <w:szCs w:val="20"/>
        </w:rPr>
        <w:t>frottés</w:t>
      </w:r>
      <w:r w:rsidRPr="009B2F58">
        <w:rPr>
          <w:rFonts w:ascii="Times New Roman" w:hAnsi="Times New Roman"/>
          <w:sz w:val="20"/>
          <w:szCs w:val="20"/>
        </w:rPr>
        <w:t xml:space="preserve"> au </w:t>
      </w:r>
      <w:proofErr w:type="spellStart"/>
      <w:r w:rsidRPr="009B2F58">
        <w:rPr>
          <w:rFonts w:ascii="Times New Roman" w:hAnsi="Times New Roman"/>
          <w:sz w:val="20"/>
          <w:szCs w:val="20"/>
        </w:rPr>
        <w:t>scalping</w:t>
      </w:r>
      <w:proofErr w:type="spellEnd"/>
      <w:r w:rsidRPr="009B2F58">
        <w:rPr>
          <w:rFonts w:ascii="Times New Roman" w:hAnsi="Times New Roman"/>
          <w:sz w:val="20"/>
          <w:szCs w:val="20"/>
        </w:rPr>
        <w:t xml:space="preserve"> trading, le recours à celui-ci s’est fortement concentré sur certains groupes (deux groupes masculins, C2 et C3 ainsi qu’un couple mixte, C6, voire le couple mixte C7, même si pour ce dernier ce type de trading a été uniquement concentré sur la dernière journée) et principalement durant les deux dernières journées de l’expérience. En considérant les groupes et la manière avec laquelle ceux-ci étaient constitués, nos résultats confortent l’idée d’une propension à prendre </w:t>
      </w:r>
      <w:proofErr w:type="gramStart"/>
      <w:r w:rsidRPr="009B2F58">
        <w:rPr>
          <w:rFonts w:ascii="Times New Roman" w:hAnsi="Times New Roman"/>
          <w:sz w:val="20"/>
          <w:szCs w:val="20"/>
        </w:rPr>
        <w:t>du risque particulièrement logée</w:t>
      </w:r>
      <w:proofErr w:type="gramEnd"/>
      <w:r w:rsidRPr="009B2F58">
        <w:rPr>
          <w:rFonts w:ascii="Times New Roman" w:hAnsi="Times New Roman"/>
          <w:sz w:val="20"/>
          <w:szCs w:val="20"/>
        </w:rPr>
        <w:t xml:space="preserve"> dans la gente masculine (Barber B., </w:t>
      </w:r>
      <w:proofErr w:type="spellStart"/>
      <w:r w:rsidRPr="009B2F58">
        <w:rPr>
          <w:rFonts w:ascii="Times New Roman" w:hAnsi="Times New Roman"/>
          <w:sz w:val="20"/>
          <w:szCs w:val="20"/>
        </w:rPr>
        <w:t>Odean</w:t>
      </w:r>
      <w:proofErr w:type="spellEnd"/>
      <w:r w:rsidRPr="009B2F58">
        <w:rPr>
          <w:rFonts w:ascii="Times New Roman" w:hAnsi="Times New Roman"/>
          <w:sz w:val="20"/>
          <w:szCs w:val="20"/>
        </w:rPr>
        <w:t xml:space="preserve"> T., 2001). Pour le couple mixte C6, la personnalité masculine encline à prendre du risque aurait</w:t>
      </w:r>
      <w:r w:rsidR="0031377F">
        <w:rPr>
          <w:rFonts w:ascii="Times New Roman" w:hAnsi="Times New Roman"/>
          <w:sz w:val="20"/>
          <w:szCs w:val="20"/>
        </w:rPr>
        <w:t xml:space="preserve"> </w:t>
      </w:r>
      <w:r w:rsidRPr="009B2F58">
        <w:rPr>
          <w:rFonts w:ascii="Times New Roman" w:hAnsi="Times New Roman"/>
          <w:sz w:val="20"/>
          <w:szCs w:val="20"/>
        </w:rPr>
        <w:t>pris le pas sur la composante féminine à profil plus prudentiel, «</w:t>
      </w:r>
      <w:r w:rsidRPr="009B2F58">
        <w:rPr>
          <w:rFonts w:ascii="Times New Roman" w:hAnsi="Times New Roman"/>
          <w:i/>
          <w:sz w:val="20"/>
          <w:szCs w:val="20"/>
        </w:rPr>
        <w:t xml:space="preserve"> J’aurais personnellement préféré travailler seule. J’ai en principe facile à m’adapter aux personnes, mais j’ai eu du mal à me faire à mon binôme. Plusieurs décisions irrationnelles ont été prise</w:t>
      </w:r>
      <w:r w:rsidR="00A1509A">
        <w:rPr>
          <w:rFonts w:ascii="Times New Roman" w:hAnsi="Times New Roman"/>
          <w:i/>
          <w:sz w:val="20"/>
          <w:szCs w:val="20"/>
        </w:rPr>
        <w:t>s</w:t>
      </w:r>
      <w:r w:rsidRPr="009B2F58">
        <w:rPr>
          <w:rFonts w:ascii="Times New Roman" w:hAnsi="Times New Roman"/>
          <w:i/>
          <w:sz w:val="20"/>
          <w:szCs w:val="20"/>
        </w:rPr>
        <w:t xml:space="preserve"> sans que je ne sois d’accord pour autant. Tous les deux sans expérience dans la bourse, aucune stratégie n’avait été mise en place avant le début de l’expérience. Le but pour moi n’était pas de faire de l’argent, mais d’abord de me familiariser avec le monde boursier et ensuite tenter de comprendre comme celui-ci fonctionnait. Mon binôme n’avait pas - je pense - la même vision de l’expérience</w:t>
      </w:r>
      <w:r w:rsidRPr="009B2F58">
        <w:rPr>
          <w:rFonts w:ascii="Times New Roman" w:hAnsi="Times New Roman"/>
          <w:sz w:val="20"/>
          <w:szCs w:val="20"/>
        </w:rPr>
        <w:t xml:space="preserve"> ». S.L., étudiante du groupe mixte C6. Au sein du groupe C7, c’est une volonté de coller aux niveaux de performance des autres groupes qui les aurait prédestinés à prendre plus de risque le dernier jour ; ce choix se serait largement opéré contre-nature « </w:t>
      </w:r>
      <w:r w:rsidRPr="009B2F58">
        <w:rPr>
          <w:rFonts w:ascii="Times New Roman" w:hAnsi="Times New Roman"/>
          <w:i/>
          <w:sz w:val="20"/>
          <w:szCs w:val="20"/>
        </w:rPr>
        <w:t>Nous avons donc "suivi" les autres, c'est</w:t>
      </w:r>
      <w:r w:rsidR="00243D6B">
        <w:rPr>
          <w:rFonts w:ascii="Times New Roman" w:hAnsi="Times New Roman"/>
          <w:i/>
          <w:sz w:val="20"/>
          <w:szCs w:val="20"/>
        </w:rPr>
        <w:t>-</w:t>
      </w:r>
      <w:r w:rsidRPr="009B2F58">
        <w:rPr>
          <w:rFonts w:ascii="Times New Roman" w:hAnsi="Times New Roman"/>
          <w:i/>
          <w:sz w:val="20"/>
          <w:szCs w:val="20"/>
        </w:rPr>
        <w:t>à</w:t>
      </w:r>
      <w:r w:rsidR="00243D6B">
        <w:rPr>
          <w:rFonts w:ascii="Times New Roman" w:hAnsi="Times New Roman"/>
          <w:i/>
          <w:sz w:val="20"/>
          <w:szCs w:val="20"/>
        </w:rPr>
        <w:t>-</w:t>
      </w:r>
      <w:r w:rsidRPr="009B2F58">
        <w:rPr>
          <w:rFonts w:ascii="Times New Roman" w:hAnsi="Times New Roman"/>
          <w:i/>
          <w:sz w:val="20"/>
          <w:szCs w:val="20"/>
        </w:rPr>
        <w:t>dire que nous avons vendu les 4,5 titres de notre portefeuille initial et joué de gros montants sur du très court terme, stratégie qui ne me plaisait pas du tout car elle n'avait aucune base rationnelle et dépendait du "flair" que l'on avait sur un titre et cela ne réussissait pas</w:t>
      </w:r>
      <w:r w:rsidRPr="009B2F58">
        <w:rPr>
          <w:rFonts w:ascii="Times New Roman" w:hAnsi="Times New Roman"/>
          <w:sz w:val="20"/>
          <w:szCs w:val="20"/>
        </w:rPr>
        <w:t xml:space="preserve"> », S.B., étudiant, groupe mixte C7. A noter que c’est la personne isolée (C8) et le couple féminin (C5) qui ont eu le moins recours à ce type de trading.  Les opérations de ce type se sont principalement concentrées sur la fin de la semaine et on peut donc avancer que les étudiants, en fonction de l’absence de contradiction par les marchés des orientations risquées retenues, ont multiplié les opérations pour coller à la configuration des marchés. </w:t>
      </w:r>
    </w:p>
    <w:p w14:paraId="4F19BE7E" w14:textId="5B3001BD" w:rsidR="00845B6C" w:rsidRDefault="009B2F58">
      <w:pPr>
        <w:pStyle w:val="Paragraphedeliste"/>
        <w:spacing w:line="240" w:lineRule="auto"/>
        <w:jc w:val="both"/>
        <w:rPr>
          <w:sz w:val="24"/>
          <w:szCs w:val="24"/>
        </w:rPr>
      </w:pPr>
      <w:r w:rsidRPr="009B2F58">
        <w:rPr>
          <w:rFonts w:ascii="Times New Roman" w:hAnsi="Times New Roman"/>
          <w:sz w:val="20"/>
          <w:szCs w:val="20"/>
        </w:rPr>
        <w:t>Pour corroborer cette conclusion, le tableau suivant permet de mettre en évidence la forte correspondance entre la configuration des marchés et les niveaux des transactions opérées. L’accroissement sensible de celles-ci au fur et à mesure du temps pourrait s’expliquer, selon nous, par un marché relativement déprimé le premier jour (poussant à l’attentisme) et par une maîtrise accrue du fonctionnement des dynamiques boursières au fur et à mesure de la semaine (engendrant une confiance en soi plus forte).</w:t>
      </w:r>
    </w:p>
    <w:p w14:paraId="29ADD758" w14:textId="77777777" w:rsidR="00845B6C" w:rsidRDefault="00845B6C">
      <w:pPr>
        <w:pStyle w:val="Paragraphedeliste"/>
        <w:spacing w:line="240" w:lineRule="auto"/>
        <w:jc w:val="both"/>
        <w:rPr>
          <w:sz w:val="24"/>
          <w:szCs w:val="24"/>
        </w:rPr>
      </w:pPr>
    </w:p>
    <w:p w14:paraId="0D2B1035" w14:textId="77777777" w:rsidR="00845B6C" w:rsidRPr="009B2F58" w:rsidRDefault="009B2F58">
      <w:pPr>
        <w:pStyle w:val="Paragraphedeliste"/>
        <w:spacing w:line="240" w:lineRule="auto"/>
        <w:jc w:val="both"/>
        <w:rPr>
          <w:rFonts w:ascii="Times New Roman" w:hAnsi="Times New Roman"/>
          <w:b/>
          <w:u w:val="single"/>
        </w:rPr>
      </w:pPr>
      <w:r w:rsidRPr="009B2F58">
        <w:rPr>
          <w:rFonts w:ascii="Times New Roman" w:hAnsi="Times New Roman"/>
          <w:b/>
          <w:u w:val="single"/>
        </w:rPr>
        <w:t>Tableau 1 : nombre de transactions opérées par groupe et par jour</w:t>
      </w:r>
    </w:p>
    <w:tbl>
      <w:tblPr>
        <w:tblW w:w="9351" w:type="dxa"/>
        <w:tblCellMar>
          <w:left w:w="10" w:type="dxa"/>
          <w:right w:w="10" w:type="dxa"/>
        </w:tblCellMar>
        <w:tblLook w:val="04A0" w:firstRow="1" w:lastRow="0" w:firstColumn="1" w:lastColumn="0" w:noHBand="0" w:noVBand="1"/>
      </w:tblPr>
      <w:tblGrid>
        <w:gridCol w:w="2053"/>
        <w:gridCol w:w="1214"/>
        <w:gridCol w:w="954"/>
        <w:gridCol w:w="1083"/>
        <w:gridCol w:w="1083"/>
        <w:gridCol w:w="1083"/>
        <w:gridCol w:w="1881"/>
      </w:tblGrid>
      <w:tr w:rsidR="00845B6C" w14:paraId="4E67B834" w14:textId="77777777">
        <w:trPr>
          <w:trHeight w:val="300"/>
        </w:trPr>
        <w:tc>
          <w:tcPr>
            <w:tcW w:w="205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48196E6F" w14:textId="77777777" w:rsidR="00845B6C" w:rsidRPr="009B2F58" w:rsidRDefault="009B2F58">
            <w:pPr>
              <w:spacing w:after="0" w:line="240" w:lineRule="auto"/>
              <w:rPr>
                <w:rFonts w:ascii="Times New Roman" w:hAnsi="Times New Roman"/>
                <w:sz w:val="20"/>
                <w:szCs w:val="20"/>
              </w:rPr>
            </w:pPr>
            <w:r w:rsidRPr="009B2F58">
              <w:rPr>
                <w:rFonts w:ascii="Times New Roman" w:hAnsi="Times New Roman"/>
                <w:bCs/>
                <w:sz w:val="20"/>
                <w:szCs w:val="20"/>
              </w:rPr>
              <w:t>Nombre de transactions</w:t>
            </w:r>
          </w:p>
        </w:tc>
        <w:tc>
          <w:tcPr>
            <w:tcW w:w="121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12AE8679"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bCs/>
                <w:sz w:val="20"/>
                <w:szCs w:val="20"/>
              </w:rPr>
              <w:t>J1</w:t>
            </w:r>
          </w:p>
        </w:tc>
        <w:tc>
          <w:tcPr>
            <w:tcW w:w="95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4C6983E2"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bCs/>
                <w:sz w:val="20"/>
                <w:szCs w:val="20"/>
              </w:rPr>
              <w:t>J2</w:t>
            </w:r>
          </w:p>
        </w:tc>
        <w:tc>
          <w:tcPr>
            <w:tcW w:w="108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06F54A39"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bCs/>
                <w:sz w:val="20"/>
                <w:szCs w:val="20"/>
              </w:rPr>
              <w:t>J3</w:t>
            </w:r>
          </w:p>
        </w:tc>
        <w:tc>
          <w:tcPr>
            <w:tcW w:w="108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0B2D2D60"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bCs/>
                <w:sz w:val="20"/>
                <w:szCs w:val="20"/>
              </w:rPr>
              <w:t>J4</w:t>
            </w:r>
          </w:p>
        </w:tc>
        <w:tc>
          <w:tcPr>
            <w:tcW w:w="108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5F3265FC"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bCs/>
                <w:sz w:val="20"/>
                <w:szCs w:val="20"/>
              </w:rPr>
              <w:t>J5</w:t>
            </w:r>
          </w:p>
        </w:tc>
        <w:tc>
          <w:tcPr>
            <w:tcW w:w="1881"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2B7F5189" w14:textId="77777777" w:rsidR="00845B6C" w:rsidRPr="009B2F58" w:rsidRDefault="009B2F58">
            <w:pPr>
              <w:spacing w:after="0" w:line="240" w:lineRule="auto"/>
              <w:rPr>
                <w:rFonts w:ascii="Times New Roman" w:hAnsi="Times New Roman"/>
                <w:sz w:val="20"/>
                <w:szCs w:val="20"/>
              </w:rPr>
            </w:pPr>
            <w:r w:rsidRPr="009B2F58">
              <w:rPr>
                <w:rFonts w:ascii="Times New Roman" w:hAnsi="Times New Roman"/>
                <w:bCs/>
                <w:sz w:val="20"/>
                <w:szCs w:val="20"/>
              </w:rPr>
              <w:t>Total des transactions</w:t>
            </w:r>
          </w:p>
        </w:tc>
      </w:tr>
      <w:tr w:rsidR="00845B6C" w14:paraId="0B5D1FF3" w14:textId="77777777">
        <w:trPr>
          <w:trHeight w:val="300"/>
        </w:trPr>
        <w:tc>
          <w:tcPr>
            <w:tcW w:w="2053"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7C128F02" w14:textId="77777777" w:rsidR="00845B6C" w:rsidRPr="009B2F58" w:rsidRDefault="009B2F58">
            <w:pPr>
              <w:spacing w:after="0" w:line="240" w:lineRule="auto"/>
              <w:rPr>
                <w:rFonts w:ascii="Times New Roman" w:hAnsi="Times New Roman"/>
                <w:sz w:val="20"/>
                <w:szCs w:val="20"/>
              </w:rPr>
            </w:pPr>
            <w:r w:rsidRPr="009B2F58">
              <w:rPr>
                <w:rFonts w:ascii="Times New Roman" w:hAnsi="Times New Roman"/>
                <w:bCs/>
                <w:sz w:val="20"/>
                <w:szCs w:val="20"/>
              </w:rPr>
              <w:t>C1</w:t>
            </w:r>
          </w:p>
        </w:tc>
        <w:tc>
          <w:tcPr>
            <w:tcW w:w="121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6F05440C"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34</w:t>
            </w:r>
          </w:p>
        </w:tc>
        <w:tc>
          <w:tcPr>
            <w:tcW w:w="95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3810782C"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58</w:t>
            </w:r>
          </w:p>
        </w:tc>
        <w:tc>
          <w:tcPr>
            <w:tcW w:w="1083"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6ADEF48B"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56</w:t>
            </w:r>
          </w:p>
        </w:tc>
        <w:tc>
          <w:tcPr>
            <w:tcW w:w="1083"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06585A0E"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46</w:t>
            </w:r>
          </w:p>
        </w:tc>
        <w:tc>
          <w:tcPr>
            <w:tcW w:w="1083"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068391BF"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35</w:t>
            </w:r>
          </w:p>
        </w:tc>
        <w:tc>
          <w:tcPr>
            <w:tcW w:w="1881"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007B0AE2"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229</w:t>
            </w:r>
          </w:p>
        </w:tc>
      </w:tr>
      <w:tr w:rsidR="00845B6C" w14:paraId="3471957C" w14:textId="77777777">
        <w:trPr>
          <w:trHeight w:val="300"/>
        </w:trPr>
        <w:tc>
          <w:tcPr>
            <w:tcW w:w="205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0E9F6853" w14:textId="77777777" w:rsidR="00845B6C" w:rsidRPr="009B2F58" w:rsidRDefault="009B2F58">
            <w:pPr>
              <w:spacing w:after="0" w:line="240" w:lineRule="auto"/>
              <w:rPr>
                <w:rFonts w:ascii="Times New Roman" w:hAnsi="Times New Roman"/>
                <w:sz w:val="20"/>
                <w:szCs w:val="20"/>
              </w:rPr>
            </w:pPr>
            <w:r w:rsidRPr="009B2F58">
              <w:rPr>
                <w:rFonts w:ascii="Times New Roman" w:hAnsi="Times New Roman"/>
                <w:bCs/>
                <w:sz w:val="20"/>
                <w:szCs w:val="20"/>
              </w:rPr>
              <w:t>C2</w:t>
            </w:r>
          </w:p>
        </w:tc>
        <w:tc>
          <w:tcPr>
            <w:tcW w:w="121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1471FC3A"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17</w:t>
            </w:r>
          </w:p>
        </w:tc>
        <w:tc>
          <w:tcPr>
            <w:tcW w:w="95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73E60483"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46</w:t>
            </w:r>
          </w:p>
        </w:tc>
        <w:tc>
          <w:tcPr>
            <w:tcW w:w="108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5A480A11"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54</w:t>
            </w:r>
          </w:p>
        </w:tc>
        <w:tc>
          <w:tcPr>
            <w:tcW w:w="108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18B702C6"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73</w:t>
            </w:r>
          </w:p>
        </w:tc>
        <w:tc>
          <w:tcPr>
            <w:tcW w:w="108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3FF21C2E"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49</w:t>
            </w:r>
          </w:p>
        </w:tc>
        <w:tc>
          <w:tcPr>
            <w:tcW w:w="1881"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462FD7AB"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239</w:t>
            </w:r>
          </w:p>
        </w:tc>
      </w:tr>
      <w:tr w:rsidR="00845B6C" w14:paraId="72185603" w14:textId="77777777">
        <w:trPr>
          <w:trHeight w:val="300"/>
        </w:trPr>
        <w:tc>
          <w:tcPr>
            <w:tcW w:w="2053"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04809223" w14:textId="77777777" w:rsidR="00845B6C" w:rsidRPr="009B2F58" w:rsidRDefault="009B2F58">
            <w:pPr>
              <w:spacing w:after="0" w:line="240" w:lineRule="auto"/>
              <w:rPr>
                <w:rFonts w:ascii="Times New Roman" w:hAnsi="Times New Roman"/>
                <w:sz w:val="20"/>
                <w:szCs w:val="20"/>
              </w:rPr>
            </w:pPr>
            <w:r w:rsidRPr="009B2F58">
              <w:rPr>
                <w:rFonts w:ascii="Times New Roman" w:hAnsi="Times New Roman"/>
                <w:bCs/>
                <w:sz w:val="20"/>
                <w:szCs w:val="20"/>
              </w:rPr>
              <w:t>C3</w:t>
            </w:r>
          </w:p>
        </w:tc>
        <w:tc>
          <w:tcPr>
            <w:tcW w:w="121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53730542"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6</w:t>
            </w:r>
          </w:p>
        </w:tc>
        <w:tc>
          <w:tcPr>
            <w:tcW w:w="95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7E9D85D2"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35</w:t>
            </w:r>
          </w:p>
        </w:tc>
        <w:tc>
          <w:tcPr>
            <w:tcW w:w="1083"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7C23C91D"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37</w:t>
            </w:r>
          </w:p>
        </w:tc>
        <w:tc>
          <w:tcPr>
            <w:tcW w:w="1083"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03E7593F"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35</w:t>
            </w:r>
          </w:p>
        </w:tc>
        <w:tc>
          <w:tcPr>
            <w:tcW w:w="1083"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5D57752A"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58</w:t>
            </w:r>
          </w:p>
        </w:tc>
        <w:tc>
          <w:tcPr>
            <w:tcW w:w="1881"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7F36BDB2"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171</w:t>
            </w:r>
          </w:p>
        </w:tc>
      </w:tr>
      <w:tr w:rsidR="00845B6C" w14:paraId="6AD84DB6" w14:textId="77777777">
        <w:trPr>
          <w:trHeight w:val="300"/>
        </w:trPr>
        <w:tc>
          <w:tcPr>
            <w:tcW w:w="205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2AA8B723" w14:textId="77777777" w:rsidR="00845B6C" w:rsidRPr="009B2F58" w:rsidRDefault="009B2F58">
            <w:pPr>
              <w:spacing w:after="0" w:line="240" w:lineRule="auto"/>
              <w:rPr>
                <w:rFonts w:ascii="Times New Roman" w:hAnsi="Times New Roman"/>
                <w:sz w:val="20"/>
                <w:szCs w:val="20"/>
              </w:rPr>
            </w:pPr>
            <w:r w:rsidRPr="009B2F58">
              <w:rPr>
                <w:rFonts w:ascii="Times New Roman" w:hAnsi="Times New Roman"/>
                <w:bCs/>
                <w:sz w:val="20"/>
                <w:szCs w:val="20"/>
              </w:rPr>
              <w:t>C4</w:t>
            </w:r>
          </w:p>
        </w:tc>
        <w:tc>
          <w:tcPr>
            <w:tcW w:w="121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258691E8"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21</w:t>
            </w:r>
          </w:p>
        </w:tc>
        <w:tc>
          <w:tcPr>
            <w:tcW w:w="95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3698431B"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28</w:t>
            </w:r>
          </w:p>
        </w:tc>
        <w:tc>
          <w:tcPr>
            <w:tcW w:w="108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0A5323C6"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19</w:t>
            </w:r>
          </w:p>
        </w:tc>
        <w:tc>
          <w:tcPr>
            <w:tcW w:w="108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329028EA"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16</w:t>
            </w:r>
          </w:p>
        </w:tc>
        <w:tc>
          <w:tcPr>
            <w:tcW w:w="108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5F7E6582"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30</w:t>
            </w:r>
          </w:p>
        </w:tc>
        <w:tc>
          <w:tcPr>
            <w:tcW w:w="1881"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0F091787"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114</w:t>
            </w:r>
          </w:p>
        </w:tc>
      </w:tr>
      <w:tr w:rsidR="00845B6C" w14:paraId="235FFD00" w14:textId="77777777">
        <w:trPr>
          <w:trHeight w:val="300"/>
        </w:trPr>
        <w:tc>
          <w:tcPr>
            <w:tcW w:w="2053"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072A3DC0" w14:textId="77777777" w:rsidR="00845B6C" w:rsidRPr="009B2F58" w:rsidRDefault="009B2F58">
            <w:pPr>
              <w:spacing w:after="0" w:line="240" w:lineRule="auto"/>
              <w:rPr>
                <w:rFonts w:ascii="Times New Roman" w:hAnsi="Times New Roman"/>
                <w:sz w:val="20"/>
                <w:szCs w:val="20"/>
              </w:rPr>
            </w:pPr>
            <w:r w:rsidRPr="009B2F58">
              <w:rPr>
                <w:rFonts w:ascii="Times New Roman" w:hAnsi="Times New Roman"/>
                <w:bCs/>
                <w:sz w:val="20"/>
                <w:szCs w:val="20"/>
              </w:rPr>
              <w:t>C5</w:t>
            </w:r>
          </w:p>
        </w:tc>
        <w:tc>
          <w:tcPr>
            <w:tcW w:w="121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7A8FA153"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11</w:t>
            </w:r>
          </w:p>
        </w:tc>
        <w:tc>
          <w:tcPr>
            <w:tcW w:w="95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732CDE4B"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18</w:t>
            </w:r>
          </w:p>
        </w:tc>
        <w:tc>
          <w:tcPr>
            <w:tcW w:w="1083"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1B58C7E1"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13</w:t>
            </w:r>
          </w:p>
        </w:tc>
        <w:tc>
          <w:tcPr>
            <w:tcW w:w="1083"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37F8B41E"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21</w:t>
            </w:r>
          </w:p>
        </w:tc>
        <w:tc>
          <w:tcPr>
            <w:tcW w:w="1083"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5B22B146"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6</w:t>
            </w:r>
          </w:p>
        </w:tc>
        <w:tc>
          <w:tcPr>
            <w:tcW w:w="1881"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5CF7A41E"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69</w:t>
            </w:r>
          </w:p>
        </w:tc>
      </w:tr>
      <w:tr w:rsidR="00845B6C" w14:paraId="7491E97D" w14:textId="77777777">
        <w:trPr>
          <w:trHeight w:val="300"/>
        </w:trPr>
        <w:tc>
          <w:tcPr>
            <w:tcW w:w="205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3479A445" w14:textId="77777777" w:rsidR="00845B6C" w:rsidRPr="009B2F58" w:rsidRDefault="009B2F58">
            <w:pPr>
              <w:spacing w:after="0" w:line="240" w:lineRule="auto"/>
              <w:rPr>
                <w:rFonts w:ascii="Times New Roman" w:hAnsi="Times New Roman"/>
                <w:sz w:val="20"/>
                <w:szCs w:val="20"/>
              </w:rPr>
            </w:pPr>
            <w:r w:rsidRPr="009B2F58">
              <w:rPr>
                <w:rFonts w:ascii="Times New Roman" w:hAnsi="Times New Roman"/>
                <w:bCs/>
                <w:sz w:val="20"/>
                <w:szCs w:val="20"/>
              </w:rPr>
              <w:t>C6</w:t>
            </w:r>
          </w:p>
        </w:tc>
        <w:tc>
          <w:tcPr>
            <w:tcW w:w="121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399FB88B"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38</w:t>
            </w:r>
          </w:p>
        </w:tc>
        <w:tc>
          <w:tcPr>
            <w:tcW w:w="95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3F777F4B"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32</w:t>
            </w:r>
          </w:p>
        </w:tc>
        <w:tc>
          <w:tcPr>
            <w:tcW w:w="108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665B2F12"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44</w:t>
            </w:r>
          </w:p>
        </w:tc>
        <w:tc>
          <w:tcPr>
            <w:tcW w:w="108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5329A2AD"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27</w:t>
            </w:r>
          </w:p>
        </w:tc>
        <w:tc>
          <w:tcPr>
            <w:tcW w:w="108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7F529837"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32</w:t>
            </w:r>
          </w:p>
        </w:tc>
        <w:tc>
          <w:tcPr>
            <w:tcW w:w="1881"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1EA6803A"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173</w:t>
            </w:r>
          </w:p>
        </w:tc>
      </w:tr>
      <w:tr w:rsidR="00845B6C" w14:paraId="0743BF01" w14:textId="77777777">
        <w:trPr>
          <w:trHeight w:val="300"/>
        </w:trPr>
        <w:tc>
          <w:tcPr>
            <w:tcW w:w="2053"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1CB75800" w14:textId="77777777" w:rsidR="00845B6C" w:rsidRPr="009B2F58" w:rsidRDefault="009B2F58">
            <w:pPr>
              <w:spacing w:after="0" w:line="240" w:lineRule="auto"/>
              <w:rPr>
                <w:rFonts w:ascii="Times New Roman" w:hAnsi="Times New Roman"/>
                <w:sz w:val="20"/>
                <w:szCs w:val="20"/>
              </w:rPr>
            </w:pPr>
            <w:r w:rsidRPr="009B2F58">
              <w:rPr>
                <w:rFonts w:ascii="Times New Roman" w:hAnsi="Times New Roman"/>
                <w:bCs/>
                <w:sz w:val="20"/>
                <w:szCs w:val="20"/>
              </w:rPr>
              <w:t>C7</w:t>
            </w:r>
          </w:p>
        </w:tc>
        <w:tc>
          <w:tcPr>
            <w:tcW w:w="121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40B7A794"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20</w:t>
            </w:r>
          </w:p>
        </w:tc>
        <w:tc>
          <w:tcPr>
            <w:tcW w:w="95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60A4BFB7"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25</w:t>
            </w:r>
          </w:p>
        </w:tc>
        <w:tc>
          <w:tcPr>
            <w:tcW w:w="1083"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2B5BBF5A"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29</w:t>
            </w:r>
          </w:p>
        </w:tc>
        <w:tc>
          <w:tcPr>
            <w:tcW w:w="1083"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79C89A70"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26</w:t>
            </w:r>
          </w:p>
        </w:tc>
        <w:tc>
          <w:tcPr>
            <w:tcW w:w="1083"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1FD9A41D"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29</w:t>
            </w:r>
          </w:p>
        </w:tc>
        <w:tc>
          <w:tcPr>
            <w:tcW w:w="1881"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7B79B5E3"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129</w:t>
            </w:r>
          </w:p>
        </w:tc>
      </w:tr>
      <w:tr w:rsidR="00845B6C" w14:paraId="39B8E9CF" w14:textId="77777777">
        <w:trPr>
          <w:trHeight w:val="300"/>
        </w:trPr>
        <w:tc>
          <w:tcPr>
            <w:tcW w:w="205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4D032E74" w14:textId="77777777" w:rsidR="00845B6C" w:rsidRPr="009B2F58" w:rsidRDefault="009B2F58">
            <w:pPr>
              <w:spacing w:after="0" w:line="240" w:lineRule="auto"/>
              <w:rPr>
                <w:rFonts w:ascii="Times New Roman" w:hAnsi="Times New Roman"/>
                <w:sz w:val="20"/>
                <w:szCs w:val="20"/>
              </w:rPr>
            </w:pPr>
            <w:r w:rsidRPr="009B2F58">
              <w:rPr>
                <w:rFonts w:ascii="Times New Roman" w:hAnsi="Times New Roman"/>
                <w:bCs/>
                <w:sz w:val="20"/>
                <w:szCs w:val="20"/>
              </w:rPr>
              <w:lastRenderedPageBreak/>
              <w:t>C8</w:t>
            </w:r>
          </w:p>
        </w:tc>
        <w:tc>
          <w:tcPr>
            <w:tcW w:w="121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0E19EE9C"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18</w:t>
            </w:r>
          </w:p>
        </w:tc>
        <w:tc>
          <w:tcPr>
            <w:tcW w:w="95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13E3A1AE"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32</w:t>
            </w:r>
          </w:p>
        </w:tc>
        <w:tc>
          <w:tcPr>
            <w:tcW w:w="108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1EBE3CDF"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32</w:t>
            </w:r>
          </w:p>
        </w:tc>
        <w:tc>
          <w:tcPr>
            <w:tcW w:w="108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0331F462"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16</w:t>
            </w:r>
          </w:p>
        </w:tc>
        <w:tc>
          <w:tcPr>
            <w:tcW w:w="108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2E78FE03"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17</w:t>
            </w:r>
          </w:p>
        </w:tc>
        <w:tc>
          <w:tcPr>
            <w:tcW w:w="1881"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72B58B96"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115</w:t>
            </w:r>
          </w:p>
        </w:tc>
      </w:tr>
      <w:tr w:rsidR="00845B6C" w14:paraId="3757C70B" w14:textId="77777777">
        <w:trPr>
          <w:trHeight w:val="300"/>
        </w:trPr>
        <w:tc>
          <w:tcPr>
            <w:tcW w:w="2053"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05EE8ED5" w14:textId="77777777" w:rsidR="00845B6C" w:rsidRPr="009B2F58" w:rsidRDefault="009B2F58">
            <w:pPr>
              <w:spacing w:after="0" w:line="240" w:lineRule="auto"/>
              <w:rPr>
                <w:rFonts w:ascii="Times New Roman" w:hAnsi="Times New Roman"/>
                <w:sz w:val="20"/>
                <w:szCs w:val="20"/>
              </w:rPr>
            </w:pPr>
            <w:r w:rsidRPr="009B2F58">
              <w:rPr>
                <w:rFonts w:ascii="Times New Roman" w:hAnsi="Times New Roman"/>
                <w:bCs/>
                <w:sz w:val="20"/>
                <w:szCs w:val="20"/>
              </w:rPr>
              <w:t>Total des transactions</w:t>
            </w:r>
          </w:p>
        </w:tc>
        <w:tc>
          <w:tcPr>
            <w:tcW w:w="121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2BEA32AF"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165</w:t>
            </w:r>
          </w:p>
        </w:tc>
        <w:tc>
          <w:tcPr>
            <w:tcW w:w="95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52A72AFB"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274</w:t>
            </w:r>
          </w:p>
        </w:tc>
        <w:tc>
          <w:tcPr>
            <w:tcW w:w="1083"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7228BCFE"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284</w:t>
            </w:r>
          </w:p>
        </w:tc>
        <w:tc>
          <w:tcPr>
            <w:tcW w:w="1083"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1FE74600"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260</w:t>
            </w:r>
          </w:p>
        </w:tc>
        <w:tc>
          <w:tcPr>
            <w:tcW w:w="1083"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06752CDE"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256</w:t>
            </w:r>
          </w:p>
        </w:tc>
        <w:tc>
          <w:tcPr>
            <w:tcW w:w="1881"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58470355"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1239</w:t>
            </w:r>
          </w:p>
        </w:tc>
      </w:tr>
      <w:tr w:rsidR="00845B6C" w14:paraId="0E61ACD0" w14:textId="77777777">
        <w:trPr>
          <w:trHeight w:val="300"/>
        </w:trPr>
        <w:tc>
          <w:tcPr>
            <w:tcW w:w="205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3D7BD1CE" w14:textId="77777777" w:rsidR="00845B6C" w:rsidRPr="009B2F58" w:rsidRDefault="009B2F58">
            <w:pPr>
              <w:spacing w:after="0" w:line="240" w:lineRule="auto"/>
              <w:rPr>
                <w:rFonts w:ascii="Times New Roman" w:hAnsi="Times New Roman"/>
                <w:sz w:val="20"/>
                <w:szCs w:val="20"/>
              </w:rPr>
            </w:pPr>
            <w:r w:rsidRPr="009B2F58">
              <w:rPr>
                <w:rFonts w:ascii="Times New Roman" w:hAnsi="Times New Roman"/>
                <w:bCs/>
                <w:sz w:val="20"/>
                <w:szCs w:val="20"/>
              </w:rPr>
              <w:t>Moyenne</w:t>
            </w:r>
          </w:p>
        </w:tc>
        <w:tc>
          <w:tcPr>
            <w:tcW w:w="121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522C9963"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20,625</w:t>
            </w:r>
          </w:p>
        </w:tc>
        <w:tc>
          <w:tcPr>
            <w:tcW w:w="95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140544BB"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34,25</w:t>
            </w:r>
          </w:p>
        </w:tc>
        <w:tc>
          <w:tcPr>
            <w:tcW w:w="108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292A84A4"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35,5</w:t>
            </w:r>
          </w:p>
        </w:tc>
        <w:tc>
          <w:tcPr>
            <w:tcW w:w="108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5F2F3EB9"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32,5</w:t>
            </w:r>
          </w:p>
        </w:tc>
        <w:tc>
          <w:tcPr>
            <w:tcW w:w="108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3286336C"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32</w:t>
            </w:r>
          </w:p>
        </w:tc>
        <w:tc>
          <w:tcPr>
            <w:tcW w:w="1881"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616F8582"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154,875</w:t>
            </w:r>
          </w:p>
        </w:tc>
      </w:tr>
      <w:tr w:rsidR="00845B6C" w14:paraId="392456EC" w14:textId="77777777">
        <w:trPr>
          <w:trHeight w:val="300"/>
        </w:trPr>
        <w:tc>
          <w:tcPr>
            <w:tcW w:w="2053"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542F6035" w14:textId="77777777" w:rsidR="00845B6C" w:rsidRPr="009B2F58" w:rsidRDefault="009B2F58">
            <w:pPr>
              <w:spacing w:after="0" w:line="240" w:lineRule="auto"/>
              <w:rPr>
                <w:rFonts w:ascii="Times New Roman" w:hAnsi="Times New Roman"/>
                <w:sz w:val="20"/>
                <w:szCs w:val="20"/>
              </w:rPr>
            </w:pPr>
            <w:r w:rsidRPr="009B2F58">
              <w:rPr>
                <w:rFonts w:ascii="Times New Roman" w:hAnsi="Times New Roman"/>
                <w:bCs/>
                <w:sz w:val="20"/>
                <w:szCs w:val="20"/>
              </w:rPr>
              <w:t>Evolution du CAC 40</w:t>
            </w:r>
          </w:p>
        </w:tc>
        <w:tc>
          <w:tcPr>
            <w:tcW w:w="121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388AB762"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-0,76%</w:t>
            </w:r>
          </w:p>
        </w:tc>
        <w:tc>
          <w:tcPr>
            <w:tcW w:w="95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3CA9F42F"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0,81%</w:t>
            </w:r>
          </w:p>
        </w:tc>
        <w:tc>
          <w:tcPr>
            <w:tcW w:w="1083"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5F0970C9"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0,95%</w:t>
            </w:r>
          </w:p>
        </w:tc>
        <w:tc>
          <w:tcPr>
            <w:tcW w:w="1083"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0838B454"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0,36%</w:t>
            </w:r>
          </w:p>
        </w:tc>
        <w:tc>
          <w:tcPr>
            <w:tcW w:w="1083"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026A9DD0"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0,53%</w:t>
            </w:r>
          </w:p>
        </w:tc>
        <w:tc>
          <w:tcPr>
            <w:tcW w:w="1881"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4F34D6E1"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1,89% (sur la semaine)</w:t>
            </w:r>
          </w:p>
        </w:tc>
      </w:tr>
    </w:tbl>
    <w:p w14:paraId="42277CC4" w14:textId="77777777" w:rsidR="00845B6C" w:rsidRDefault="00845B6C">
      <w:pPr>
        <w:pStyle w:val="Paragraphedeliste"/>
        <w:spacing w:line="240" w:lineRule="auto"/>
        <w:jc w:val="both"/>
        <w:rPr>
          <w:sz w:val="24"/>
          <w:szCs w:val="24"/>
        </w:rPr>
      </w:pPr>
    </w:p>
    <w:p w14:paraId="7FEA4DA8" w14:textId="0240FE74"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 xml:space="preserve">Pour ce qui est des humeurs et des émotions, celles-ci ont été repérées avec insistance. Tous les participants nous ont relaté des situations durant lesquelles les émotions ont concouru à retenir des techniques parfois en décalage avec les émoluments rationnels classiques. Nous reprenons </w:t>
      </w:r>
      <w:r w:rsidRPr="009B2F58">
        <w:rPr>
          <w:rFonts w:ascii="Times New Roman" w:hAnsi="Times New Roman"/>
          <w:i/>
          <w:sz w:val="20"/>
          <w:szCs w:val="20"/>
        </w:rPr>
        <w:t>in extenso</w:t>
      </w:r>
      <w:r w:rsidRPr="009B2F58">
        <w:rPr>
          <w:rFonts w:ascii="Times New Roman" w:hAnsi="Times New Roman"/>
          <w:sz w:val="20"/>
          <w:szCs w:val="20"/>
        </w:rPr>
        <w:t xml:space="preserve"> les impressions recueillies le lendemain de l’expérience :</w:t>
      </w:r>
    </w:p>
    <w:p w14:paraId="5AB219CB" w14:textId="77777777" w:rsidR="00845B6C" w:rsidRDefault="00845B6C">
      <w:pPr>
        <w:pStyle w:val="Paragraphedeliste"/>
        <w:spacing w:line="240" w:lineRule="auto"/>
        <w:jc w:val="both"/>
        <w:rPr>
          <w:sz w:val="24"/>
          <w:szCs w:val="24"/>
        </w:rPr>
      </w:pPr>
    </w:p>
    <w:p w14:paraId="7D947302" w14:textId="77777777" w:rsidR="00845B6C" w:rsidRPr="009B2F58" w:rsidRDefault="009B2F58">
      <w:pPr>
        <w:pStyle w:val="Paragraphedeliste"/>
        <w:spacing w:line="240" w:lineRule="auto"/>
        <w:jc w:val="both"/>
        <w:rPr>
          <w:rFonts w:ascii="Times New Roman" w:hAnsi="Times New Roman"/>
          <w:b/>
          <w:u w:val="single"/>
        </w:rPr>
      </w:pPr>
      <w:r w:rsidRPr="009B2F58">
        <w:rPr>
          <w:rFonts w:ascii="Times New Roman" w:hAnsi="Times New Roman"/>
          <w:b/>
          <w:u w:val="single"/>
        </w:rPr>
        <w:t>Tableau 2 : présentation des émotions et des humeurs ressenties par les participants</w:t>
      </w:r>
    </w:p>
    <w:p w14:paraId="430D1401" w14:textId="77777777" w:rsidR="00845B6C" w:rsidRDefault="00845B6C">
      <w:pPr>
        <w:pStyle w:val="Paragraphedeliste"/>
        <w:spacing w:line="240" w:lineRule="auto"/>
        <w:jc w:val="both"/>
        <w:rPr>
          <w:sz w:val="24"/>
          <w:szCs w:val="24"/>
        </w:rPr>
      </w:pPr>
    </w:p>
    <w:tbl>
      <w:tblPr>
        <w:tblW w:w="9493" w:type="dxa"/>
        <w:tblCellMar>
          <w:left w:w="10" w:type="dxa"/>
          <w:right w:w="10" w:type="dxa"/>
        </w:tblCellMar>
        <w:tblLook w:val="04A0" w:firstRow="1" w:lastRow="0" w:firstColumn="1" w:lastColumn="0" w:noHBand="0" w:noVBand="1"/>
      </w:tblPr>
      <w:tblGrid>
        <w:gridCol w:w="1271"/>
        <w:gridCol w:w="8222"/>
      </w:tblGrid>
      <w:tr w:rsidR="00845B6C" w14:paraId="7576DF73" w14:textId="77777777">
        <w:tc>
          <w:tcPr>
            <w:tcW w:w="127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7C54300" w14:textId="77777777" w:rsidR="00845B6C" w:rsidRPr="009B2F58" w:rsidRDefault="009B2F58">
            <w:pPr>
              <w:pStyle w:val="Paragraphedeliste"/>
              <w:spacing w:after="0" w:line="240" w:lineRule="auto"/>
              <w:ind w:left="0"/>
              <w:jc w:val="both"/>
              <w:rPr>
                <w:rFonts w:ascii="Times New Roman" w:hAnsi="Times New Roman"/>
                <w:sz w:val="20"/>
                <w:szCs w:val="20"/>
              </w:rPr>
            </w:pPr>
            <w:r w:rsidRPr="009B2F58">
              <w:rPr>
                <w:rFonts w:ascii="Times New Roman" w:hAnsi="Times New Roman"/>
                <w:bCs/>
                <w:sz w:val="20"/>
                <w:szCs w:val="20"/>
              </w:rPr>
              <w:t>A.F. (C1)</w:t>
            </w:r>
          </w:p>
        </w:tc>
        <w:tc>
          <w:tcPr>
            <w:tcW w:w="822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5A852A2" w14:textId="77777777" w:rsidR="00845B6C" w:rsidRPr="009B2F58" w:rsidRDefault="009B2F58">
            <w:pPr>
              <w:pStyle w:val="Paragraphedeliste"/>
              <w:spacing w:after="0" w:line="240" w:lineRule="auto"/>
              <w:ind w:left="0"/>
              <w:jc w:val="both"/>
              <w:rPr>
                <w:rFonts w:ascii="Times New Roman" w:hAnsi="Times New Roman"/>
                <w:sz w:val="20"/>
                <w:szCs w:val="20"/>
              </w:rPr>
            </w:pPr>
            <w:r w:rsidRPr="009B2F58">
              <w:rPr>
                <w:rFonts w:ascii="Times New Roman" w:hAnsi="Times New Roman"/>
                <w:bCs/>
                <w:i/>
                <w:sz w:val="20"/>
                <w:szCs w:val="20"/>
              </w:rPr>
              <w:t>« Je pense qu’à certains moments les émotions et surtout l’envie de voir croître le portefeuille de manière rapide prenaient le pas sur des décisions mûrement réfléchies »</w:t>
            </w:r>
          </w:p>
        </w:tc>
      </w:tr>
      <w:tr w:rsidR="00845B6C" w14:paraId="56061AB7" w14:textId="77777777">
        <w:tc>
          <w:tcPr>
            <w:tcW w:w="1271"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C672D5E" w14:textId="77777777" w:rsidR="00845B6C" w:rsidRPr="009B2F58" w:rsidRDefault="009B2F58">
            <w:pPr>
              <w:pStyle w:val="Paragraphedeliste"/>
              <w:spacing w:after="0" w:line="240" w:lineRule="auto"/>
              <w:ind w:left="0"/>
              <w:jc w:val="both"/>
              <w:rPr>
                <w:rFonts w:ascii="Times New Roman" w:hAnsi="Times New Roman"/>
                <w:sz w:val="20"/>
                <w:szCs w:val="20"/>
              </w:rPr>
            </w:pPr>
            <w:r w:rsidRPr="009B2F58">
              <w:rPr>
                <w:rFonts w:ascii="Times New Roman" w:hAnsi="Times New Roman"/>
                <w:bCs/>
                <w:sz w:val="20"/>
                <w:szCs w:val="20"/>
              </w:rPr>
              <w:t>I.J (C1)</w:t>
            </w:r>
          </w:p>
        </w:tc>
        <w:tc>
          <w:tcPr>
            <w:tcW w:w="822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D44733F" w14:textId="1E5F376D" w:rsidR="00845B6C" w:rsidRPr="009B2F58" w:rsidRDefault="009B2F58">
            <w:pPr>
              <w:pStyle w:val="Paragraphedeliste"/>
              <w:spacing w:after="0" w:line="240" w:lineRule="auto"/>
              <w:ind w:left="0"/>
              <w:jc w:val="both"/>
              <w:rPr>
                <w:rFonts w:ascii="Times New Roman" w:hAnsi="Times New Roman"/>
                <w:i/>
                <w:sz w:val="20"/>
                <w:szCs w:val="20"/>
              </w:rPr>
            </w:pPr>
            <w:r w:rsidRPr="009B2F58">
              <w:rPr>
                <w:rFonts w:ascii="Times New Roman" w:hAnsi="Times New Roman"/>
                <w:i/>
                <w:sz w:val="20"/>
                <w:szCs w:val="20"/>
              </w:rPr>
              <w:t>« Plusieurs fois, mes émotions ont pris le pas sur ma rationalité. En fin de journée lorsque j'étais plus fatigué, j'avais tendance à acheter ou revendre des actions plus sur un coup de tête que de manière réfléchie. Aussi, après avoir perdu de l'argent sur nos actions plusieurs fois, j'ai eu tendance à être plus impulsif dans les achats ou les reventes d'actions. J'ai aussi pu remarquer que j'investissais beaucoup plus par "instinct" les derniers jours de la semaine qu'au début de celle-ci »</w:t>
            </w:r>
          </w:p>
        </w:tc>
      </w:tr>
      <w:tr w:rsidR="00845B6C" w14:paraId="22387C91" w14:textId="77777777">
        <w:tc>
          <w:tcPr>
            <w:tcW w:w="127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33BCEB9" w14:textId="77777777" w:rsidR="00845B6C" w:rsidRPr="009B2F58" w:rsidRDefault="009B2F58">
            <w:pPr>
              <w:pStyle w:val="Paragraphedeliste"/>
              <w:spacing w:after="0" w:line="240" w:lineRule="auto"/>
              <w:ind w:left="0"/>
              <w:jc w:val="both"/>
              <w:rPr>
                <w:rFonts w:ascii="Times New Roman" w:hAnsi="Times New Roman"/>
                <w:sz w:val="20"/>
                <w:szCs w:val="20"/>
              </w:rPr>
            </w:pPr>
            <w:r w:rsidRPr="009B2F58">
              <w:rPr>
                <w:rFonts w:ascii="Times New Roman" w:hAnsi="Times New Roman"/>
                <w:bCs/>
                <w:sz w:val="20"/>
                <w:szCs w:val="20"/>
              </w:rPr>
              <w:t>A.D. (C2)</w:t>
            </w:r>
          </w:p>
        </w:tc>
        <w:tc>
          <w:tcPr>
            <w:tcW w:w="822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8766CCA" w14:textId="77777777" w:rsidR="00845B6C" w:rsidRPr="009B2F58" w:rsidRDefault="009B2F58">
            <w:pPr>
              <w:pStyle w:val="Paragraphedeliste"/>
              <w:spacing w:after="0" w:line="240" w:lineRule="auto"/>
              <w:ind w:left="0"/>
              <w:jc w:val="both"/>
              <w:rPr>
                <w:rFonts w:ascii="Times New Roman" w:hAnsi="Times New Roman"/>
                <w:i/>
                <w:sz w:val="20"/>
                <w:szCs w:val="20"/>
              </w:rPr>
            </w:pPr>
            <w:r w:rsidRPr="009B2F58">
              <w:rPr>
                <w:rFonts w:ascii="Times New Roman" w:hAnsi="Times New Roman"/>
                <w:i/>
                <w:sz w:val="20"/>
                <w:szCs w:val="20"/>
              </w:rPr>
              <w:t>« Durant la semaine, mes émotions ont quelques fois pris le pas sur ma rationalité dans la mesure où j’ai été amené à décider d’un achat ou d’une vente dans un état d’euphorie ou de perplexité »</w:t>
            </w:r>
          </w:p>
        </w:tc>
      </w:tr>
      <w:tr w:rsidR="00845B6C" w14:paraId="1E46D62E" w14:textId="77777777">
        <w:tc>
          <w:tcPr>
            <w:tcW w:w="1271"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C0F91D4" w14:textId="77777777" w:rsidR="00845B6C" w:rsidRPr="009B2F58" w:rsidRDefault="009B2F58">
            <w:pPr>
              <w:pStyle w:val="Paragraphedeliste"/>
              <w:spacing w:after="0" w:line="240" w:lineRule="auto"/>
              <w:ind w:left="0"/>
              <w:jc w:val="both"/>
              <w:rPr>
                <w:rFonts w:ascii="Times New Roman" w:hAnsi="Times New Roman"/>
                <w:sz w:val="20"/>
                <w:szCs w:val="20"/>
              </w:rPr>
            </w:pPr>
            <w:r w:rsidRPr="009B2F58">
              <w:rPr>
                <w:rFonts w:ascii="Times New Roman" w:hAnsi="Times New Roman"/>
                <w:bCs/>
                <w:sz w:val="20"/>
                <w:szCs w:val="20"/>
              </w:rPr>
              <w:t>A.L. (C2)</w:t>
            </w:r>
          </w:p>
        </w:tc>
        <w:tc>
          <w:tcPr>
            <w:tcW w:w="822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02DF619" w14:textId="77777777" w:rsidR="00845B6C" w:rsidRPr="009B2F58" w:rsidRDefault="009B2F58">
            <w:pPr>
              <w:pStyle w:val="Paragraphedeliste"/>
              <w:spacing w:after="0" w:line="240" w:lineRule="auto"/>
              <w:ind w:left="0"/>
              <w:jc w:val="both"/>
              <w:rPr>
                <w:rFonts w:ascii="Times New Roman" w:hAnsi="Times New Roman"/>
                <w:sz w:val="20"/>
                <w:szCs w:val="20"/>
              </w:rPr>
            </w:pPr>
            <w:r w:rsidRPr="009B2F58">
              <w:rPr>
                <w:rFonts w:ascii="Times New Roman" w:hAnsi="Times New Roman"/>
                <w:sz w:val="20"/>
                <w:szCs w:val="20"/>
              </w:rPr>
              <w:t>« </w:t>
            </w:r>
            <w:r w:rsidRPr="009B2F58">
              <w:rPr>
                <w:rFonts w:ascii="Times New Roman" w:hAnsi="Times New Roman"/>
                <w:i/>
                <w:sz w:val="20"/>
                <w:szCs w:val="20"/>
              </w:rPr>
              <w:t>Lorsqu’une nouvelle info tombait, nous voulions prendre une décision rapidement et c’est précisément à cet instant que les émotions prenaient souvent le pas sur la rationalité</w:t>
            </w:r>
            <w:r w:rsidRPr="009B2F58">
              <w:rPr>
                <w:rFonts w:ascii="Times New Roman" w:hAnsi="Times New Roman"/>
                <w:sz w:val="20"/>
                <w:szCs w:val="20"/>
              </w:rPr>
              <w:t> »</w:t>
            </w:r>
          </w:p>
        </w:tc>
      </w:tr>
      <w:tr w:rsidR="00845B6C" w14:paraId="51B7859A" w14:textId="77777777">
        <w:tc>
          <w:tcPr>
            <w:tcW w:w="127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E9365ED" w14:textId="77777777" w:rsidR="00845B6C" w:rsidRPr="009B2F58" w:rsidRDefault="009B2F58">
            <w:pPr>
              <w:pStyle w:val="Paragraphedeliste"/>
              <w:spacing w:after="0" w:line="240" w:lineRule="auto"/>
              <w:ind w:left="0"/>
              <w:jc w:val="both"/>
              <w:rPr>
                <w:rFonts w:ascii="Times New Roman" w:hAnsi="Times New Roman"/>
                <w:sz w:val="20"/>
                <w:szCs w:val="20"/>
              </w:rPr>
            </w:pPr>
            <w:r w:rsidRPr="009B2F58">
              <w:rPr>
                <w:rFonts w:ascii="Times New Roman" w:hAnsi="Times New Roman"/>
                <w:bCs/>
                <w:sz w:val="20"/>
                <w:szCs w:val="20"/>
              </w:rPr>
              <w:t>C.P. (C3)</w:t>
            </w:r>
          </w:p>
        </w:tc>
        <w:tc>
          <w:tcPr>
            <w:tcW w:w="822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7B9E5F4" w14:textId="77777777" w:rsidR="00845B6C" w:rsidRPr="009B2F58" w:rsidRDefault="009B2F58">
            <w:pPr>
              <w:pStyle w:val="Paragraphedeliste"/>
              <w:spacing w:after="0" w:line="240" w:lineRule="auto"/>
              <w:ind w:left="0"/>
              <w:jc w:val="both"/>
              <w:rPr>
                <w:rFonts w:ascii="Times New Roman" w:hAnsi="Times New Roman"/>
                <w:sz w:val="20"/>
                <w:szCs w:val="20"/>
              </w:rPr>
            </w:pPr>
            <w:r w:rsidRPr="009B2F58">
              <w:rPr>
                <w:rFonts w:ascii="Times New Roman" w:hAnsi="Times New Roman"/>
                <w:sz w:val="20"/>
                <w:szCs w:val="20"/>
              </w:rPr>
              <w:t>« </w:t>
            </w:r>
            <w:r w:rsidRPr="009B2F58">
              <w:rPr>
                <w:rFonts w:ascii="Times New Roman" w:hAnsi="Times New Roman"/>
                <w:i/>
                <w:sz w:val="20"/>
                <w:szCs w:val="20"/>
              </w:rPr>
              <w:t>Les émotions ressenties provoquaient un manque de lucidité dans les choix en fin de journée</w:t>
            </w:r>
            <w:r w:rsidRPr="009B2F58">
              <w:rPr>
                <w:rFonts w:ascii="Times New Roman" w:hAnsi="Times New Roman"/>
                <w:sz w:val="20"/>
                <w:szCs w:val="20"/>
              </w:rPr>
              <w:t> »</w:t>
            </w:r>
          </w:p>
        </w:tc>
      </w:tr>
      <w:tr w:rsidR="00845B6C" w14:paraId="0790E1CC" w14:textId="77777777">
        <w:tc>
          <w:tcPr>
            <w:tcW w:w="1271"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88D351F" w14:textId="77777777" w:rsidR="00845B6C" w:rsidRPr="009B2F58" w:rsidRDefault="009B2F58">
            <w:pPr>
              <w:pStyle w:val="Paragraphedeliste"/>
              <w:spacing w:after="0" w:line="240" w:lineRule="auto"/>
              <w:ind w:left="0"/>
              <w:jc w:val="both"/>
              <w:rPr>
                <w:rFonts w:ascii="Times New Roman" w:hAnsi="Times New Roman"/>
                <w:sz w:val="20"/>
                <w:szCs w:val="20"/>
              </w:rPr>
            </w:pPr>
            <w:r w:rsidRPr="009B2F58">
              <w:rPr>
                <w:rFonts w:ascii="Times New Roman" w:hAnsi="Times New Roman"/>
                <w:bCs/>
                <w:sz w:val="20"/>
                <w:szCs w:val="20"/>
              </w:rPr>
              <w:t>H.R. (C4)</w:t>
            </w:r>
          </w:p>
        </w:tc>
        <w:tc>
          <w:tcPr>
            <w:tcW w:w="822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C3BA760" w14:textId="77777777" w:rsidR="00845B6C" w:rsidRPr="009B2F58" w:rsidRDefault="009B2F58">
            <w:pPr>
              <w:pStyle w:val="Paragraphedeliste"/>
              <w:spacing w:after="0" w:line="240" w:lineRule="auto"/>
              <w:ind w:left="0"/>
              <w:jc w:val="both"/>
              <w:rPr>
                <w:rFonts w:ascii="Times New Roman" w:hAnsi="Times New Roman"/>
                <w:sz w:val="20"/>
                <w:szCs w:val="20"/>
              </w:rPr>
            </w:pPr>
            <w:r w:rsidRPr="009B2F58">
              <w:rPr>
                <w:rFonts w:ascii="Times New Roman" w:hAnsi="Times New Roman"/>
                <w:sz w:val="20"/>
                <w:szCs w:val="20"/>
              </w:rPr>
              <w:t>« </w:t>
            </w:r>
            <w:r w:rsidRPr="009B2F58">
              <w:rPr>
                <w:rFonts w:ascii="Times New Roman" w:hAnsi="Times New Roman"/>
                <w:i/>
                <w:sz w:val="20"/>
                <w:szCs w:val="20"/>
              </w:rPr>
              <w:t>Avec la fatigue croissante durant la semaine, cela a largement contribué à investir de manière moins rationnelle</w:t>
            </w:r>
            <w:r w:rsidRPr="009B2F58">
              <w:rPr>
                <w:rFonts w:ascii="Times New Roman" w:hAnsi="Times New Roman"/>
                <w:sz w:val="20"/>
                <w:szCs w:val="20"/>
              </w:rPr>
              <w:t> »</w:t>
            </w:r>
          </w:p>
        </w:tc>
      </w:tr>
      <w:tr w:rsidR="00845B6C" w14:paraId="3C50FA28" w14:textId="77777777">
        <w:tc>
          <w:tcPr>
            <w:tcW w:w="127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C33135E" w14:textId="77777777" w:rsidR="00845B6C" w:rsidRPr="009B2F58" w:rsidRDefault="009B2F58">
            <w:pPr>
              <w:pStyle w:val="Paragraphedeliste"/>
              <w:spacing w:after="0" w:line="240" w:lineRule="auto"/>
              <w:ind w:left="0"/>
              <w:jc w:val="both"/>
              <w:rPr>
                <w:rFonts w:ascii="Times New Roman" w:hAnsi="Times New Roman"/>
                <w:sz w:val="20"/>
                <w:szCs w:val="20"/>
              </w:rPr>
            </w:pPr>
            <w:r w:rsidRPr="009B2F58">
              <w:rPr>
                <w:rFonts w:ascii="Times New Roman" w:hAnsi="Times New Roman"/>
                <w:bCs/>
                <w:sz w:val="20"/>
                <w:szCs w:val="20"/>
              </w:rPr>
              <w:t>L.B. (C4)</w:t>
            </w:r>
          </w:p>
        </w:tc>
        <w:tc>
          <w:tcPr>
            <w:tcW w:w="822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E7AE932" w14:textId="77777777" w:rsidR="00845B6C" w:rsidRPr="009B2F58" w:rsidRDefault="009B2F58">
            <w:pPr>
              <w:pStyle w:val="Paragraphedeliste"/>
              <w:spacing w:after="0" w:line="240" w:lineRule="auto"/>
              <w:ind w:left="0"/>
              <w:jc w:val="both"/>
              <w:rPr>
                <w:rFonts w:ascii="Times New Roman" w:hAnsi="Times New Roman"/>
                <w:i/>
                <w:sz w:val="20"/>
                <w:szCs w:val="20"/>
              </w:rPr>
            </w:pPr>
            <w:r w:rsidRPr="009B2F58">
              <w:rPr>
                <w:rFonts w:ascii="Times New Roman" w:hAnsi="Times New Roman"/>
                <w:i/>
                <w:sz w:val="20"/>
                <w:szCs w:val="20"/>
              </w:rPr>
              <w:t xml:space="preserve">« Par moment, mes émotions ont pris le dessus, surtout dans les moments où le marché était en baisse et donc notre portefeuille aussi » </w:t>
            </w:r>
          </w:p>
        </w:tc>
      </w:tr>
      <w:tr w:rsidR="00845B6C" w14:paraId="5FEA0CEA" w14:textId="77777777">
        <w:tc>
          <w:tcPr>
            <w:tcW w:w="1271"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999A5F4" w14:textId="77777777" w:rsidR="00845B6C" w:rsidRPr="009B2F58" w:rsidRDefault="009B2F58">
            <w:pPr>
              <w:pStyle w:val="Paragraphedeliste"/>
              <w:spacing w:after="0" w:line="240" w:lineRule="auto"/>
              <w:ind w:left="0"/>
              <w:jc w:val="both"/>
              <w:rPr>
                <w:rFonts w:ascii="Times New Roman" w:hAnsi="Times New Roman"/>
                <w:sz w:val="20"/>
                <w:szCs w:val="20"/>
              </w:rPr>
            </w:pPr>
            <w:r w:rsidRPr="009B2F58">
              <w:rPr>
                <w:rFonts w:ascii="Times New Roman" w:hAnsi="Times New Roman"/>
                <w:bCs/>
                <w:sz w:val="20"/>
                <w:szCs w:val="20"/>
              </w:rPr>
              <w:t>W.L. (C5)</w:t>
            </w:r>
          </w:p>
        </w:tc>
        <w:tc>
          <w:tcPr>
            <w:tcW w:w="822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68037D0" w14:textId="77777777" w:rsidR="00845B6C" w:rsidRPr="009B2F58" w:rsidRDefault="009B2F58">
            <w:pPr>
              <w:pStyle w:val="Paragraphedeliste"/>
              <w:spacing w:after="0" w:line="240" w:lineRule="auto"/>
              <w:ind w:left="0"/>
              <w:jc w:val="both"/>
              <w:rPr>
                <w:rFonts w:ascii="Times New Roman" w:hAnsi="Times New Roman"/>
                <w:sz w:val="20"/>
                <w:szCs w:val="20"/>
              </w:rPr>
            </w:pPr>
            <w:r w:rsidRPr="009B2F58">
              <w:rPr>
                <w:rFonts w:ascii="Times New Roman" w:hAnsi="Times New Roman"/>
                <w:sz w:val="20"/>
                <w:szCs w:val="20"/>
              </w:rPr>
              <w:t>« </w:t>
            </w:r>
            <w:r w:rsidRPr="009B2F58">
              <w:rPr>
                <w:rFonts w:ascii="Times New Roman" w:hAnsi="Times New Roman"/>
                <w:i/>
                <w:sz w:val="20"/>
                <w:szCs w:val="20"/>
              </w:rPr>
              <w:t>En début de semaine, j’étais plus rationnelle, je réfléchissais plus avant d’investir. Je consultais des actualités, faisais des comparaisons et en fin de semaine, à cause de la fatigue mais aussi du goût au risque, j’avais envie d’investir dans des actions avec une logique plus forte de spéculation</w:t>
            </w:r>
            <w:r w:rsidRPr="009B2F58">
              <w:rPr>
                <w:rFonts w:ascii="Times New Roman" w:hAnsi="Times New Roman"/>
                <w:sz w:val="20"/>
                <w:szCs w:val="20"/>
              </w:rPr>
              <w:t> »</w:t>
            </w:r>
          </w:p>
        </w:tc>
      </w:tr>
      <w:tr w:rsidR="00845B6C" w14:paraId="55BD0779" w14:textId="77777777">
        <w:tc>
          <w:tcPr>
            <w:tcW w:w="127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0FE4B7E" w14:textId="77777777" w:rsidR="00845B6C" w:rsidRPr="009B2F58" w:rsidRDefault="009B2F58">
            <w:pPr>
              <w:pStyle w:val="Paragraphedeliste"/>
              <w:spacing w:after="0" w:line="240" w:lineRule="auto"/>
              <w:ind w:left="0"/>
              <w:jc w:val="both"/>
              <w:rPr>
                <w:rFonts w:ascii="Times New Roman" w:hAnsi="Times New Roman"/>
                <w:sz w:val="20"/>
                <w:szCs w:val="20"/>
              </w:rPr>
            </w:pPr>
            <w:r w:rsidRPr="009B2F58">
              <w:rPr>
                <w:rFonts w:ascii="Times New Roman" w:hAnsi="Times New Roman"/>
                <w:bCs/>
                <w:sz w:val="20"/>
                <w:szCs w:val="20"/>
              </w:rPr>
              <w:t>M.M. (C5)</w:t>
            </w:r>
          </w:p>
        </w:tc>
        <w:tc>
          <w:tcPr>
            <w:tcW w:w="822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6A2FC7D" w14:textId="6A1B3CD2" w:rsidR="00845B6C" w:rsidRPr="009B2F58" w:rsidRDefault="009B2F58">
            <w:pPr>
              <w:pStyle w:val="Paragraphedeliste"/>
              <w:spacing w:after="0" w:line="240" w:lineRule="auto"/>
              <w:ind w:left="0"/>
              <w:jc w:val="both"/>
              <w:rPr>
                <w:rFonts w:ascii="Times New Roman" w:hAnsi="Times New Roman"/>
                <w:sz w:val="20"/>
                <w:szCs w:val="20"/>
              </w:rPr>
            </w:pPr>
            <w:r w:rsidRPr="009B2F58">
              <w:rPr>
                <w:rFonts w:ascii="Times New Roman" w:hAnsi="Times New Roman"/>
                <w:sz w:val="20"/>
                <w:szCs w:val="20"/>
              </w:rPr>
              <w:t>« </w:t>
            </w:r>
            <w:r w:rsidRPr="009B2F58">
              <w:rPr>
                <w:rFonts w:ascii="Times New Roman" w:hAnsi="Times New Roman"/>
                <w:i/>
                <w:sz w:val="20"/>
                <w:szCs w:val="20"/>
              </w:rPr>
              <w:t>Sur les dernières nuit</w:t>
            </w:r>
            <w:r w:rsidR="008F6806">
              <w:rPr>
                <w:rFonts w:ascii="Times New Roman" w:hAnsi="Times New Roman"/>
                <w:i/>
                <w:sz w:val="20"/>
                <w:szCs w:val="20"/>
              </w:rPr>
              <w:t>s</w:t>
            </w:r>
            <w:r w:rsidRPr="009B2F58">
              <w:rPr>
                <w:rFonts w:ascii="Times New Roman" w:hAnsi="Times New Roman"/>
                <w:i/>
                <w:sz w:val="20"/>
                <w:szCs w:val="20"/>
              </w:rPr>
              <w:t>, je dormais très mal, je rêvais sans cesse de transactions et de marchés et je me réveillais souvent</w:t>
            </w:r>
            <w:r w:rsidRPr="009B2F58">
              <w:rPr>
                <w:rFonts w:ascii="Times New Roman" w:hAnsi="Times New Roman"/>
                <w:sz w:val="20"/>
                <w:szCs w:val="20"/>
              </w:rPr>
              <w:t> »</w:t>
            </w:r>
          </w:p>
        </w:tc>
      </w:tr>
      <w:tr w:rsidR="00845B6C" w14:paraId="3E0D1C19" w14:textId="77777777">
        <w:tc>
          <w:tcPr>
            <w:tcW w:w="1271"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FD49269" w14:textId="77777777" w:rsidR="00845B6C" w:rsidRPr="009B2F58" w:rsidRDefault="009B2F58">
            <w:pPr>
              <w:pStyle w:val="Paragraphedeliste"/>
              <w:spacing w:after="0" w:line="240" w:lineRule="auto"/>
              <w:ind w:left="0"/>
              <w:jc w:val="both"/>
              <w:rPr>
                <w:rFonts w:ascii="Times New Roman" w:hAnsi="Times New Roman"/>
                <w:sz w:val="20"/>
                <w:szCs w:val="20"/>
              </w:rPr>
            </w:pPr>
            <w:r w:rsidRPr="009B2F58">
              <w:rPr>
                <w:rFonts w:ascii="Times New Roman" w:hAnsi="Times New Roman"/>
                <w:bCs/>
                <w:sz w:val="20"/>
                <w:szCs w:val="20"/>
              </w:rPr>
              <w:t>S.L. (C6)</w:t>
            </w:r>
          </w:p>
        </w:tc>
        <w:tc>
          <w:tcPr>
            <w:tcW w:w="822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9019DBD" w14:textId="77777777" w:rsidR="00845B6C" w:rsidRPr="009B2F58" w:rsidRDefault="009B2F58">
            <w:pPr>
              <w:pStyle w:val="Paragraphedeliste"/>
              <w:spacing w:after="0" w:line="240" w:lineRule="auto"/>
              <w:ind w:left="0"/>
              <w:jc w:val="both"/>
              <w:rPr>
                <w:rFonts w:ascii="Times New Roman" w:hAnsi="Times New Roman"/>
                <w:i/>
                <w:sz w:val="20"/>
                <w:szCs w:val="20"/>
              </w:rPr>
            </w:pPr>
            <w:r w:rsidRPr="009B2F58">
              <w:rPr>
                <w:rFonts w:ascii="Times New Roman" w:hAnsi="Times New Roman"/>
                <w:i/>
                <w:sz w:val="20"/>
                <w:szCs w:val="20"/>
              </w:rPr>
              <w:t>« L’émotion et le stress prenaient le dessus sur des décisions qui auraient pu peut-être parfois être plus réfléchies : le cours monte « vite on achète », le cours descend « vite on vend »</w:t>
            </w:r>
          </w:p>
        </w:tc>
      </w:tr>
      <w:tr w:rsidR="00845B6C" w14:paraId="18AD125D" w14:textId="77777777">
        <w:tc>
          <w:tcPr>
            <w:tcW w:w="127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7FBCD04" w14:textId="77777777" w:rsidR="00845B6C" w:rsidRPr="009B2F58" w:rsidRDefault="009B2F58">
            <w:pPr>
              <w:pStyle w:val="Paragraphedeliste"/>
              <w:spacing w:after="0" w:line="240" w:lineRule="auto"/>
              <w:ind w:left="0"/>
              <w:jc w:val="both"/>
              <w:rPr>
                <w:rFonts w:ascii="Times New Roman" w:hAnsi="Times New Roman"/>
                <w:sz w:val="20"/>
                <w:szCs w:val="20"/>
              </w:rPr>
            </w:pPr>
            <w:r w:rsidRPr="009B2F58">
              <w:rPr>
                <w:rFonts w:ascii="Times New Roman" w:hAnsi="Times New Roman"/>
                <w:bCs/>
                <w:sz w:val="20"/>
                <w:szCs w:val="20"/>
              </w:rPr>
              <w:t>E.D. (C6</w:t>
            </w:r>
            <w:r w:rsidRPr="009B2F58">
              <w:rPr>
                <w:rFonts w:ascii="Times New Roman" w:hAnsi="Times New Roman"/>
                <w:b/>
                <w:bCs/>
                <w:sz w:val="20"/>
                <w:szCs w:val="20"/>
              </w:rPr>
              <w:t>)</w:t>
            </w:r>
          </w:p>
        </w:tc>
        <w:tc>
          <w:tcPr>
            <w:tcW w:w="822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1F4D571" w14:textId="77777777" w:rsidR="00845B6C" w:rsidRPr="009B2F58" w:rsidRDefault="009B2F58">
            <w:pPr>
              <w:pStyle w:val="Paragraphedeliste"/>
              <w:spacing w:after="0" w:line="240" w:lineRule="auto"/>
              <w:ind w:left="0"/>
              <w:jc w:val="both"/>
              <w:rPr>
                <w:rFonts w:ascii="Times New Roman" w:hAnsi="Times New Roman"/>
                <w:i/>
                <w:sz w:val="20"/>
                <w:szCs w:val="20"/>
              </w:rPr>
            </w:pPr>
            <w:r w:rsidRPr="009B2F58">
              <w:rPr>
                <w:rFonts w:ascii="Times New Roman" w:hAnsi="Times New Roman"/>
                <w:i/>
                <w:sz w:val="20"/>
                <w:szCs w:val="20"/>
              </w:rPr>
              <w:t>« Lorsque j'étais plus fatigué, je misais moins car je me sentais moins sûrs de mes observations »</w:t>
            </w:r>
          </w:p>
        </w:tc>
      </w:tr>
      <w:tr w:rsidR="00845B6C" w14:paraId="5EC613F9" w14:textId="77777777">
        <w:tc>
          <w:tcPr>
            <w:tcW w:w="1271"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2A64A1C" w14:textId="77777777" w:rsidR="00845B6C" w:rsidRPr="009B2F58" w:rsidRDefault="009B2F58">
            <w:pPr>
              <w:pStyle w:val="Paragraphedeliste"/>
              <w:spacing w:after="0" w:line="240" w:lineRule="auto"/>
              <w:ind w:left="0"/>
              <w:jc w:val="both"/>
              <w:rPr>
                <w:rFonts w:ascii="Times New Roman" w:hAnsi="Times New Roman"/>
                <w:sz w:val="20"/>
                <w:szCs w:val="20"/>
              </w:rPr>
            </w:pPr>
            <w:r w:rsidRPr="009B2F58">
              <w:rPr>
                <w:rFonts w:ascii="Times New Roman" w:hAnsi="Times New Roman"/>
                <w:bCs/>
                <w:sz w:val="20"/>
                <w:szCs w:val="20"/>
              </w:rPr>
              <w:t>S.B. (C7)</w:t>
            </w:r>
          </w:p>
        </w:tc>
        <w:tc>
          <w:tcPr>
            <w:tcW w:w="822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59ACD62" w14:textId="77777777" w:rsidR="00845B6C" w:rsidRPr="009B2F58" w:rsidRDefault="009B2F58">
            <w:pPr>
              <w:pStyle w:val="Paragraphedeliste"/>
              <w:spacing w:after="0" w:line="240" w:lineRule="auto"/>
              <w:ind w:left="0"/>
              <w:jc w:val="both"/>
              <w:rPr>
                <w:rFonts w:ascii="Times New Roman" w:hAnsi="Times New Roman"/>
                <w:i/>
                <w:sz w:val="20"/>
                <w:szCs w:val="20"/>
              </w:rPr>
            </w:pPr>
            <w:r w:rsidRPr="009B2F58">
              <w:rPr>
                <w:rFonts w:ascii="Times New Roman" w:hAnsi="Times New Roman"/>
                <w:i/>
                <w:sz w:val="20"/>
                <w:szCs w:val="20"/>
              </w:rPr>
              <w:t>« Bien souvent, nos choix étaient fondés sur ce que nous ressentions lors du moment de l'achat (et nous le savions) bien plus que sur des logiques rationnelles »</w:t>
            </w:r>
          </w:p>
        </w:tc>
      </w:tr>
      <w:tr w:rsidR="00845B6C" w14:paraId="1CED2887" w14:textId="77777777">
        <w:tc>
          <w:tcPr>
            <w:tcW w:w="127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FF927EC" w14:textId="77777777" w:rsidR="00845B6C" w:rsidRPr="009B2F58" w:rsidRDefault="009B2F58">
            <w:pPr>
              <w:pStyle w:val="Paragraphedeliste"/>
              <w:spacing w:after="0" w:line="240" w:lineRule="auto"/>
              <w:ind w:left="0"/>
              <w:jc w:val="both"/>
              <w:rPr>
                <w:rFonts w:ascii="Times New Roman" w:hAnsi="Times New Roman"/>
                <w:sz w:val="20"/>
                <w:szCs w:val="20"/>
              </w:rPr>
            </w:pPr>
            <w:r w:rsidRPr="009B2F58">
              <w:rPr>
                <w:rFonts w:ascii="Times New Roman" w:hAnsi="Times New Roman"/>
                <w:bCs/>
                <w:sz w:val="20"/>
                <w:szCs w:val="20"/>
              </w:rPr>
              <w:t>F.D. (C7)</w:t>
            </w:r>
          </w:p>
        </w:tc>
        <w:tc>
          <w:tcPr>
            <w:tcW w:w="822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47D7B3A" w14:textId="77777777" w:rsidR="00845B6C" w:rsidRPr="009B2F58" w:rsidRDefault="009B2F58">
            <w:pPr>
              <w:pStyle w:val="Paragraphedeliste"/>
              <w:spacing w:after="0" w:line="240" w:lineRule="auto"/>
              <w:ind w:left="0"/>
              <w:jc w:val="both"/>
              <w:rPr>
                <w:rFonts w:ascii="Times New Roman" w:hAnsi="Times New Roman"/>
                <w:i/>
                <w:sz w:val="20"/>
                <w:szCs w:val="20"/>
              </w:rPr>
            </w:pPr>
            <w:r w:rsidRPr="009B2F58">
              <w:rPr>
                <w:rFonts w:ascii="Times New Roman" w:hAnsi="Times New Roman"/>
                <w:i/>
                <w:sz w:val="20"/>
                <w:szCs w:val="20"/>
              </w:rPr>
              <w:t>« J'ai beaucoup appris de cette expérience car au début de celle-ci, je misais plus sur l'instinct pour acheter ou vendre mais par la suite j'ai compris que le trading n'est pas un jeu, il faut être stratège et beaucoup suivre l'actualité »</w:t>
            </w:r>
          </w:p>
        </w:tc>
      </w:tr>
      <w:tr w:rsidR="00845B6C" w14:paraId="65EFB61B" w14:textId="77777777">
        <w:tc>
          <w:tcPr>
            <w:tcW w:w="1271"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1388F52" w14:textId="77777777" w:rsidR="00845B6C" w:rsidRPr="009B2F58" w:rsidRDefault="009B2F58">
            <w:pPr>
              <w:pStyle w:val="Paragraphedeliste"/>
              <w:spacing w:after="0" w:line="240" w:lineRule="auto"/>
              <w:ind w:left="0"/>
              <w:jc w:val="both"/>
              <w:rPr>
                <w:rFonts w:ascii="Times New Roman" w:hAnsi="Times New Roman"/>
                <w:sz w:val="20"/>
                <w:szCs w:val="20"/>
              </w:rPr>
            </w:pPr>
            <w:r w:rsidRPr="009B2F58">
              <w:rPr>
                <w:rFonts w:ascii="Times New Roman" w:hAnsi="Times New Roman"/>
                <w:bCs/>
                <w:sz w:val="20"/>
                <w:szCs w:val="20"/>
              </w:rPr>
              <w:t>A.B. (C8)</w:t>
            </w:r>
          </w:p>
        </w:tc>
        <w:tc>
          <w:tcPr>
            <w:tcW w:w="8222"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1DF132F" w14:textId="77777777" w:rsidR="00845B6C" w:rsidRPr="009B2F58" w:rsidRDefault="009B2F58">
            <w:pPr>
              <w:pStyle w:val="Paragraphedeliste"/>
              <w:spacing w:after="0" w:line="240" w:lineRule="auto"/>
              <w:ind w:left="0"/>
              <w:jc w:val="both"/>
              <w:rPr>
                <w:rFonts w:ascii="Times New Roman" w:hAnsi="Times New Roman"/>
                <w:sz w:val="20"/>
                <w:szCs w:val="20"/>
              </w:rPr>
            </w:pPr>
            <w:r w:rsidRPr="009B2F58">
              <w:rPr>
                <w:rFonts w:ascii="Times New Roman" w:hAnsi="Times New Roman"/>
                <w:sz w:val="20"/>
                <w:szCs w:val="20"/>
              </w:rPr>
              <w:t xml:space="preserve">« </w:t>
            </w:r>
            <w:r w:rsidRPr="009B2F58">
              <w:rPr>
                <w:rFonts w:ascii="Times New Roman" w:hAnsi="Times New Roman"/>
                <w:i/>
                <w:sz w:val="20"/>
                <w:szCs w:val="20"/>
              </w:rPr>
              <w:t>En ce qui concerne le sommeil, j’ai eu quelques soucis, non pas pour m’endormir mais mes rêves se limitaient à investir et ne faire que cela. Ce qui était très perturbant vu que c’était déjà ce que je faisais toute la journée. L’expérience a réellement joué sur mes nerfs</w:t>
            </w:r>
            <w:r w:rsidRPr="009B2F58">
              <w:rPr>
                <w:rFonts w:ascii="Times New Roman" w:hAnsi="Times New Roman"/>
                <w:sz w:val="20"/>
                <w:szCs w:val="20"/>
              </w:rPr>
              <w:t xml:space="preserve"> »</w:t>
            </w:r>
          </w:p>
        </w:tc>
      </w:tr>
    </w:tbl>
    <w:p w14:paraId="382A2751" w14:textId="77777777" w:rsidR="00845B6C" w:rsidRDefault="00845B6C">
      <w:pPr>
        <w:spacing w:line="240" w:lineRule="auto"/>
        <w:jc w:val="both"/>
        <w:rPr>
          <w:sz w:val="24"/>
          <w:szCs w:val="24"/>
        </w:rPr>
      </w:pPr>
    </w:p>
    <w:p w14:paraId="4433226C" w14:textId="77777777" w:rsidR="00845B6C" w:rsidRPr="009B2F58" w:rsidRDefault="009B2F58">
      <w:pPr>
        <w:pStyle w:val="Paragraphedeliste"/>
        <w:spacing w:line="240" w:lineRule="auto"/>
        <w:ind w:left="709"/>
        <w:jc w:val="both"/>
        <w:rPr>
          <w:rFonts w:ascii="Times New Roman" w:hAnsi="Times New Roman"/>
          <w:sz w:val="20"/>
          <w:szCs w:val="20"/>
        </w:rPr>
      </w:pPr>
      <w:r w:rsidRPr="009B2F58">
        <w:rPr>
          <w:rFonts w:ascii="Times New Roman" w:hAnsi="Times New Roman"/>
          <w:sz w:val="20"/>
          <w:szCs w:val="20"/>
        </w:rPr>
        <w:t xml:space="preserve">Les commentaires recensés démontrent clairement l’influence de certains attributs émotionnels (l’impulsion, l’euphorie, la perplexité…) sur le processus décisionnel. A noter que ce cadastre ne reprend que les charges émotionnelles qui ont été consciemment ressenties et laisse bien évidemment de côté tout ce qui est du registre de l’inconscient. </w:t>
      </w:r>
    </w:p>
    <w:p w14:paraId="78BC5476" w14:textId="064D114A" w:rsidR="00845B6C" w:rsidRPr="009B2F58" w:rsidRDefault="009B2F58">
      <w:pPr>
        <w:pStyle w:val="Paragraphedeliste"/>
        <w:numPr>
          <w:ilvl w:val="0"/>
          <w:numId w:val="6"/>
        </w:numPr>
        <w:spacing w:line="240" w:lineRule="auto"/>
        <w:ind w:left="709"/>
        <w:jc w:val="both"/>
        <w:rPr>
          <w:rFonts w:ascii="Times New Roman" w:hAnsi="Times New Roman"/>
          <w:sz w:val="20"/>
          <w:szCs w:val="20"/>
        </w:rPr>
      </w:pPr>
      <w:r w:rsidRPr="009B2F58">
        <w:rPr>
          <w:rFonts w:ascii="Times New Roman" w:hAnsi="Times New Roman"/>
          <w:sz w:val="20"/>
          <w:szCs w:val="20"/>
        </w:rPr>
        <w:t xml:space="preserve">En ce qui concerne le biais de disponibilité, les cadres informationnels n’ont été que très peu mobilisés et, s’ils étaient requis, cela ne concernait que des informations publiées de manière récente. Ainsi les </w:t>
      </w:r>
      <w:r w:rsidRPr="009B2F58">
        <w:rPr>
          <w:rFonts w:ascii="Times New Roman" w:hAnsi="Times New Roman"/>
          <w:sz w:val="20"/>
          <w:szCs w:val="20"/>
        </w:rPr>
        <w:lastRenderedPageBreak/>
        <w:t xml:space="preserve">personnes du groupe C1 se focalisaient en début de journée sur les informations macroéconomiques de la nuit mais ils ont rapidement fait évoluer leur stratégie du fait du manque de résultats associés à la mobilisation des champs informationnels. Pour le deuxième groupe, l’idée initiale était de recourir à de l’analyse graphique (le RSI) en faisant un focus sur des secteurs particuliers. Par manque de résultats, les étudiants ont eu recours à une stratégie beaucoup plus court </w:t>
      </w:r>
      <w:proofErr w:type="spellStart"/>
      <w:r w:rsidRPr="009B2F58">
        <w:rPr>
          <w:rFonts w:ascii="Times New Roman" w:hAnsi="Times New Roman"/>
          <w:sz w:val="20"/>
          <w:szCs w:val="20"/>
        </w:rPr>
        <w:t>termiste</w:t>
      </w:r>
      <w:proofErr w:type="spellEnd"/>
      <w:r w:rsidRPr="009B2F58">
        <w:rPr>
          <w:rFonts w:ascii="Times New Roman" w:hAnsi="Times New Roman"/>
          <w:sz w:val="20"/>
          <w:szCs w:val="20"/>
        </w:rPr>
        <w:t xml:space="preserve"> en prenant appui sur l’analyse de la volatilité des actions. Le troisième binôme s’est</w:t>
      </w:r>
      <w:r w:rsidR="00AC37F0">
        <w:rPr>
          <w:rFonts w:ascii="Times New Roman" w:hAnsi="Times New Roman"/>
          <w:sz w:val="20"/>
          <w:szCs w:val="20"/>
        </w:rPr>
        <w:t xml:space="preserve"> </w:t>
      </w:r>
      <w:r w:rsidRPr="009B2F58">
        <w:rPr>
          <w:rFonts w:ascii="Times New Roman" w:hAnsi="Times New Roman"/>
          <w:sz w:val="20"/>
          <w:szCs w:val="20"/>
        </w:rPr>
        <w:t>basé sur des indicateurs technique</w:t>
      </w:r>
      <w:r w:rsidR="00744A6D">
        <w:rPr>
          <w:rFonts w:ascii="Times New Roman" w:hAnsi="Times New Roman"/>
          <w:sz w:val="20"/>
          <w:szCs w:val="20"/>
        </w:rPr>
        <w:t>s</w:t>
      </w:r>
      <w:r w:rsidR="000B2BAE">
        <w:rPr>
          <w:rFonts w:ascii="Times New Roman" w:hAnsi="Times New Roman"/>
          <w:sz w:val="20"/>
          <w:szCs w:val="20"/>
        </w:rPr>
        <w:t xml:space="preserve"> mais les ont fait évoluer au fil du temps faute de résultat </w:t>
      </w:r>
      <w:r w:rsidRPr="009B2F58">
        <w:rPr>
          <w:rFonts w:ascii="Times New Roman" w:hAnsi="Times New Roman"/>
          <w:sz w:val="20"/>
          <w:szCs w:val="20"/>
        </w:rPr>
        <w:t>(le RSI</w:t>
      </w:r>
      <w:r w:rsidR="00C76DF1">
        <w:rPr>
          <w:rFonts w:ascii="Times New Roman" w:hAnsi="Times New Roman"/>
          <w:sz w:val="20"/>
          <w:szCs w:val="20"/>
        </w:rPr>
        <w:t xml:space="preserve"> et ensuite </w:t>
      </w:r>
      <w:r w:rsidR="00911EFF">
        <w:rPr>
          <w:rFonts w:ascii="Times New Roman" w:hAnsi="Times New Roman"/>
          <w:sz w:val="20"/>
          <w:szCs w:val="20"/>
        </w:rPr>
        <w:t>les</w:t>
      </w:r>
      <w:r w:rsidRPr="009B2F58">
        <w:rPr>
          <w:rFonts w:ascii="Times New Roman" w:hAnsi="Times New Roman"/>
          <w:sz w:val="20"/>
          <w:szCs w:val="20"/>
        </w:rPr>
        <w:t xml:space="preserve"> moyennes mobiles). Pour le groupe 4, l’analyse graphique a également été mobilisée </w:t>
      </w:r>
      <w:r w:rsidR="00516E55">
        <w:rPr>
          <w:rFonts w:ascii="Times New Roman" w:hAnsi="Times New Roman"/>
          <w:sz w:val="20"/>
          <w:szCs w:val="20"/>
        </w:rPr>
        <w:t>mais dans une version rudimentaire</w:t>
      </w:r>
      <w:r w:rsidRPr="009B2F58">
        <w:rPr>
          <w:rFonts w:ascii="Times New Roman" w:hAnsi="Times New Roman"/>
          <w:sz w:val="20"/>
          <w:szCs w:val="20"/>
        </w:rPr>
        <w:t xml:space="preserve">. Au sein du groupe 5 (uniquement féminin), un recours important aux informations a été réalisé, en essayant de comprendre les raisons des importantes fluctuations observées. Dans cette optique, elles ont dressé une liste reprenant les variations les plus importantes durant la semaine précédant l’expérience. Elles réalisaient un bilan à mi-séance et indiquaient en fin de journée, les entreprises à suivre le lendemain sur base de la prévision des sites boursiers. Pour le groupe 6 (mixte), c’est l’utilisation d’outils de nature graphique (référence aux comportements graphiques des actions dans les journées précédentes) qui a conditionné les processus décisionnels. Le groupe 7 (mixte) a essayé de s’accrocher aux informations récentes ; cette technique n’a cependant pas permis l’accroissement de la valeur de leur portefeuille. En cours d’expérience, une révision des outils de prises de décisions a été envisagée en recourant à des éléments de nature technique, sans que des résultats </w:t>
      </w:r>
      <w:r w:rsidR="00A1094E">
        <w:rPr>
          <w:rFonts w:ascii="Times New Roman" w:hAnsi="Times New Roman"/>
          <w:sz w:val="20"/>
          <w:szCs w:val="20"/>
        </w:rPr>
        <w:t xml:space="preserve">réellement </w:t>
      </w:r>
      <w:r w:rsidRPr="009B2F58">
        <w:rPr>
          <w:rFonts w:ascii="Times New Roman" w:hAnsi="Times New Roman"/>
          <w:sz w:val="20"/>
          <w:szCs w:val="20"/>
        </w:rPr>
        <w:t>positifs ne soient observés.</w:t>
      </w:r>
    </w:p>
    <w:p w14:paraId="6C011ACA" w14:textId="76026506" w:rsidR="00845B6C" w:rsidRPr="009B2F58" w:rsidRDefault="009B2F58">
      <w:pPr>
        <w:pStyle w:val="Paragraphedeliste"/>
        <w:spacing w:line="240" w:lineRule="auto"/>
        <w:ind w:left="709"/>
        <w:jc w:val="both"/>
        <w:rPr>
          <w:rFonts w:ascii="Times New Roman" w:hAnsi="Times New Roman"/>
          <w:sz w:val="20"/>
          <w:szCs w:val="20"/>
        </w:rPr>
      </w:pPr>
      <w:r w:rsidRPr="009B2F58">
        <w:rPr>
          <w:rFonts w:ascii="Times New Roman" w:hAnsi="Times New Roman"/>
          <w:sz w:val="20"/>
          <w:szCs w:val="20"/>
        </w:rPr>
        <w:t>Pour la personne isolée (C8), différents éléments d’analyse ont été pris en considération : la répartition du capital qui constituerait une variable permettant d’approcher la probabilité de reprise par une autre entreprise (Air Liquide, Altran), l’évolution de la structure de propriétés (les allers-retours de certains investisseurs institutionnels dans le capital des entreprises), le consensus des analystes financiers (Sodexo, Engie, Atos), la sensibilité des entreprises aux marchés asiatiques (Hermès), américains (Dassault) ou européens (Vinci), les prévisions de bénéfices (Sanofi), les conséquences liées au Brexit (Sanofi), l’évolution du cours des matières premières (Total)</w:t>
      </w:r>
      <w:r w:rsidR="00B11935">
        <w:rPr>
          <w:rFonts w:ascii="Times New Roman" w:hAnsi="Times New Roman"/>
          <w:sz w:val="20"/>
          <w:szCs w:val="20"/>
        </w:rPr>
        <w:t xml:space="preserve"> </w:t>
      </w:r>
      <w:r w:rsidRPr="009B2F58">
        <w:rPr>
          <w:rFonts w:ascii="Times New Roman" w:hAnsi="Times New Roman"/>
          <w:sz w:val="20"/>
          <w:szCs w:val="20"/>
        </w:rPr>
        <w:t xml:space="preserve">ainsi que des indicateurs macroéconomiques (indicateur PMI de Chicago, augmentation de l’épargne des ménages français). </w:t>
      </w:r>
    </w:p>
    <w:p w14:paraId="016DB531" w14:textId="6BEA7F40" w:rsidR="00845B6C" w:rsidRPr="009B2F58" w:rsidRDefault="009B2F58">
      <w:pPr>
        <w:spacing w:line="240" w:lineRule="auto"/>
        <w:ind w:left="708"/>
        <w:jc w:val="both"/>
        <w:rPr>
          <w:rFonts w:ascii="Times New Roman" w:hAnsi="Times New Roman"/>
          <w:sz w:val="20"/>
          <w:szCs w:val="20"/>
        </w:rPr>
      </w:pPr>
      <w:r w:rsidRPr="009B2F58">
        <w:rPr>
          <w:rFonts w:ascii="Times New Roman" w:hAnsi="Times New Roman"/>
          <w:sz w:val="20"/>
          <w:szCs w:val="20"/>
        </w:rPr>
        <w:t xml:space="preserve">En synthèse, les témoignages récoltés tendent à démontrer une grande improvisation dans le choix des méthodes de prises de décisions avec des mouvements initiaux prudentiels (plus ou moins fortement documentés lors de la première journée, même s’il ne s’agit que d’informations </w:t>
      </w:r>
      <w:r w:rsidRPr="009B2F58">
        <w:rPr>
          <w:rFonts w:ascii="Times New Roman" w:hAnsi="Times New Roman"/>
          <w:i/>
          <w:sz w:val="20"/>
          <w:szCs w:val="20"/>
        </w:rPr>
        <w:t>fraîchement</w:t>
      </w:r>
      <w:r w:rsidRPr="009B2F58">
        <w:rPr>
          <w:rFonts w:ascii="Times New Roman" w:hAnsi="Times New Roman"/>
          <w:sz w:val="20"/>
          <w:szCs w:val="20"/>
        </w:rPr>
        <w:t xml:space="preserve"> divulguées) suivis par des choix réalisés de manière beaucoup plus instinctive. Nous n’avons pas repéré d’utilisation couplée de techniques de prises de décisions. Ces différents constats corroborent les conclusions apportées par l’étude de </w:t>
      </w:r>
      <w:proofErr w:type="spellStart"/>
      <w:r w:rsidRPr="009B2F58">
        <w:rPr>
          <w:rFonts w:ascii="Times New Roman" w:hAnsi="Times New Roman"/>
          <w:sz w:val="20"/>
          <w:szCs w:val="20"/>
        </w:rPr>
        <w:t>Godechot</w:t>
      </w:r>
      <w:proofErr w:type="spellEnd"/>
      <w:r w:rsidRPr="009B2F58">
        <w:rPr>
          <w:rFonts w:ascii="Times New Roman" w:hAnsi="Times New Roman"/>
          <w:sz w:val="20"/>
          <w:szCs w:val="20"/>
        </w:rPr>
        <w:t xml:space="preserve"> O. (2001) relative à la sociologie des traders</w:t>
      </w:r>
      <w:r w:rsidR="00760027">
        <w:rPr>
          <w:rFonts w:ascii="Times New Roman" w:hAnsi="Times New Roman"/>
          <w:sz w:val="20"/>
          <w:szCs w:val="20"/>
        </w:rPr>
        <w:t xml:space="preserve"> </w:t>
      </w:r>
      <w:r w:rsidRPr="009B2F58">
        <w:rPr>
          <w:rFonts w:ascii="Times New Roman" w:hAnsi="Times New Roman"/>
          <w:sz w:val="20"/>
          <w:szCs w:val="20"/>
        </w:rPr>
        <w:t>: l’intuition et les mouvements moutonniers sembleraient jouer un rôle plus important que ne veut bien le prétendre la théorie financière classique.</w:t>
      </w:r>
    </w:p>
    <w:p w14:paraId="68CCCB60" w14:textId="77777777" w:rsidR="00845B6C" w:rsidRPr="009B2F58" w:rsidRDefault="009B2F58">
      <w:pPr>
        <w:pStyle w:val="Paragraphedeliste"/>
        <w:numPr>
          <w:ilvl w:val="0"/>
          <w:numId w:val="6"/>
        </w:numPr>
        <w:spacing w:line="240" w:lineRule="auto"/>
        <w:jc w:val="both"/>
        <w:rPr>
          <w:rFonts w:ascii="Times New Roman" w:hAnsi="Times New Roman"/>
          <w:sz w:val="20"/>
          <w:szCs w:val="20"/>
        </w:rPr>
      </w:pPr>
      <w:r w:rsidRPr="009B2F58">
        <w:rPr>
          <w:rFonts w:ascii="Times New Roman" w:hAnsi="Times New Roman"/>
          <w:sz w:val="20"/>
          <w:szCs w:val="20"/>
        </w:rPr>
        <w:t xml:space="preserve">En ce qui concerne la gestion des gains et des pertes, la lecture des différents éléments à notre disposition montrent une focalisation sur les gains et beaucoup moins sur les pertes. Certains groupes semblent avoir adoptés des postures spécifiques sur la gestion des gains et des pertes tandis que d’autres y ont manifestement attaché moins d’importance. Comme pour d’autres conclusions que nous tirons, cela pourrait s’expliquer par le contexte boursier favorable de l’expérience qui pousserait </w:t>
      </w:r>
      <w:r w:rsidRPr="009B2F58">
        <w:rPr>
          <w:rFonts w:ascii="Times New Roman" w:hAnsi="Times New Roman"/>
          <w:i/>
          <w:sz w:val="20"/>
          <w:szCs w:val="20"/>
        </w:rPr>
        <w:t xml:space="preserve">naturellement </w:t>
      </w:r>
      <w:r w:rsidRPr="009B2F58">
        <w:rPr>
          <w:rFonts w:ascii="Times New Roman" w:hAnsi="Times New Roman"/>
          <w:sz w:val="20"/>
          <w:szCs w:val="20"/>
        </w:rPr>
        <w:t>à l’achat. Les commentaires du représentant masculin du groupe 7 apportent un éclairage fort sur cette problématique.</w:t>
      </w:r>
    </w:p>
    <w:p w14:paraId="13A31305" w14:textId="77777777" w:rsidR="00845B6C" w:rsidRPr="009B2F58" w:rsidRDefault="009B2F58">
      <w:pPr>
        <w:pStyle w:val="Paragraphedeliste"/>
        <w:spacing w:line="240" w:lineRule="auto"/>
        <w:jc w:val="both"/>
        <w:rPr>
          <w:rFonts w:ascii="Times New Roman" w:hAnsi="Times New Roman"/>
          <w:sz w:val="20"/>
          <w:szCs w:val="20"/>
        </w:rPr>
      </w:pPr>
      <w:r w:rsidRPr="009B2F58">
        <w:rPr>
          <w:rFonts w:ascii="Times New Roman" w:hAnsi="Times New Roman"/>
          <w:i/>
          <w:sz w:val="20"/>
          <w:szCs w:val="20"/>
        </w:rPr>
        <w:t xml:space="preserve">« Oui, parfois nous avions du mal à vendre un titre pour lequel nous faisions des pertes car nous espérions que le cours du titre remonte, alors que rationnellement nous aurions dû vendre pour éviter des pertes supplémentaires » </w:t>
      </w:r>
      <w:r w:rsidRPr="009B2F58">
        <w:rPr>
          <w:rFonts w:ascii="Times New Roman" w:hAnsi="Times New Roman"/>
          <w:sz w:val="20"/>
          <w:szCs w:val="20"/>
        </w:rPr>
        <w:t>S.B., étudiant, groupe mixte, C7.</w:t>
      </w:r>
    </w:p>
    <w:p w14:paraId="721D7065" w14:textId="090AD107" w:rsidR="00845B6C" w:rsidRPr="009B2F58" w:rsidRDefault="009B2F58">
      <w:pPr>
        <w:pStyle w:val="Paragraphedeliste"/>
        <w:spacing w:line="240" w:lineRule="auto"/>
        <w:jc w:val="both"/>
        <w:rPr>
          <w:rFonts w:ascii="Times New Roman" w:hAnsi="Times New Roman"/>
          <w:sz w:val="20"/>
          <w:szCs w:val="20"/>
        </w:rPr>
      </w:pPr>
      <w:r w:rsidRPr="009B2F58">
        <w:rPr>
          <w:rFonts w:ascii="Times New Roman" w:hAnsi="Times New Roman"/>
          <w:sz w:val="20"/>
          <w:szCs w:val="20"/>
        </w:rPr>
        <w:t xml:space="preserve">D’autres tendances ont également émergé des propos qui nous ont été tenus. Ainsi, en cas de pertes, les étudiants du groupe 2 (uniquement masculin) avaient tendance à renforcer leurs positions afin de réduire le prix de revient unitaire. Ils nous rapportent que cette stratégie n’a cependant pas porté ses fruits. Au sein du groupe 5 (uniquement féminin), les étudiantes revendaient progressivement, notamment en cas de besoin de liquidités. Elles nous indiquent qu’elles essayaient de ne jamais revendre à perte. Pour la personne isolée (C8), des reventes d’actions s’effectuaient en fin de journée afin d’obtenir des liquidités pour la journée suivante ; celles-ci s’effectuaient par paliers afin de minimiser les éventuels effets négatifs. La logique retenue au sein du groupe 4 (uniquement masculin) consistait à ne jamais vendre à perte et ils se contentaient de gains parfois relativement faibles. Les autres groupes ne nous ont pas </w:t>
      </w:r>
      <w:proofErr w:type="spellStart"/>
      <w:r w:rsidRPr="009B2F58">
        <w:rPr>
          <w:rFonts w:ascii="Times New Roman" w:hAnsi="Times New Roman"/>
          <w:sz w:val="20"/>
          <w:szCs w:val="20"/>
        </w:rPr>
        <w:t>rapporté</w:t>
      </w:r>
      <w:proofErr w:type="spellEnd"/>
      <w:r w:rsidRPr="009B2F58">
        <w:rPr>
          <w:rFonts w:ascii="Times New Roman" w:hAnsi="Times New Roman"/>
          <w:sz w:val="20"/>
          <w:szCs w:val="20"/>
        </w:rPr>
        <w:t xml:space="preserve"> d’éléments relatifs à la gestion de leurs gains et de leurs pertes.</w:t>
      </w:r>
    </w:p>
    <w:p w14:paraId="6E6DBAC4" w14:textId="31DBD5CC" w:rsidR="00845B6C" w:rsidRPr="009B2F58" w:rsidRDefault="009B2F58">
      <w:pPr>
        <w:pStyle w:val="Paragraphedeliste"/>
        <w:numPr>
          <w:ilvl w:val="0"/>
          <w:numId w:val="6"/>
        </w:numPr>
        <w:spacing w:line="240" w:lineRule="auto"/>
        <w:jc w:val="both"/>
        <w:rPr>
          <w:rFonts w:ascii="Times New Roman" w:hAnsi="Times New Roman"/>
          <w:sz w:val="20"/>
          <w:szCs w:val="20"/>
        </w:rPr>
      </w:pPr>
      <w:r w:rsidRPr="009B2F58">
        <w:rPr>
          <w:rFonts w:ascii="Times New Roman" w:hAnsi="Times New Roman"/>
          <w:sz w:val="20"/>
          <w:szCs w:val="20"/>
        </w:rPr>
        <w:t xml:space="preserve">L’analyse de l’importance du contexte, les heuristiques et l’héritage du passé, se base, pour rappel, sur le nombre et le pourcentage des entreprises qui ont été le plus souvent détenues en portefeuille (nous ne </w:t>
      </w:r>
      <w:r w:rsidRPr="009B2F58">
        <w:rPr>
          <w:rFonts w:ascii="Times New Roman" w:hAnsi="Times New Roman"/>
          <w:sz w:val="20"/>
          <w:szCs w:val="20"/>
        </w:rPr>
        <w:lastRenderedPageBreak/>
        <w:t>prenons en considération que les cinq premières entreprises, voir tableau 4 en annexes). A noter que nous ne considérons pas les montants financiers investis mais uniquement les entreprises au sein desquelles les investissements ont été réalisés. En moyenne, les pourcentages cumulés concentrés dans les cinq premières entreprises s’élèvent à plus de 38%. Cela signifie</w:t>
      </w:r>
      <w:r w:rsidR="00A265A8">
        <w:rPr>
          <w:rFonts w:ascii="Times New Roman" w:hAnsi="Times New Roman"/>
          <w:sz w:val="20"/>
          <w:szCs w:val="20"/>
        </w:rPr>
        <w:t xml:space="preserve"> </w:t>
      </w:r>
      <w:r w:rsidRPr="009B2F58">
        <w:rPr>
          <w:rFonts w:ascii="Times New Roman" w:hAnsi="Times New Roman"/>
          <w:sz w:val="20"/>
          <w:szCs w:val="20"/>
        </w:rPr>
        <w:t xml:space="preserve">que l’exercice de diversification a été relativement réduit. Les pourcentages cumulés les plus élevés ont été obtenus pour les groupes C2, C3 (groupes masculins) et C6 (groupe mixte), c’est-à-dire les couples qui ont eu le plus recours à des opérations de </w:t>
      </w:r>
      <w:proofErr w:type="spellStart"/>
      <w:r w:rsidRPr="009B2F58">
        <w:rPr>
          <w:rFonts w:ascii="Times New Roman" w:hAnsi="Times New Roman"/>
          <w:sz w:val="20"/>
          <w:szCs w:val="20"/>
        </w:rPr>
        <w:t>scalping</w:t>
      </w:r>
      <w:proofErr w:type="spellEnd"/>
      <w:r w:rsidRPr="009B2F58">
        <w:rPr>
          <w:rFonts w:ascii="Times New Roman" w:hAnsi="Times New Roman"/>
          <w:sz w:val="20"/>
          <w:szCs w:val="20"/>
        </w:rPr>
        <w:t xml:space="preserve"> trading. Nous avons la sensation que ces groupes ont repéré un nombre limité d’entreprises sujettes à une certaine effervescence – même si non directement soumises à feu d’une actualité </w:t>
      </w:r>
      <w:r w:rsidRPr="009B2F58">
        <w:rPr>
          <w:rFonts w:ascii="Times New Roman" w:hAnsi="Times New Roman"/>
          <w:i/>
          <w:sz w:val="20"/>
          <w:szCs w:val="20"/>
        </w:rPr>
        <w:t>brûlante</w:t>
      </w:r>
      <w:r w:rsidRPr="009B2F58">
        <w:rPr>
          <w:rFonts w:ascii="Times New Roman" w:hAnsi="Times New Roman"/>
          <w:sz w:val="20"/>
          <w:szCs w:val="20"/>
        </w:rPr>
        <w:t xml:space="preserve"> - et s’y sont largement tenues pour réaliser de nombreux gains, même si, à l’unité, d’ampleur relativement faible. Dans cette optique, à noter les nombreuses transactions associées à Valeo alors que le cadre informationnel lié à cette entreprise ne le justifiait pas nécessairement. Beaucoup d’opérations ont également été passées au départ de TOTAL (le même schéma prévalait pour Technip), ce qui peut s’expliquer par le fait que différentes variables macroéconomiques publiées sur base quotidienne pouvaient orienter le choix des investisseurs.</w:t>
      </w:r>
    </w:p>
    <w:p w14:paraId="2220AA8C" w14:textId="13113C44" w:rsidR="00845B6C" w:rsidRDefault="009B2F58" w:rsidP="00BB761A">
      <w:pPr>
        <w:pStyle w:val="Paragraphedeliste"/>
        <w:numPr>
          <w:ilvl w:val="0"/>
          <w:numId w:val="6"/>
        </w:numPr>
        <w:spacing w:line="240" w:lineRule="auto"/>
        <w:jc w:val="both"/>
        <w:rPr>
          <w:b/>
          <w:sz w:val="24"/>
          <w:szCs w:val="24"/>
          <w:u w:val="single"/>
        </w:rPr>
      </w:pPr>
      <w:r w:rsidRPr="009B2F58">
        <w:rPr>
          <w:rFonts w:ascii="Times New Roman" w:hAnsi="Times New Roman"/>
          <w:sz w:val="20"/>
          <w:szCs w:val="20"/>
        </w:rPr>
        <w:t xml:space="preserve">En partant du tableau </w:t>
      </w:r>
      <w:r w:rsidR="003B3BAE">
        <w:rPr>
          <w:rFonts w:ascii="Times New Roman" w:hAnsi="Times New Roman"/>
          <w:sz w:val="20"/>
          <w:szCs w:val="20"/>
        </w:rPr>
        <w:t>3</w:t>
      </w:r>
      <w:r w:rsidRPr="009B2F58">
        <w:rPr>
          <w:rFonts w:ascii="Times New Roman" w:hAnsi="Times New Roman"/>
          <w:sz w:val="20"/>
          <w:szCs w:val="20"/>
        </w:rPr>
        <w:t xml:space="preserve"> annexé, pour le biais « tout ce qui brille attire », nous observons que ce ne sont pas nécessairement les actions des plus grosses capitalisations boursières qui ont été les plus négociées. Dans cette logique, alors que le secteur du luxe était globalement très recherché durant </w:t>
      </w:r>
      <w:r w:rsidR="00F51D42">
        <w:rPr>
          <w:rFonts w:ascii="Times New Roman" w:hAnsi="Times New Roman"/>
          <w:sz w:val="20"/>
          <w:szCs w:val="20"/>
        </w:rPr>
        <w:t>la</w:t>
      </w:r>
      <w:r w:rsidRPr="009B2F58">
        <w:rPr>
          <w:rFonts w:ascii="Times New Roman" w:hAnsi="Times New Roman"/>
          <w:sz w:val="20"/>
          <w:szCs w:val="20"/>
        </w:rPr>
        <w:t xml:space="preserve"> semaine, les mouvements principalement retenus ne se sont opérés que sur LVMH (qui présentait ses résultats annuels durant la semaine, </w:t>
      </w:r>
      <w:r w:rsidR="00AB123F">
        <w:rPr>
          <w:rFonts w:ascii="Times New Roman" w:hAnsi="Times New Roman"/>
          <w:sz w:val="20"/>
          <w:szCs w:val="20"/>
        </w:rPr>
        <w:t>et</w:t>
      </w:r>
      <w:r w:rsidRPr="009B2F58">
        <w:rPr>
          <w:rFonts w:ascii="Times New Roman" w:hAnsi="Times New Roman"/>
          <w:sz w:val="20"/>
          <w:szCs w:val="20"/>
        </w:rPr>
        <w:t xml:space="preserve"> un gain hebdomadaire de 9,9%), sans effet de contagion vers les autres entreprises du secteur</w:t>
      </w:r>
      <w:r w:rsidRPr="009B2F58">
        <w:rPr>
          <w:rStyle w:val="Appelnotedebasdep"/>
          <w:rFonts w:ascii="Times New Roman" w:hAnsi="Times New Roman"/>
          <w:sz w:val="20"/>
          <w:szCs w:val="20"/>
        </w:rPr>
        <w:footnoteReference w:id="2"/>
      </w:r>
      <w:r w:rsidRPr="009B2F58">
        <w:rPr>
          <w:rFonts w:ascii="Times New Roman" w:hAnsi="Times New Roman"/>
          <w:sz w:val="20"/>
          <w:szCs w:val="20"/>
        </w:rPr>
        <w:t xml:space="preserve">. Nous considérons également l’éventuelle anormalité des volumes échangés pour les entreprises les plus négociées durant la semaine écoulée. Celle-ci a été appréhendée en comparant la moyenne des volumes échangés durant la semaine de l’expérience pour les cinq premières actions traitées avec la moyenne sur les deux mois qui </w:t>
      </w:r>
      <w:r w:rsidR="0078612F">
        <w:rPr>
          <w:rFonts w:ascii="Times New Roman" w:hAnsi="Times New Roman"/>
          <w:sz w:val="20"/>
          <w:szCs w:val="20"/>
        </w:rPr>
        <w:t>l’</w:t>
      </w:r>
      <w:r w:rsidRPr="009B2F58">
        <w:rPr>
          <w:rFonts w:ascii="Times New Roman" w:hAnsi="Times New Roman"/>
          <w:sz w:val="20"/>
          <w:szCs w:val="20"/>
        </w:rPr>
        <w:t>ont précédé</w:t>
      </w:r>
      <w:r w:rsidR="0078612F">
        <w:rPr>
          <w:rFonts w:ascii="Times New Roman" w:hAnsi="Times New Roman"/>
          <w:sz w:val="20"/>
          <w:szCs w:val="20"/>
        </w:rPr>
        <w:t>e</w:t>
      </w:r>
      <w:r w:rsidRPr="009B2F58">
        <w:rPr>
          <w:rFonts w:ascii="Times New Roman" w:hAnsi="Times New Roman"/>
          <w:sz w:val="20"/>
          <w:szCs w:val="20"/>
        </w:rPr>
        <w:t>. Sur cette base, nous ne dégageons pas de tendance vers une focalisation sur des titres soumis à une forte effervescence, si ce n’est ATOS et LVMH. Si, pour cette dernière, cela peut s’expliquer par le cadre informationnel ; pour ATOS, les raisons de cette nervosité ne sont pas expliquées par l’émergence d’informations bien spécifiques. En fonction de ce</w:t>
      </w:r>
      <w:r w:rsidR="00A87FDE">
        <w:rPr>
          <w:rFonts w:ascii="Times New Roman" w:hAnsi="Times New Roman"/>
          <w:sz w:val="20"/>
          <w:szCs w:val="20"/>
        </w:rPr>
        <w:t xml:space="preserve">s </w:t>
      </w:r>
      <w:r w:rsidRPr="009B2F58">
        <w:rPr>
          <w:rFonts w:ascii="Times New Roman" w:hAnsi="Times New Roman"/>
          <w:sz w:val="20"/>
          <w:szCs w:val="20"/>
        </w:rPr>
        <w:t xml:space="preserve">éléments, nous ne pouvons conclure à la présence d’un biais d’attirance pour ce qui brille, du moins en fonction du contexte </w:t>
      </w:r>
      <w:r w:rsidR="00A87FDE">
        <w:rPr>
          <w:rFonts w:ascii="Times New Roman" w:hAnsi="Times New Roman"/>
          <w:sz w:val="20"/>
          <w:szCs w:val="20"/>
        </w:rPr>
        <w:t xml:space="preserve">de </w:t>
      </w:r>
      <w:r w:rsidRPr="009B2F58">
        <w:rPr>
          <w:rFonts w:ascii="Times New Roman" w:hAnsi="Times New Roman"/>
          <w:sz w:val="20"/>
          <w:szCs w:val="20"/>
        </w:rPr>
        <w:t xml:space="preserve">l’expérience. </w:t>
      </w:r>
    </w:p>
    <w:p w14:paraId="5A3B8AEF" w14:textId="77777777" w:rsidR="00845B6C" w:rsidRPr="009B2F58" w:rsidRDefault="009B2F58">
      <w:pPr>
        <w:pStyle w:val="Paragraphedeliste"/>
        <w:spacing w:line="240" w:lineRule="auto"/>
        <w:jc w:val="both"/>
        <w:rPr>
          <w:rFonts w:ascii="Times New Roman" w:hAnsi="Times New Roman"/>
          <w:b/>
          <w:u w:val="single"/>
        </w:rPr>
      </w:pPr>
      <w:r w:rsidRPr="009B2F58">
        <w:rPr>
          <w:rFonts w:ascii="Times New Roman" w:hAnsi="Times New Roman"/>
          <w:b/>
          <w:u w:val="single"/>
        </w:rPr>
        <w:t>Tableau 3 : synthèse des biais comportementaux repérés en fonction des proxys considérées</w:t>
      </w:r>
    </w:p>
    <w:p w14:paraId="394DD701" w14:textId="77777777" w:rsidR="00845B6C" w:rsidRDefault="00845B6C">
      <w:pPr>
        <w:pStyle w:val="Paragraphedeliste"/>
        <w:spacing w:line="240" w:lineRule="auto"/>
        <w:jc w:val="both"/>
        <w:rPr>
          <w:sz w:val="26"/>
          <w:szCs w:val="26"/>
          <w:u w:val="single"/>
        </w:rPr>
      </w:pPr>
    </w:p>
    <w:tbl>
      <w:tblPr>
        <w:tblW w:w="5000" w:type="pct"/>
        <w:tblCellMar>
          <w:left w:w="10" w:type="dxa"/>
          <w:right w:w="10" w:type="dxa"/>
        </w:tblCellMar>
        <w:tblLook w:val="04A0" w:firstRow="1" w:lastRow="0" w:firstColumn="1" w:lastColumn="0" w:noHBand="0" w:noVBand="1"/>
      </w:tblPr>
      <w:tblGrid>
        <w:gridCol w:w="4298"/>
        <w:gridCol w:w="654"/>
        <w:gridCol w:w="588"/>
        <w:gridCol w:w="587"/>
        <w:gridCol w:w="587"/>
        <w:gridCol w:w="587"/>
        <w:gridCol w:w="587"/>
        <w:gridCol w:w="587"/>
        <w:gridCol w:w="587"/>
      </w:tblGrid>
      <w:tr w:rsidR="00845B6C" w14:paraId="2E7F4256" w14:textId="77777777">
        <w:trPr>
          <w:trHeight w:val="586"/>
        </w:trPr>
        <w:tc>
          <w:tcPr>
            <w:tcW w:w="429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A3E1594" w14:textId="77777777" w:rsidR="00845B6C" w:rsidRPr="009B2F58" w:rsidRDefault="00845B6C">
            <w:pPr>
              <w:pStyle w:val="Paragraphedeliste"/>
              <w:spacing w:after="0" w:line="240" w:lineRule="auto"/>
              <w:ind w:left="0"/>
              <w:jc w:val="both"/>
              <w:rPr>
                <w:rFonts w:ascii="Times New Roman" w:hAnsi="Times New Roman"/>
                <w:b/>
                <w:bCs/>
                <w:sz w:val="20"/>
                <w:szCs w:val="20"/>
              </w:rPr>
            </w:pPr>
          </w:p>
        </w:tc>
        <w:tc>
          <w:tcPr>
            <w:tcW w:w="6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ACED543" w14:textId="77777777" w:rsidR="00845B6C" w:rsidRPr="009B2F58" w:rsidRDefault="009B2F58">
            <w:pPr>
              <w:pStyle w:val="Paragraphedeliste"/>
              <w:spacing w:after="0" w:line="240" w:lineRule="auto"/>
              <w:ind w:left="0"/>
              <w:jc w:val="both"/>
              <w:rPr>
                <w:rFonts w:ascii="Times New Roman" w:hAnsi="Times New Roman"/>
                <w:sz w:val="20"/>
                <w:szCs w:val="20"/>
              </w:rPr>
            </w:pPr>
            <w:r w:rsidRPr="009B2F58">
              <w:rPr>
                <w:rFonts w:ascii="Times New Roman" w:hAnsi="Times New Roman"/>
                <w:bCs/>
                <w:sz w:val="20"/>
                <w:szCs w:val="20"/>
              </w:rPr>
              <w:t xml:space="preserve">C1 </w:t>
            </w:r>
          </w:p>
        </w:tc>
        <w:tc>
          <w:tcPr>
            <w:tcW w:w="5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BD846FB" w14:textId="77777777" w:rsidR="00845B6C" w:rsidRPr="009B2F58" w:rsidRDefault="009B2F58">
            <w:pPr>
              <w:pStyle w:val="Paragraphedeliste"/>
              <w:spacing w:after="0" w:line="240" w:lineRule="auto"/>
              <w:ind w:left="0"/>
              <w:jc w:val="both"/>
              <w:rPr>
                <w:rFonts w:ascii="Times New Roman" w:hAnsi="Times New Roman"/>
                <w:sz w:val="20"/>
                <w:szCs w:val="20"/>
              </w:rPr>
            </w:pPr>
            <w:r w:rsidRPr="009B2F58">
              <w:rPr>
                <w:rFonts w:ascii="Times New Roman" w:hAnsi="Times New Roman"/>
                <w:bCs/>
                <w:sz w:val="20"/>
                <w:szCs w:val="20"/>
              </w:rPr>
              <w:t>C2</w:t>
            </w:r>
          </w:p>
        </w:tc>
        <w:tc>
          <w:tcPr>
            <w:tcW w:w="58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327C448" w14:textId="77777777" w:rsidR="00845B6C" w:rsidRPr="009B2F58" w:rsidRDefault="009B2F58">
            <w:pPr>
              <w:pStyle w:val="Paragraphedeliste"/>
              <w:spacing w:after="0" w:line="240" w:lineRule="auto"/>
              <w:ind w:left="0"/>
              <w:jc w:val="both"/>
              <w:rPr>
                <w:rFonts w:ascii="Times New Roman" w:hAnsi="Times New Roman"/>
                <w:sz w:val="20"/>
                <w:szCs w:val="20"/>
              </w:rPr>
            </w:pPr>
            <w:r w:rsidRPr="009B2F58">
              <w:rPr>
                <w:rFonts w:ascii="Times New Roman" w:hAnsi="Times New Roman"/>
                <w:bCs/>
                <w:sz w:val="20"/>
                <w:szCs w:val="20"/>
              </w:rPr>
              <w:t>C3</w:t>
            </w:r>
          </w:p>
        </w:tc>
        <w:tc>
          <w:tcPr>
            <w:tcW w:w="58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7A1C15E" w14:textId="77777777" w:rsidR="00845B6C" w:rsidRPr="009B2F58" w:rsidRDefault="009B2F58">
            <w:pPr>
              <w:pStyle w:val="Paragraphedeliste"/>
              <w:spacing w:after="0" w:line="240" w:lineRule="auto"/>
              <w:ind w:left="0"/>
              <w:jc w:val="both"/>
              <w:rPr>
                <w:rFonts w:ascii="Times New Roman" w:hAnsi="Times New Roman"/>
                <w:sz w:val="20"/>
                <w:szCs w:val="20"/>
              </w:rPr>
            </w:pPr>
            <w:r w:rsidRPr="009B2F58">
              <w:rPr>
                <w:rFonts w:ascii="Times New Roman" w:hAnsi="Times New Roman"/>
                <w:bCs/>
                <w:sz w:val="20"/>
                <w:szCs w:val="20"/>
              </w:rPr>
              <w:t>C4</w:t>
            </w:r>
          </w:p>
        </w:tc>
        <w:tc>
          <w:tcPr>
            <w:tcW w:w="58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3840A5E" w14:textId="77777777" w:rsidR="00845B6C" w:rsidRPr="009B2F58" w:rsidRDefault="009B2F58">
            <w:pPr>
              <w:pStyle w:val="Paragraphedeliste"/>
              <w:spacing w:after="0" w:line="240" w:lineRule="auto"/>
              <w:ind w:left="0"/>
              <w:jc w:val="both"/>
              <w:rPr>
                <w:rFonts w:ascii="Times New Roman" w:hAnsi="Times New Roman"/>
                <w:sz w:val="20"/>
                <w:szCs w:val="20"/>
              </w:rPr>
            </w:pPr>
            <w:r w:rsidRPr="009B2F58">
              <w:rPr>
                <w:rFonts w:ascii="Times New Roman" w:hAnsi="Times New Roman"/>
                <w:bCs/>
                <w:sz w:val="20"/>
                <w:szCs w:val="20"/>
              </w:rPr>
              <w:t>C5</w:t>
            </w:r>
          </w:p>
        </w:tc>
        <w:tc>
          <w:tcPr>
            <w:tcW w:w="58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B8E7C1C" w14:textId="77777777" w:rsidR="00845B6C" w:rsidRPr="009B2F58" w:rsidRDefault="009B2F58">
            <w:pPr>
              <w:pStyle w:val="Paragraphedeliste"/>
              <w:spacing w:after="0" w:line="240" w:lineRule="auto"/>
              <w:ind w:left="0"/>
              <w:jc w:val="both"/>
              <w:rPr>
                <w:rFonts w:ascii="Times New Roman" w:hAnsi="Times New Roman"/>
                <w:sz w:val="20"/>
                <w:szCs w:val="20"/>
              </w:rPr>
            </w:pPr>
            <w:r w:rsidRPr="009B2F58">
              <w:rPr>
                <w:rFonts w:ascii="Times New Roman" w:hAnsi="Times New Roman"/>
                <w:bCs/>
                <w:sz w:val="20"/>
                <w:szCs w:val="20"/>
              </w:rPr>
              <w:t>C6</w:t>
            </w:r>
          </w:p>
        </w:tc>
        <w:tc>
          <w:tcPr>
            <w:tcW w:w="58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43C0E58" w14:textId="77777777" w:rsidR="00845B6C" w:rsidRPr="009B2F58" w:rsidRDefault="009B2F58">
            <w:pPr>
              <w:pStyle w:val="Paragraphedeliste"/>
              <w:spacing w:after="0" w:line="240" w:lineRule="auto"/>
              <w:ind w:left="0"/>
              <w:jc w:val="both"/>
              <w:rPr>
                <w:rFonts w:ascii="Times New Roman" w:hAnsi="Times New Roman"/>
                <w:sz w:val="20"/>
                <w:szCs w:val="20"/>
              </w:rPr>
            </w:pPr>
            <w:r w:rsidRPr="009B2F58">
              <w:rPr>
                <w:rFonts w:ascii="Times New Roman" w:hAnsi="Times New Roman"/>
                <w:bCs/>
                <w:sz w:val="20"/>
                <w:szCs w:val="20"/>
              </w:rPr>
              <w:t>C7</w:t>
            </w:r>
          </w:p>
        </w:tc>
        <w:tc>
          <w:tcPr>
            <w:tcW w:w="58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EFF2D72" w14:textId="77777777" w:rsidR="00845B6C" w:rsidRPr="009B2F58" w:rsidRDefault="009B2F58">
            <w:pPr>
              <w:pStyle w:val="Paragraphedeliste"/>
              <w:spacing w:after="0" w:line="240" w:lineRule="auto"/>
              <w:ind w:left="0"/>
              <w:jc w:val="both"/>
              <w:rPr>
                <w:rFonts w:ascii="Times New Roman" w:hAnsi="Times New Roman"/>
                <w:sz w:val="20"/>
                <w:szCs w:val="20"/>
              </w:rPr>
            </w:pPr>
            <w:r w:rsidRPr="009B2F58">
              <w:rPr>
                <w:rFonts w:ascii="Times New Roman" w:hAnsi="Times New Roman"/>
                <w:bCs/>
                <w:sz w:val="20"/>
                <w:szCs w:val="20"/>
              </w:rPr>
              <w:t>C8</w:t>
            </w:r>
          </w:p>
        </w:tc>
      </w:tr>
      <w:tr w:rsidR="00845B6C" w14:paraId="0360CB59" w14:textId="77777777">
        <w:trPr>
          <w:trHeight w:val="586"/>
        </w:trPr>
        <w:tc>
          <w:tcPr>
            <w:tcW w:w="429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320A180" w14:textId="77777777" w:rsidR="00845B6C" w:rsidRPr="009B2F58" w:rsidRDefault="009B2F58">
            <w:pPr>
              <w:pStyle w:val="Paragraphedeliste"/>
              <w:spacing w:after="0" w:line="240" w:lineRule="auto"/>
              <w:ind w:left="0"/>
              <w:rPr>
                <w:rFonts w:ascii="Times New Roman" w:hAnsi="Times New Roman"/>
                <w:sz w:val="20"/>
                <w:szCs w:val="20"/>
              </w:rPr>
            </w:pPr>
            <w:r w:rsidRPr="009B2F58">
              <w:rPr>
                <w:rFonts w:ascii="Times New Roman" w:hAnsi="Times New Roman"/>
                <w:bCs/>
                <w:sz w:val="20"/>
                <w:szCs w:val="20"/>
              </w:rPr>
              <w:t>La gestion des pertes et des gains</w:t>
            </w:r>
          </w:p>
        </w:tc>
        <w:tc>
          <w:tcPr>
            <w:tcW w:w="654"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5E0978B" w14:textId="77777777" w:rsidR="00845B6C" w:rsidRPr="009B2F58" w:rsidRDefault="009B2F58">
            <w:pPr>
              <w:pStyle w:val="Paragraphedeliste"/>
              <w:spacing w:after="0" w:line="240" w:lineRule="auto"/>
              <w:ind w:left="0"/>
              <w:jc w:val="both"/>
              <w:rPr>
                <w:rFonts w:ascii="Times New Roman" w:hAnsi="Times New Roman"/>
                <w:sz w:val="20"/>
                <w:szCs w:val="20"/>
              </w:rPr>
            </w:pPr>
            <w:proofErr w:type="spellStart"/>
            <w:proofErr w:type="gramStart"/>
            <w:r w:rsidRPr="009B2F58">
              <w:rPr>
                <w:rFonts w:ascii="Times New Roman" w:hAnsi="Times New Roman"/>
                <w:sz w:val="20"/>
                <w:szCs w:val="20"/>
              </w:rPr>
              <w:t>n.v</w:t>
            </w:r>
            <w:proofErr w:type="spellEnd"/>
            <w:proofErr w:type="gramEnd"/>
            <w:r w:rsidRPr="009B2F58">
              <w:rPr>
                <w:rStyle w:val="Appelnotedebasdep"/>
                <w:rFonts w:ascii="Times New Roman" w:hAnsi="Times New Roman"/>
                <w:sz w:val="20"/>
                <w:szCs w:val="20"/>
              </w:rPr>
              <w:footnoteReference w:id="3"/>
            </w:r>
            <w:r w:rsidRPr="009B2F58">
              <w:rPr>
                <w:rFonts w:ascii="Times New Roman" w:hAnsi="Times New Roman"/>
                <w:sz w:val="20"/>
                <w:szCs w:val="20"/>
              </w:rPr>
              <w:t>.</w:t>
            </w:r>
          </w:p>
        </w:tc>
        <w:tc>
          <w:tcPr>
            <w:tcW w:w="58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422ACDA" w14:textId="4C596B50" w:rsidR="00845B6C" w:rsidRPr="009B2F58" w:rsidRDefault="006F0C2E">
            <w:pPr>
              <w:pStyle w:val="Paragraphedeliste"/>
              <w:spacing w:after="0" w:line="240" w:lineRule="auto"/>
              <w:ind w:left="0"/>
              <w:jc w:val="both"/>
              <w:rPr>
                <w:rFonts w:ascii="Times New Roman" w:hAnsi="Times New Roman"/>
                <w:sz w:val="20"/>
                <w:szCs w:val="20"/>
              </w:rPr>
            </w:pPr>
            <w:r>
              <w:rPr>
                <w:rFonts w:ascii="Times New Roman" w:hAnsi="Times New Roman"/>
                <w:sz w:val="20"/>
                <w:szCs w:val="20"/>
              </w:rPr>
              <w:t>O</w:t>
            </w:r>
            <w:r w:rsidR="009B2F58" w:rsidRPr="009B2F58">
              <w:rPr>
                <w:rFonts w:ascii="Times New Roman" w:hAnsi="Times New Roman"/>
                <w:sz w:val="20"/>
                <w:szCs w:val="20"/>
              </w:rPr>
              <w:t>ui</w:t>
            </w:r>
          </w:p>
        </w:tc>
        <w:tc>
          <w:tcPr>
            <w:tcW w:w="587"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14DFCB1" w14:textId="77777777" w:rsidR="00845B6C" w:rsidRPr="009B2F58" w:rsidRDefault="009B2F58">
            <w:pPr>
              <w:pStyle w:val="Paragraphedeliste"/>
              <w:spacing w:after="0" w:line="240" w:lineRule="auto"/>
              <w:ind w:left="0"/>
              <w:jc w:val="both"/>
              <w:rPr>
                <w:rFonts w:ascii="Times New Roman" w:hAnsi="Times New Roman"/>
                <w:sz w:val="20"/>
                <w:szCs w:val="20"/>
              </w:rPr>
            </w:pPr>
            <w:proofErr w:type="spellStart"/>
            <w:r w:rsidRPr="009B2F58">
              <w:rPr>
                <w:rFonts w:ascii="Times New Roman" w:hAnsi="Times New Roman"/>
                <w:sz w:val="20"/>
                <w:szCs w:val="20"/>
              </w:rPr>
              <w:t>n.v</w:t>
            </w:r>
            <w:proofErr w:type="spellEnd"/>
            <w:r w:rsidRPr="009B2F58">
              <w:rPr>
                <w:rFonts w:ascii="Times New Roman" w:hAnsi="Times New Roman"/>
                <w:sz w:val="20"/>
                <w:szCs w:val="20"/>
              </w:rPr>
              <w:t>.</w:t>
            </w:r>
          </w:p>
        </w:tc>
        <w:tc>
          <w:tcPr>
            <w:tcW w:w="587"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7E3CF72" w14:textId="3AAB76C5" w:rsidR="00845B6C" w:rsidRPr="009B2F58" w:rsidRDefault="00E1123E">
            <w:pPr>
              <w:pStyle w:val="Paragraphedeliste"/>
              <w:spacing w:after="0" w:line="240" w:lineRule="auto"/>
              <w:ind w:left="0"/>
              <w:jc w:val="both"/>
              <w:rPr>
                <w:rFonts w:ascii="Times New Roman" w:hAnsi="Times New Roman"/>
                <w:sz w:val="20"/>
                <w:szCs w:val="20"/>
              </w:rPr>
            </w:pPr>
            <w:r w:rsidRPr="009B2F58">
              <w:rPr>
                <w:rFonts w:ascii="Times New Roman" w:hAnsi="Times New Roman"/>
                <w:sz w:val="20"/>
                <w:szCs w:val="20"/>
              </w:rPr>
              <w:t>O</w:t>
            </w:r>
            <w:r w:rsidR="009B2F58" w:rsidRPr="009B2F58">
              <w:rPr>
                <w:rFonts w:ascii="Times New Roman" w:hAnsi="Times New Roman"/>
                <w:sz w:val="20"/>
                <w:szCs w:val="20"/>
              </w:rPr>
              <w:t>ui</w:t>
            </w:r>
          </w:p>
        </w:tc>
        <w:tc>
          <w:tcPr>
            <w:tcW w:w="587"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99A0448" w14:textId="5FBA9ED2" w:rsidR="00845B6C" w:rsidRPr="009B2F58" w:rsidRDefault="00457F5D">
            <w:pPr>
              <w:pStyle w:val="Paragraphedeliste"/>
              <w:spacing w:after="0" w:line="240" w:lineRule="auto"/>
              <w:ind w:left="0"/>
              <w:jc w:val="both"/>
              <w:rPr>
                <w:rFonts w:ascii="Times New Roman" w:hAnsi="Times New Roman"/>
                <w:sz w:val="20"/>
                <w:szCs w:val="20"/>
              </w:rPr>
            </w:pPr>
            <w:r w:rsidRPr="009B2F58">
              <w:rPr>
                <w:rFonts w:ascii="Times New Roman" w:hAnsi="Times New Roman"/>
                <w:sz w:val="20"/>
                <w:szCs w:val="20"/>
              </w:rPr>
              <w:t>O</w:t>
            </w:r>
            <w:r w:rsidR="009B2F58" w:rsidRPr="009B2F58">
              <w:rPr>
                <w:rFonts w:ascii="Times New Roman" w:hAnsi="Times New Roman"/>
                <w:sz w:val="20"/>
                <w:szCs w:val="20"/>
              </w:rPr>
              <w:t>ui</w:t>
            </w:r>
          </w:p>
        </w:tc>
        <w:tc>
          <w:tcPr>
            <w:tcW w:w="587"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4A32884" w14:textId="77777777" w:rsidR="00845B6C" w:rsidRPr="009B2F58" w:rsidRDefault="009B2F58">
            <w:pPr>
              <w:pStyle w:val="Paragraphedeliste"/>
              <w:spacing w:after="0" w:line="240" w:lineRule="auto"/>
              <w:ind w:left="0"/>
              <w:jc w:val="both"/>
              <w:rPr>
                <w:rFonts w:ascii="Times New Roman" w:hAnsi="Times New Roman"/>
                <w:sz w:val="20"/>
                <w:szCs w:val="20"/>
              </w:rPr>
            </w:pPr>
            <w:proofErr w:type="spellStart"/>
            <w:r w:rsidRPr="009B2F58">
              <w:rPr>
                <w:rFonts w:ascii="Times New Roman" w:hAnsi="Times New Roman"/>
                <w:sz w:val="20"/>
                <w:szCs w:val="20"/>
              </w:rPr>
              <w:t>n.v</w:t>
            </w:r>
            <w:proofErr w:type="spellEnd"/>
            <w:r w:rsidRPr="009B2F58">
              <w:rPr>
                <w:rFonts w:ascii="Times New Roman" w:hAnsi="Times New Roman"/>
                <w:sz w:val="20"/>
                <w:szCs w:val="20"/>
              </w:rPr>
              <w:t>.</w:t>
            </w:r>
          </w:p>
        </w:tc>
        <w:tc>
          <w:tcPr>
            <w:tcW w:w="587"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25636C2" w14:textId="77777777" w:rsidR="00845B6C" w:rsidRPr="009B2F58" w:rsidRDefault="009B2F58">
            <w:pPr>
              <w:pStyle w:val="Paragraphedeliste"/>
              <w:spacing w:after="0" w:line="240" w:lineRule="auto"/>
              <w:ind w:left="0"/>
              <w:jc w:val="both"/>
              <w:rPr>
                <w:rFonts w:ascii="Times New Roman" w:hAnsi="Times New Roman"/>
                <w:sz w:val="20"/>
                <w:szCs w:val="20"/>
              </w:rPr>
            </w:pPr>
            <w:proofErr w:type="gramStart"/>
            <w:r w:rsidRPr="009B2F58">
              <w:rPr>
                <w:rFonts w:ascii="Times New Roman" w:hAnsi="Times New Roman"/>
                <w:sz w:val="20"/>
                <w:szCs w:val="20"/>
              </w:rPr>
              <w:t>oui</w:t>
            </w:r>
            <w:proofErr w:type="gramEnd"/>
          </w:p>
        </w:tc>
        <w:tc>
          <w:tcPr>
            <w:tcW w:w="587"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07F6C0C" w14:textId="77777777" w:rsidR="00845B6C" w:rsidRPr="009B2F58" w:rsidRDefault="009B2F58">
            <w:pPr>
              <w:pStyle w:val="Paragraphedeliste"/>
              <w:spacing w:after="0" w:line="240" w:lineRule="auto"/>
              <w:ind w:left="0"/>
              <w:jc w:val="both"/>
              <w:rPr>
                <w:rFonts w:ascii="Times New Roman" w:hAnsi="Times New Roman"/>
                <w:sz w:val="20"/>
                <w:szCs w:val="20"/>
              </w:rPr>
            </w:pPr>
            <w:proofErr w:type="spellStart"/>
            <w:r w:rsidRPr="009B2F58">
              <w:rPr>
                <w:rFonts w:ascii="Times New Roman" w:hAnsi="Times New Roman"/>
                <w:sz w:val="20"/>
                <w:szCs w:val="20"/>
              </w:rPr>
              <w:t>n.v</w:t>
            </w:r>
            <w:proofErr w:type="spellEnd"/>
            <w:r w:rsidRPr="009B2F58">
              <w:rPr>
                <w:rFonts w:ascii="Times New Roman" w:hAnsi="Times New Roman"/>
                <w:sz w:val="20"/>
                <w:szCs w:val="20"/>
              </w:rPr>
              <w:t>.</w:t>
            </w:r>
          </w:p>
        </w:tc>
      </w:tr>
      <w:tr w:rsidR="00845B6C" w14:paraId="55FDF5B1" w14:textId="77777777">
        <w:trPr>
          <w:trHeight w:val="586"/>
        </w:trPr>
        <w:tc>
          <w:tcPr>
            <w:tcW w:w="429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365D7A5" w14:textId="77777777" w:rsidR="00845B6C" w:rsidRPr="009B2F58" w:rsidRDefault="009B2F58">
            <w:pPr>
              <w:pStyle w:val="Paragraphedeliste"/>
              <w:spacing w:after="0" w:line="240" w:lineRule="auto"/>
              <w:ind w:left="0"/>
              <w:rPr>
                <w:rFonts w:ascii="Times New Roman" w:hAnsi="Times New Roman"/>
                <w:sz w:val="20"/>
                <w:szCs w:val="20"/>
              </w:rPr>
            </w:pPr>
            <w:r w:rsidRPr="009B2F58">
              <w:rPr>
                <w:rFonts w:ascii="Times New Roman" w:hAnsi="Times New Roman"/>
                <w:bCs/>
                <w:sz w:val="20"/>
                <w:szCs w:val="20"/>
              </w:rPr>
              <w:t>L’excès de confiance, le biais d’optimisme</w:t>
            </w:r>
          </w:p>
        </w:tc>
        <w:tc>
          <w:tcPr>
            <w:tcW w:w="6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50EA543" w14:textId="77777777" w:rsidR="00845B6C" w:rsidRPr="009B2F58" w:rsidRDefault="009B2F58">
            <w:pPr>
              <w:pStyle w:val="Paragraphedeliste"/>
              <w:spacing w:after="0" w:line="240" w:lineRule="auto"/>
              <w:ind w:left="0"/>
              <w:jc w:val="both"/>
              <w:rPr>
                <w:rFonts w:ascii="Times New Roman" w:hAnsi="Times New Roman"/>
                <w:sz w:val="20"/>
                <w:szCs w:val="20"/>
              </w:rPr>
            </w:pPr>
            <w:proofErr w:type="spellStart"/>
            <w:r w:rsidRPr="009B2F58">
              <w:rPr>
                <w:rFonts w:ascii="Times New Roman" w:hAnsi="Times New Roman"/>
                <w:sz w:val="20"/>
                <w:szCs w:val="20"/>
              </w:rPr>
              <w:t>n.v</w:t>
            </w:r>
            <w:proofErr w:type="spellEnd"/>
            <w:r w:rsidRPr="009B2F58">
              <w:rPr>
                <w:rFonts w:ascii="Times New Roman" w:hAnsi="Times New Roman"/>
                <w:sz w:val="20"/>
                <w:szCs w:val="20"/>
              </w:rPr>
              <w:t>.</w:t>
            </w:r>
          </w:p>
        </w:tc>
        <w:tc>
          <w:tcPr>
            <w:tcW w:w="5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DE6F0C0" w14:textId="7C4A6E68" w:rsidR="00845B6C" w:rsidRPr="009B2F58" w:rsidRDefault="006F0C2E">
            <w:pPr>
              <w:pStyle w:val="Paragraphedeliste"/>
              <w:spacing w:after="0" w:line="240" w:lineRule="auto"/>
              <w:ind w:left="0"/>
              <w:jc w:val="both"/>
              <w:rPr>
                <w:rFonts w:ascii="Times New Roman" w:hAnsi="Times New Roman"/>
                <w:sz w:val="20"/>
                <w:szCs w:val="20"/>
              </w:rPr>
            </w:pPr>
            <w:r>
              <w:rPr>
                <w:rFonts w:ascii="Times New Roman" w:hAnsi="Times New Roman"/>
                <w:sz w:val="20"/>
                <w:szCs w:val="20"/>
              </w:rPr>
              <w:t>O</w:t>
            </w:r>
            <w:r w:rsidR="009B2F58" w:rsidRPr="009B2F58">
              <w:rPr>
                <w:rFonts w:ascii="Times New Roman" w:hAnsi="Times New Roman"/>
                <w:sz w:val="20"/>
                <w:szCs w:val="20"/>
              </w:rPr>
              <w:t>ui</w:t>
            </w:r>
          </w:p>
        </w:tc>
        <w:tc>
          <w:tcPr>
            <w:tcW w:w="58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FAEE7CB" w14:textId="5186A5D6" w:rsidR="00845B6C" w:rsidRPr="009B2F58" w:rsidRDefault="00C327B9">
            <w:pPr>
              <w:pStyle w:val="Paragraphedeliste"/>
              <w:spacing w:after="0" w:line="240" w:lineRule="auto"/>
              <w:ind w:left="0"/>
              <w:jc w:val="both"/>
              <w:rPr>
                <w:rFonts w:ascii="Times New Roman" w:hAnsi="Times New Roman"/>
                <w:sz w:val="20"/>
                <w:szCs w:val="20"/>
              </w:rPr>
            </w:pPr>
            <w:r w:rsidRPr="009B2F58">
              <w:rPr>
                <w:rFonts w:ascii="Times New Roman" w:hAnsi="Times New Roman"/>
                <w:sz w:val="20"/>
                <w:szCs w:val="20"/>
              </w:rPr>
              <w:t>O</w:t>
            </w:r>
            <w:r w:rsidR="009B2F58" w:rsidRPr="009B2F58">
              <w:rPr>
                <w:rFonts w:ascii="Times New Roman" w:hAnsi="Times New Roman"/>
                <w:sz w:val="20"/>
                <w:szCs w:val="20"/>
              </w:rPr>
              <w:t>ui</w:t>
            </w:r>
          </w:p>
        </w:tc>
        <w:tc>
          <w:tcPr>
            <w:tcW w:w="58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3FF1BE8" w14:textId="77777777" w:rsidR="00845B6C" w:rsidRPr="009B2F58" w:rsidRDefault="009B2F58">
            <w:pPr>
              <w:pStyle w:val="Paragraphedeliste"/>
              <w:spacing w:after="0" w:line="240" w:lineRule="auto"/>
              <w:ind w:left="0"/>
              <w:jc w:val="both"/>
              <w:rPr>
                <w:rFonts w:ascii="Times New Roman" w:hAnsi="Times New Roman"/>
                <w:sz w:val="20"/>
                <w:szCs w:val="20"/>
              </w:rPr>
            </w:pPr>
            <w:proofErr w:type="spellStart"/>
            <w:r w:rsidRPr="009B2F58">
              <w:rPr>
                <w:rFonts w:ascii="Times New Roman" w:hAnsi="Times New Roman"/>
                <w:sz w:val="20"/>
                <w:szCs w:val="20"/>
              </w:rPr>
              <w:t>n.v</w:t>
            </w:r>
            <w:proofErr w:type="spellEnd"/>
            <w:r w:rsidRPr="009B2F58">
              <w:rPr>
                <w:rFonts w:ascii="Times New Roman" w:hAnsi="Times New Roman"/>
                <w:sz w:val="20"/>
                <w:szCs w:val="20"/>
              </w:rPr>
              <w:t>.</w:t>
            </w:r>
          </w:p>
        </w:tc>
        <w:tc>
          <w:tcPr>
            <w:tcW w:w="58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CDE5FDC" w14:textId="77777777" w:rsidR="00845B6C" w:rsidRPr="009B2F58" w:rsidRDefault="009B2F58">
            <w:pPr>
              <w:pStyle w:val="Paragraphedeliste"/>
              <w:spacing w:after="0" w:line="240" w:lineRule="auto"/>
              <w:ind w:left="0"/>
              <w:jc w:val="both"/>
              <w:rPr>
                <w:rFonts w:ascii="Times New Roman" w:hAnsi="Times New Roman"/>
                <w:sz w:val="20"/>
                <w:szCs w:val="20"/>
              </w:rPr>
            </w:pPr>
            <w:proofErr w:type="spellStart"/>
            <w:r w:rsidRPr="009B2F58">
              <w:rPr>
                <w:rFonts w:ascii="Times New Roman" w:hAnsi="Times New Roman"/>
                <w:sz w:val="20"/>
                <w:szCs w:val="20"/>
              </w:rPr>
              <w:t>n.v</w:t>
            </w:r>
            <w:proofErr w:type="spellEnd"/>
            <w:r w:rsidRPr="009B2F58">
              <w:rPr>
                <w:rFonts w:ascii="Times New Roman" w:hAnsi="Times New Roman"/>
                <w:sz w:val="20"/>
                <w:szCs w:val="20"/>
              </w:rPr>
              <w:t>.</w:t>
            </w:r>
          </w:p>
        </w:tc>
        <w:tc>
          <w:tcPr>
            <w:tcW w:w="58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A1046D3" w14:textId="77777777" w:rsidR="00845B6C" w:rsidRPr="009B2F58" w:rsidRDefault="009B2F58">
            <w:pPr>
              <w:pStyle w:val="Paragraphedeliste"/>
              <w:spacing w:after="0" w:line="240" w:lineRule="auto"/>
              <w:ind w:left="0"/>
              <w:jc w:val="both"/>
              <w:rPr>
                <w:rFonts w:ascii="Times New Roman" w:hAnsi="Times New Roman"/>
                <w:sz w:val="20"/>
                <w:szCs w:val="20"/>
              </w:rPr>
            </w:pPr>
            <w:proofErr w:type="gramStart"/>
            <w:r w:rsidRPr="009B2F58">
              <w:rPr>
                <w:rFonts w:ascii="Times New Roman" w:hAnsi="Times New Roman"/>
                <w:sz w:val="20"/>
                <w:szCs w:val="20"/>
              </w:rPr>
              <w:t>oui</w:t>
            </w:r>
            <w:proofErr w:type="gramEnd"/>
          </w:p>
        </w:tc>
        <w:tc>
          <w:tcPr>
            <w:tcW w:w="58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D79E692" w14:textId="77777777" w:rsidR="00845B6C" w:rsidRPr="009B2F58" w:rsidRDefault="009B2F58">
            <w:pPr>
              <w:pStyle w:val="Paragraphedeliste"/>
              <w:spacing w:after="0" w:line="240" w:lineRule="auto"/>
              <w:ind w:left="0"/>
              <w:jc w:val="both"/>
              <w:rPr>
                <w:rFonts w:ascii="Times New Roman" w:hAnsi="Times New Roman"/>
                <w:sz w:val="20"/>
                <w:szCs w:val="20"/>
              </w:rPr>
            </w:pPr>
            <w:proofErr w:type="spellStart"/>
            <w:r w:rsidRPr="009B2F58">
              <w:rPr>
                <w:rFonts w:ascii="Times New Roman" w:hAnsi="Times New Roman"/>
                <w:sz w:val="20"/>
                <w:szCs w:val="20"/>
              </w:rPr>
              <w:t>n.v</w:t>
            </w:r>
            <w:proofErr w:type="spellEnd"/>
            <w:r w:rsidRPr="009B2F58">
              <w:rPr>
                <w:rFonts w:ascii="Times New Roman" w:hAnsi="Times New Roman"/>
                <w:sz w:val="20"/>
                <w:szCs w:val="20"/>
              </w:rPr>
              <w:t>.</w:t>
            </w:r>
          </w:p>
        </w:tc>
        <w:tc>
          <w:tcPr>
            <w:tcW w:w="58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88F2150" w14:textId="77777777" w:rsidR="00845B6C" w:rsidRPr="009B2F58" w:rsidRDefault="009B2F58">
            <w:pPr>
              <w:pStyle w:val="Paragraphedeliste"/>
              <w:spacing w:after="0" w:line="240" w:lineRule="auto"/>
              <w:ind w:left="0"/>
              <w:jc w:val="both"/>
              <w:rPr>
                <w:rFonts w:ascii="Times New Roman" w:hAnsi="Times New Roman"/>
                <w:sz w:val="20"/>
                <w:szCs w:val="20"/>
              </w:rPr>
            </w:pPr>
            <w:proofErr w:type="spellStart"/>
            <w:r w:rsidRPr="009B2F58">
              <w:rPr>
                <w:rFonts w:ascii="Times New Roman" w:hAnsi="Times New Roman"/>
                <w:sz w:val="20"/>
                <w:szCs w:val="20"/>
              </w:rPr>
              <w:t>n.v</w:t>
            </w:r>
            <w:proofErr w:type="spellEnd"/>
            <w:r w:rsidRPr="009B2F58">
              <w:rPr>
                <w:rFonts w:ascii="Times New Roman" w:hAnsi="Times New Roman"/>
                <w:sz w:val="20"/>
                <w:szCs w:val="20"/>
              </w:rPr>
              <w:t>.</w:t>
            </w:r>
          </w:p>
        </w:tc>
      </w:tr>
      <w:tr w:rsidR="00845B6C" w14:paraId="13870719" w14:textId="77777777">
        <w:trPr>
          <w:trHeight w:val="586"/>
        </w:trPr>
        <w:tc>
          <w:tcPr>
            <w:tcW w:w="429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AC77C44" w14:textId="77777777" w:rsidR="00845B6C" w:rsidRPr="009B2F58" w:rsidRDefault="009B2F58">
            <w:pPr>
              <w:pStyle w:val="Paragraphedeliste"/>
              <w:spacing w:after="0" w:line="240" w:lineRule="auto"/>
              <w:ind w:left="0"/>
              <w:rPr>
                <w:rFonts w:ascii="Times New Roman" w:hAnsi="Times New Roman"/>
                <w:sz w:val="20"/>
                <w:szCs w:val="20"/>
              </w:rPr>
            </w:pPr>
            <w:r w:rsidRPr="009B2F58">
              <w:rPr>
                <w:rFonts w:ascii="Times New Roman" w:hAnsi="Times New Roman"/>
                <w:bCs/>
                <w:sz w:val="20"/>
                <w:szCs w:val="20"/>
              </w:rPr>
              <w:t>L’influence des humeurs et des émotions</w:t>
            </w:r>
          </w:p>
        </w:tc>
        <w:tc>
          <w:tcPr>
            <w:tcW w:w="654"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1F704F0" w14:textId="36AE4BEE" w:rsidR="00845B6C" w:rsidRPr="009B2F58" w:rsidRDefault="00A52778">
            <w:pPr>
              <w:pStyle w:val="Paragraphedeliste"/>
              <w:spacing w:after="0" w:line="240" w:lineRule="auto"/>
              <w:ind w:left="0"/>
              <w:jc w:val="both"/>
              <w:rPr>
                <w:rFonts w:ascii="Times New Roman" w:hAnsi="Times New Roman"/>
                <w:sz w:val="20"/>
                <w:szCs w:val="20"/>
              </w:rPr>
            </w:pPr>
            <w:r w:rsidRPr="009B2F58">
              <w:rPr>
                <w:rFonts w:ascii="Times New Roman" w:hAnsi="Times New Roman"/>
                <w:sz w:val="20"/>
                <w:szCs w:val="20"/>
              </w:rPr>
              <w:t>O</w:t>
            </w:r>
            <w:r w:rsidR="009B2F58" w:rsidRPr="009B2F58">
              <w:rPr>
                <w:rFonts w:ascii="Times New Roman" w:hAnsi="Times New Roman"/>
                <w:sz w:val="20"/>
                <w:szCs w:val="20"/>
              </w:rPr>
              <w:t>ui</w:t>
            </w:r>
          </w:p>
        </w:tc>
        <w:tc>
          <w:tcPr>
            <w:tcW w:w="58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C852290" w14:textId="0F9A3022" w:rsidR="00845B6C" w:rsidRPr="009B2F58" w:rsidRDefault="006F0C2E">
            <w:pPr>
              <w:pStyle w:val="Paragraphedeliste"/>
              <w:spacing w:after="0" w:line="240" w:lineRule="auto"/>
              <w:ind w:left="0"/>
              <w:jc w:val="both"/>
              <w:rPr>
                <w:rFonts w:ascii="Times New Roman" w:hAnsi="Times New Roman"/>
                <w:sz w:val="20"/>
                <w:szCs w:val="20"/>
              </w:rPr>
            </w:pPr>
            <w:r>
              <w:rPr>
                <w:rFonts w:ascii="Times New Roman" w:hAnsi="Times New Roman"/>
                <w:sz w:val="20"/>
                <w:szCs w:val="20"/>
              </w:rPr>
              <w:t>O</w:t>
            </w:r>
            <w:r w:rsidR="009B2F58" w:rsidRPr="009B2F58">
              <w:rPr>
                <w:rFonts w:ascii="Times New Roman" w:hAnsi="Times New Roman"/>
                <w:sz w:val="20"/>
                <w:szCs w:val="20"/>
              </w:rPr>
              <w:t>ui</w:t>
            </w:r>
          </w:p>
        </w:tc>
        <w:tc>
          <w:tcPr>
            <w:tcW w:w="587"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A8BAAB5" w14:textId="2B662BB9" w:rsidR="00845B6C" w:rsidRPr="009B2F58" w:rsidRDefault="00C327B9">
            <w:pPr>
              <w:pStyle w:val="Paragraphedeliste"/>
              <w:spacing w:after="0" w:line="240" w:lineRule="auto"/>
              <w:ind w:left="0"/>
              <w:jc w:val="both"/>
              <w:rPr>
                <w:rFonts w:ascii="Times New Roman" w:hAnsi="Times New Roman"/>
                <w:sz w:val="20"/>
                <w:szCs w:val="20"/>
              </w:rPr>
            </w:pPr>
            <w:r w:rsidRPr="009B2F58">
              <w:rPr>
                <w:rFonts w:ascii="Times New Roman" w:hAnsi="Times New Roman"/>
                <w:sz w:val="20"/>
                <w:szCs w:val="20"/>
              </w:rPr>
              <w:t>O</w:t>
            </w:r>
            <w:r w:rsidR="009B2F58" w:rsidRPr="009B2F58">
              <w:rPr>
                <w:rFonts w:ascii="Times New Roman" w:hAnsi="Times New Roman"/>
                <w:sz w:val="20"/>
                <w:szCs w:val="20"/>
              </w:rPr>
              <w:t>ui</w:t>
            </w:r>
          </w:p>
        </w:tc>
        <w:tc>
          <w:tcPr>
            <w:tcW w:w="587"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B20A4AB" w14:textId="75BDC6E3" w:rsidR="00845B6C" w:rsidRPr="009B2F58" w:rsidRDefault="00E1123E">
            <w:pPr>
              <w:pStyle w:val="Paragraphedeliste"/>
              <w:spacing w:after="0" w:line="240" w:lineRule="auto"/>
              <w:ind w:left="0"/>
              <w:jc w:val="both"/>
              <w:rPr>
                <w:rFonts w:ascii="Times New Roman" w:hAnsi="Times New Roman"/>
                <w:sz w:val="20"/>
                <w:szCs w:val="20"/>
              </w:rPr>
            </w:pPr>
            <w:r w:rsidRPr="009B2F58">
              <w:rPr>
                <w:rFonts w:ascii="Times New Roman" w:hAnsi="Times New Roman"/>
                <w:sz w:val="20"/>
                <w:szCs w:val="20"/>
              </w:rPr>
              <w:t>O</w:t>
            </w:r>
            <w:r w:rsidR="009B2F58" w:rsidRPr="009B2F58">
              <w:rPr>
                <w:rFonts w:ascii="Times New Roman" w:hAnsi="Times New Roman"/>
                <w:sz w:val="20"/>
                <w:szCs w:val="20"/>
              </w:rPr>
              <w:t>ui</w:t>
            </w:r>
          </w:p>
        </w:tc>
        <w:tc>
          <w:tcPr>
            <w:tcW w:w="587"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E59EF77" w14:textId="10786B54" w:rsidR="00845B6C" w:rsidRPr="009B2F58" w:rsidRDefault="00457F5D">
            <w:pPr>
              <w:pStyle w:val="Paragraphedeliste"/>
              <w:spacing w:after="0" w:line="240" w:lineRule="auto"/>
              <w:ind w:left="0"/>
              <w:jc w:val="both"/>
              <w:rPr>
                <w:rFonts w:ascii="Times New Roman" w:hAnsi="Times New Roman"/>
                <w:sz w:val="20"/>
                <w:szCs w:val="20"/>
              </w:rPr>
            </w:pPr>
            <w:r w:rsidRPr="009B2F58">
              <w:rPr>
                <w:rFonts w:ascii="Times New Roman" w:hAnsi="Times New Roman"/>
                <w:sz w:val="20"/>
                <w:szCs w:val="20"/>
              </w:rPr>
              <w:t>O</w:t>
            </w:r>
            <w:r w:rsidR="009B2F58" w:rsidRPr="009B2F58">
              <w:rPr>
                <w:rFonts w:ascii="Times New Roman" w:hAnsi="Times New Roman"/>
                <w:sz w:val="20"/>
                <w:szCs w:val="20"/>
              </w:rPr>
              <w:t>ui</w:t>
            </w:r>
          </w:p>
        </w:tc>
        <w:tc>
          <w:tcPr>
            <w:tcW w:w="587"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B447CAC" w14:textId="77777777" w:rsidR="00845B6C" w:rsidRPr="009B2F58" w:rsidRDefault="009B2F58">
            <w:pPr>
              <w:pStyle w:val="Paragraphedeliste"/>
              <w:spacing w:after="0" w:line="240" w:lineRule="auto"/>
              <w:ind w:left="0"/>
              <w:jc w:val="both"/>
              <w:rPr>
                <w:rFonts w:ascii="Times New Roman" w:hAnsi="Times New Roman"/>
                <w:sz w:val="20"/>
                <w:szCs w:val="20"/>
              </w:rPr>
            </w:pPr>
            <w:proofErr w:type="gramStart"/>
            <w:r w:rsidRPr="009B2F58">
              <w:rPr>
                <w:rFonts w:ascii="Times New Roman" w:hAnsi="Times New Roman"/>
                <w:sz w:val="20"/>
                <w:szCs w:val="20"/>
              </w:rPr>
              <w:t>oui</w:t>
            </w:r>
            <w:proofErr w:type="gramEnd"/>
          </w:p>
        </w:tc>
        <w:tc>
          <w:tcPr>
            <w:tcW w:w="587"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D6FC786" w14:textId="77777777" w:rsidR="00845B6C" w:rsidRPr="009B2F58" w:rsidRDefault="009B2F58">
            <w:pPr>
              <w:pStyle w:val="Paragraphedeliste"/>
              <w:spacing w:after="0" w:line="240" w:lineRule="auto"/>
              <w:ind w:left="0"/>
              <w:jc w:val="both"/>
              <w:rPr>
                <w:rFonts w:ascii="Times New Roman" w:hAnsi="Times New Roman"/>
                <w:sz w:val="20"/>
                <w:szCs w:val="20"/>
              </w:rPr>
            </w:pPr>
            <w:proofErr w:type="gramStart"/>
            <w:r w:rsidRPr="009B2F58">
              <w:rPr>
                <w:rFonts w:ascii="Times New Roman" w:hAnsi="Times New Roman"/>
                <w:sz w:val="20"/>
                <w:szCs w:val="20"/>
              </w:rPr>
              <w:t>oui</w:t>
            </w:r>
            <w:proofErr w:type="gramEnd"/>
          </w:p>
        </w:tc>
        <w:tc>
          <w:tcPr>
            <w:tcW w:w="587"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4462F08" w14:textId="77777777" w:rsidR="00845B6C" w:rsidRPr="009B2F58" w:rsidRDefault="009B2F58">
            <w:pPr>
              <w:pStyle w:val="Paragraphedeliste"/>
              <w:spacing w:after="0" w:line="240" w:lineRule="auto"/>
              <w:ind w:left="0"/>
              <w:jc w:val="both"/>
              <w:rPr>
                <w:rFonts w:ascii="Times New Roman" w:hAnsi="Times New Roman"/>
                <w:sz w:val="20"/>
                <w:szCs w:val="20"/>
              </w:rPr>
            </w:pPr>
            <w:proofErr w:type="gramStart"/>
            <w:r w:rsidRPr="009B2F58">
              <w:rPr>
                <w:rFonts w:ascii="Times New Roman" w:hAnsi="Times New Roman"/>
                <w:sz w:val="20"/>
                <w:szCs w:val="20"/>
              </w:rPr>
              <w:t>oui</w:t>
            </w:r>
            <w:proofErr w:type="gramEnd"/>
          </w:p>
        </w:tc>
      </w:tr>
      <w:tr w:rsidR="00845B6C" w14:paraId="239C3A28" w14:textId="77777777">
        <w:trPr>
          <w:trHeight w:val="586"/>
        </w:trPr>
        <w:tc>
          <w:tcPr>
            <w:tcW w:w="429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E27FE9B" w14:textId="77777777" w:rsidR="00845B6C" w:rsidRPr="009B2F58" w:rsidRDefault="009B2F58">
            <w:pPr>
              <w:pStyle w:val="Paragraphedeliste"/>
              <w:spacing w:after="0" w:line="240" w:lineRule="auto"/>
              <w:ind w:left="0"/>
              <w:rPr>
                <w:rFonts w:ascii="Times New Roman" w:hAnsi="Times New Roman"/>
                <w:sz w:val="20"/>
                <w:szCs w:val="20"/>
              </w:rPr>
            </w:pPr>
            <w:r w:rsidRPr="009B2F58">
              <w:rPr>
                <w:rFonts w:ascii="Times New Roman" w:hAnsi="Times New Roman"/>
                <w:bCs/>
                <w:sz w:val="20"/>
                <w:szCs w:val="20"/>
              </w:rPr>
              <w:t>Le biais de disponibilité</w:t>
            </w:r>
          </w:p>
        </w:tc>
        <w:tc>
          <w:tcPr>
            <w:tcW w:w="6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F5F66D0" w14:textId="3E2F6DAD" w:rsidR="00845B6C" w:rsidRPr="009B2F58" w:rsidRDefault="00A52778">
            <w:pPr>
              <w:pStyle w:val="Paragraphedeliste"/>
              <w:spacing w:after="0" w:line="240" w:lineRule="auto"/>
              <w:ind w:left="0"/>
              <w:jc w:val="both"/>
              <w:rPr>
                <w:rFonts w:ascii="Times New Roman" w:hAnsi="Times New Roman"/>
                <w:sz w:val="20"/>
                <w:szCs w:val="20"/>
              </w:rPr>
            </w:pPr>
            <w:r w:rsidRPr="009B2F58">
              <w:rPr>
                <w:rFonts w:ascii="Times New Roman" w:hAnsi="Times New Roman"/>
                <w:sz w:val="20"/>
                <w:szCs w:val="20"/>
              </w:rPr>
              <w:t>O</w:t>
            </w:r>
            <w:r w:rsidR="009B2F58" w:rsidRPr="009B2F58">
              <w:rPr>
                <w:rFonts w:ascii="Times New Roman" w:hAnsi="Times New Roman"/>
                <w:sz w:val="20"/>
                <w:szCs w:val="20"/>
              </w:rPr>
              <w:t>ui</w:t>
            </w:r>
          </w:p>
        </w:tc>
        <w:tc>
          <w:tcPr>
            <w:tcW w:w="5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9F7FF9F" w14:textId="6E66A5FB" w:rsidR="00845B6C" w:rsidRPr="009B2F58" w:rsidRDefault="006F0C2E">
            <w:pPr>
              <w:pStyle w:val="Paragraphedeliste"/>
              <w:spacing w:after="0" w:line="240" w:lineRule="auto"/>
              <w:ind w:left="0"/>
              <w:jc w:val="both"/>
              <w:rPr>
                <w:rFonts w:ascii="Times New Roman" w:hAnsi="Times New Roman"/>
                <w:sz w:val="20"/>
                <w:szCs w:val="20"/>
              </w:rPr>
            </w:pPr>
            <w:r w:rsidRPr="009B2F58">
              <w:rPr>
                <w:rFonts w:ascii="Times New Roman" w:hAnsi="Times New Roman"/>
                <w:sz w:val="20"/>
                <w:szCs w:val="20"/>
              </w:rPr>
              <w:t>O</w:t>
            </w:r>
            <w:r w:rsidR="009B2F58" w:rsidRPr="009B2F58">
              <w:rPr>
                <w:rFonts w:ascii="Times New Roman" w:hAnsi="Times New Roman"/>
                <w:sz w:val="20"/>
                <w:szCs w:val="20"/>
              </w:rPr>
              <w:t>ui</w:t>
            </w:r>
          </w:p>
        </w:tc>
        <w:tc>
          <w:tcPr>
            <w:tcW w:w="58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A164A3C" w14:textId="143BAC0B" w:rsidR="00845B6C" w:rsidRPr="009B2F58" w:rsidRDefault="00C327B9">
            <w:pPr>
              <w:pStyle w:val="Paragraphedeliste"/>
              <w:spacing w:after="0" w:line="240" w:lineRule="auto"/>
              <w:ind w:left="0"/>
              <w:jc w:val="both"/>
              <w:rPr>
                <w:rFonts w:ascii="Times New Roman" w:hAnsi="Times New Roman"/>
                <w:sz w:val="20"/>
                <w:szCs w:val="20"/>
              </w:rPr>
            </w:pPr>
            <w:r w:rsidRPr="009B2F58">
              <w:rPr>
                <w:rFonts w:ascii="Times New Roman" w:hAnsi="Times New Roman"/>
                <w:sz w:val="20"/>
                <w:szCs w:val="20"/>
              </w:rPr>
              <w:t>O</w:t>
            </w:r>
            <w:r w:rsidR="009B2F58" w:rsidRPr="009B2F58">
              <w:rPr>
                <w:rFonts w:ascii="Times New Roman" w:hAnsi="Times New Roman"/>
                <w:sz w:val="20"/>
                <w:szCs w:val="20"/>
              </w:rPr>
              <w:t>ui</w:t>
            </w:r>
          </w:p>
        </w:tc>
        <w:tc>
          <w:tcPr>
            <w:tcW w:w="58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42AA09C" w14:textId="0A83D26A" w:rsidR="00845B6C" w:rsidRPr="009B2F58" w:rsidRDefault="00E1123E">
            <w:pPr>
              <w:pStyle w:val="Paragraphedeliste"/>
              <w:spacing w:after="0" w:line="240" w:lineRule="auto"/>
              <w:ind w:left="0"/>
              <w:jc w:val="both"/>
              <w:rPr>
                <w:rFonts w:ascii="Times New Roman" w:hAnsi="Times New Roman"/>
                <w:sz w:val="20"/>
                <w:szCs w:val="20"/>
              </w:rPr>
            </w:pPr>
            <w:r w:rsidRPr="009B2F58">
              <w:rPr>
                <w:rFonts w:ascii="Times New Roman" w:hAnsi="Times New Roman"/>
                <w:sz w:val="20"/>
                <w:szCs w:val="20"/>
              </w:rPr>
              <w:t>O</w:t>
            </w:r>
            <w:r w:rsidR="009B2F58" w:rsidRPr="009B2F58">
              <w:rPr>
                <w:rFonts w:ascii="Times New Roman" w:hAnsi="Times New Roman"/>
                <w:sz w:val="20"/>
                <w:szCs w:val="20"/>
              </w:rPr>
              <w:t>ui</w:t>
            </w:r>
          </w:p>
        </w:tc>
        <w:tc>
          <w:tcPr>
            <w:tcW w:w="58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2605F14" w14:textId="77777777" w:rsidR="00845B6C" w:rsidRPr="009B2F58" w:rsidRDefault="009B2F58">
            <w:pPr>
              <w:pStyle w:val="Paragraphedeliste"/>
              <w:spacing w:after="0" w:line="240" w:lineRule="auto"/>
              <w:ind w:left="0"/>
              <w:jc w:val="both"/>
              <w:rPr>
                <w:rFonts w:ascii="Times New Roman" w:hAnsi="Times New Roman"/>
                <w:sz w:val="20"/>
                <w:szCs w:val="20"/>
              </w:rPr>
            </w:pPr>
            <w:proofErr w:type="spellStart"/>
            <w:r w:rsidRPr="009B2F58">
              <w:rPr>
                <w:rFonts w:ascii="Times New Roman" w:hAnsi="Times New Roman"/>
                <w:sz w:val="20"/>
                <w:szCs w:val="20"/>
              </w:rPr>
              <w:t>n.v</w:t>
            </w:r>
            <w:proofErr w:type="spellEnd"/>
            <w:r w:rsidRPr="009B2F58">
              <w:rPr>
                <w:rFonts w:ascii="Times New Roman" w:hAnsi="Times New Roman"/>
                <w:sz w:val="20"/>
                <w:szCs w:val="20"/>
              </w:rPr>
              <w:t>.</w:t>
            </w:r>
          </w:p>
        </w:tc>
        <w:tc>
          <w:tcPr>
            <w:tcW w:w="58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62C7D60" w14:textId="77777777" w:rsidR="00845B6C" w:rsidRPr="009B2F58" w:rsidRDefault="009B2F58">
            <w:pPr>
              <w:pStyle w:val="Paragraphedeliste"/>
              <w:spacing w:after="0" w:line="240" w:lineRule="auto"/>
              <w:ind w:left="0"/>
              <w:jc w:val="both"/>
              <w:rPr>
                <w:rFonts w:ascii="Times New Roman" w:hAnsi="Times New Roman"/>
                <w:sz w:val="20"/>
                <w:szCs w:val="20"/>
              </w:rPr>
            </w:pPr>
            <w:proofErr w:type="gramStart"/>
            <w:r w:rsidRPr="009B2F58">
              <w:rPr>
                <w:rFonts w:ascii="Times New Roman" w:hAnsi="Times New Roman"/>
                <w:sz w:val="20"/>
                <w:szCs w:val="20"/>
              </w:rPr>
              <w:t>oui</w:t>
            </w:r>
            <w:proofErr w:type="gramEnd"/>
          </w:p>
        </w:tc>
        <w:tc>
          <w:tcPr>
            <w:tcW w:w="58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3D29010" w14:textId="77777777" w:rsidR="00845B6C" w:rsidRPr="009B2F58" w:rsidRDefault="009B2F58">
            <w:pPr>
              <w:pStyle w:val="Paragraphedeliste"/>
              <w:spacing w:after="0" w:line="240" w:lineRule="auto"/>
              <w:ind w:left="0"/>
              <w:jc w:val="both"/>
              <w:rPr>
                <w:rFonts w:ascii="Times New Roman" w:hAnsi="Times New Roman"/>
                <w:sz w:val="20"/>
                <w:szCs w:val="20"/>
              </w:rPr>
            </w:pPr>
            <w:proofErr w:type="gramStart"/>
            <w:r w:rsidRPr="009B2F58">
              <w:rPr>
                <w:rFonts w:ascii="Times New Roman" w:hAnsi="Times New Roman"/>
                <w:sz w:val="20"/>
                <w:szCs w:val="20"/>
              </w:rPr>
              <w:t>oui</w:t>
            </w:r>
            <w:proofErr w:type="gramEnd"/>
          </w:p>
        </w:tc>
        <w:tc>
          <w:tcPr>
            <w:tcW w:w="58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FED7488" w14:textId="77777777" w:rsidR="00845B6C" w:rsidRPr="009B2F58" w:rsidRDefault="009B2F58">
            <w:pPr>
              <w:pStyle w:val="Paragraphedeliste"/>
              <w:spacing w:after="0" w:line="240" w:lineRule="auto"/>
              <w:ind w:left="0"/>
              <w:jc w:val="both"/>
              <w:rPr>
                <w:rFonts w:ascii="Times New Roman" w:hAnsi="Times New Roman"/>
                <w:sz w:val="20"/>
                <w:szCs w:val="20"/>
              </w:rPr>
            </w:pPr>
            <w:proofErr w:type="spellStart"/>
            <w:r w:rsidRPr="009B2F58">
              <w:rPr>
                <w:rFonts w:ascii="Times New Roman" w:hAnsi="Times New Roman"/>
                <w:sz w:val="20"/>
                <w:szCs w:val="20"/>
              </w:rPr>
              <w:t>n.v</w:t>
            </w:r>
            <w:proofErr w:type="spellEnd"/>
            <w:r w:rsidRPr="009B2F58">
              <w:rPr>
                <w:rFonts w:ascii="Times New Roman" w:hAnsi="Times New Roman"/>
                <w:sz w:val="20"/>
                <w:szCs w:val="20"/>
              </w:rPr>
              <w:t>.</w:t>
            </w:r>
          </w:p>
        </w:tc>
      </w:tr>
      <w:tr w:rsidR="00845B6C" w14:paraId="304E0EA3" w14:textId="77777777">
        <w:trPr>
          <w:trHeight w:val="586"/>
        </w:trPr>
        <w:tc>
          <w:tcPr>
            <w:tcW w:w="429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B6FE593" w14:textId="77777777" w:rsidR="00845B6C" w:rsidRPr="009B2F58" w:rsidRDefault="009B2F58">
            <w:pPr>
              <w:pStyle w:val="Paragraphedeliste"/>
              <w:spacing w:after="0" w:line="240" w:lineRule="auto"/>
              <w:ind w:left="0"/>
              <w:rPr>
                <w:rFonts w:ascii="Times New Roman" w:hAnsi="Times New Roman"/>
                <w:sz w:val="20"/>
                <w:szCs w:val="20"/>
              </w:rPr>
            </w:pPr>
            <w:r w:rsidRPr="009B2F58">
              <w:rPr>
                <w:rFonts w:ascii="Times New Roman" w:hAnsi="Times New Roman"/>
                <w:bCs/>
                <w:sz w:val="20"/>
                <w:szCs w:val="20"/>
              </w:rPr>
              <w:t>L’importance du contexte, les heuristiques et l’héritage du passé</w:t>
            </w:r>
          </w:p>
        </w:tc>
        <w:tc>
          <w:tcPr>
            <w:tcW w:w="654"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EC71876" w14:textId="77777777" w:rsidR="00845B6C" w:rsidRPr="009B2F58" w:rsidRDefault="009B2F58">
            <w:pPr>
              <w:pStyle w:val="Paragraphedeliste"/>
              <w:spacing w:after="0" w:line="240" w:lineRule="auto"/>
              <w:ind w:left="0"/>
              <w:jc w:val="both"/>
              <w:rPr>
                <w:rFonts w:ascii="Times New Roman" w:hAnsi="Times New Roman"/>
                <w:sz w:val="20"/>
                <w:szCs w:val="20"/>
              </w:rPr>
            </w:pPr>
            <w:proofErr w:type="spellStart"/>
            <w:r w:rsidRPr="009B2F58">
              <w:rPr>
                <w:rFonts w:ascii="Times New Roman" w:hAnsi="Times New Roman"/>
                <w:sz w:val="20"/>
                <w:szCs w:val="20"/>
              </w:rPr>
              <w:t>n.v</w:t>
            </w:r>
            <w:proofErr w:type="spellEnd"/>
            <w:r w:rsidRPr="009B2F58">
              <w:rPr>
                <w:rFonts w:ascii="Times New Roman" w:hAnsi="Times New Roman"/>
                <w:sz w:val="20"/>
                <w:szCs w:val="20"/>
              </w:rPr>
              <w:t>.</w:t>
            </w:r>
          </w:p>
        </w:tc>
        <w:tc>
          <w:tcPr>
            <w:tcW w:w="58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7023B76" w14:textId="0253AAFD" w:rsidR="00845B6C" w:rsidRPr="009B2F58" w:rsidRDefault="006F0C2E">
            <w:pPr>
              <w:pStyle w:val="Paragraphedeliste"/>
              <w:spacing w:after="0" w:line="240" w:lineRule="auto"/>
              <w:ind w:left="0"/>
              <w:jc w:val="both"/>
              <w:rPr>
                <w:rFonts w:ascii="Times New Roman" w:hAnsi="Times New Roman"/>
                <w:sz w:val="20"/>
                <w:szCs w:val="20"/>
              </w:rPr>
            </w:pPr>
            <w:r w:rsidRPr="009B2F58">
              <w:rPr>
                <w:rFonts w:ascii="Times New Roman" w:hAnsi="Times New Roman"/>
                <w:sz w:val="20"/>
                <w:szCs w:val="20"/>
              </w:rPr>
              <w:t>O</w:t>
            </w:r>
            <w:r w:rsidR="009B2F58" w:rsidRPr="009B2F58">
              <w:rPr>
                <w:rFonts w:ascii="Times New Roman" w:hAnsi="Times New Roman"/>
                <w:sz w:val="20"/>
                <w:szCs w:val="20"/>
              </w:rPr>
              <w:t>ui</w:t>
            </w:r>
          </w:p>
        </w:tc>
        <w:tc>
          <w:tcPr>
            <w:tcW w:w="587"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BAFFA7B" w14:textId="5735DF8C" w:rsidR="00845B6C" w:rsidRPr="009B2F58" w:rsidRDefault="00C327B9">
            <w:pPr>
              <w:pStyle w:val="Paragraphedeliste"/>
              <w:spacing w:after="0" w:line="240" w:lineRule="auto"/>
              <w:ind w:left="0"/>
              <w:jc w:val="both"/>
              <w:rPr>
                <w:rFonts w:ascii="Times New Roman" w:hAnsi="Times New Roman"/>
                <w:sz w:val="20"/>
                <w:szCs w:val="20"/>
              </w:rPr>
            </w:pPr>
            <w:r w:rsidRPr="009B2F58">
              <w:rPr>
                <w:rFonts w:ascii="Times New Roman" w:hAnsi="Times New Roman"/>
                <w:sz w:val="20"/>
                <w:szCs w:val="20"/>
              </w:rPr>
              <w:t>O</w:t>
            </w:r>
            <w:r w:rsidR="009B2F58" w:rsidRPr="009B2F58">
              <w:rPr>
                <w:rFonts w:ascii="Times New Roman" w:hAnsi="Times New Roman"/>
                <w:sz w:val="20"/>
                <w:szCs w:val="20"/>
              </w:rPr>
              <w:t>ui</w:t>
            </w:r>
          </w:p>
        </w:tc>
        <w:tc>
          <w:tcPr>
            <w:tcW w:w="587"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92907A3" w14:textId="77777777" w:rsidR="00845B6C" w:rsidRPr="009B2F58" w:rsidRDefault="009B2F58">
            <w:pPr>
              <w:pStyle w:val="Paragraphedeliste"/>
              <w:spacing w:after="0" w:line="240" w:lineRule="auto"/>
              <w:ind w:left="0"/>
              <w:jc w:val="both"/>
              <w:rPr>
                <w:rFonts w:ascii="Times New Roman" w:hAnsi="Times New Roman"/>
                <w:sz w:val="20"/>
                <w:szCs w:val="20"/>
              </w:rPr>
            </w:pPr>
            <w:proofErr w:type="spellStart"/>
            <w:r w:rsidRPr="009B2F58">
              <w:rPr>
                <w:rFonts w:ascii="Times New Roman" w:hAnsi="Times New Roman"/>
                <w:sz w:val="20"/>
                <w:szCs w:val="20"/>
              </w:rPr>
              <w:t>n.v</w:t>
            </w:r>
            <w:proofErr w:type="spellEnd"/>
            <w:r w:rsidRPr="009B2F58">
              <w:rPr>
                <w:rFonts w:ascii="Times New Roman" w:hAnsi="Times New Roman"/>
                <w:sz w:val="20"/>
                <w:szCs w:val="20"/>
              </w:rPr>
              <w:t>.</w:t>
            </w:r>
          </w:p>
        </w:tc>
        <w:tc>
          <w:tcPr>
            <w:tcW w:w="587"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616F8F1" w14:textId="77777777" w:rsidR="00845B6C" w:rsidRPr="009B2F58" w:rsidRDefault="009B2F58">
            <w:pPr>
              <w:pStyle w:val="Paragraphedeliste"/>
              <w:spacing w:after="0" w:line="240" w:lineRule="auto"/>
              <w:ind w:left="0"/>
              <w:jc w:val="both"/>
              <w:rPr>
                <w:rFonts w:ascii="Times New Roman" w:hAnsi="Times New Roman"/>
                <w:sz w:val="20"/>
                <w:szCs w:val="20"/>
              </w:rPr>
            </w:pPr>
            <w:proofErr w:type="spellStart"/>
            <w:r w:rsidRPr="009B2F58">
              <w:rPr>
                <w:rFonts w:ascii="Times New Roman" w:hAnsi="Times New Roman"/>
                <w:sz w:val="20"/>
                <w:szCs w:val="20"/>
              </w:rPr>
              <w:t>n.v</w:t>
            </w:r>
            <w:proofErr w:type="spellEnd"/>
            <w:r w:rsidRPr="009B2F58">
              <w:rPr>
                <w:rFonts w:ascii="Times New Roman" w:hAnsi="Times New Roman"/>
                <w:sz w:val="20"/>
                <w:szCs w:val="20"/>
              </w:rPr>
              <w:t>.</w:t>
            </w:r>
          </w:p>
        </w:tc>
        <w:tc>
          <w:tcPr>
            <w:tcW w:w="587"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A5911A4" w14:textId="77777777" w:rsidR="00845B6C" w:rsidRPr="009B2F58" w:rsidRDefault="009B2F58">
            <w:pPr>
              <w:pStyle w:val="Paragraphedeliste"/>
              <w:spacing w:after="0" w:line="240" w:lineRule="auto"/>
              <w:ind w:left="0"/>
              <w:jc w:val="both"/>
              <w:rPr>
                <w:rFonts w:ascii="Times New Roman" w:hAnsi="Times New Roman"/>
                <w:sz w:val="20"/>
                <w:szCs w:val="20"/>
              </w:rPr>
            </w:pPr>
            <w:proofErr w:type="gramStart"/>
            <w:r w:rsidRPr="009B2F58">
              <w:rPr>
                <w:rFonts w:ascii="Times New Roman" w:hAnsi="Times New Roman"/>
                <w:sz w:val="20"/>
                <w:szCs w:val="20"/>
              </w:rPr>
              <w:t>oui</w:t>
            </w:r>
            <w:proofErr w:type="gramEnd"/>
          </w:p>
        </w:tc>
        <w:tc>
          <w:tcPr>
            <w:tcW w:w="587"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6067D1E" w14:textId="77777777" w:rsidR="00845B6C" w:rsidRPr="009B2F58" w:rsidRDefault="009B2F58">
            <w:pPr>
              <w:pStyle w:val="Paragraphedeliste"/>
              <w:spacing w:after="0" w:line="240" w:lineRule="auto"/>
              <w:ind w:left="0"/>
              <w:jc w:val="both"/>
              <w:rPr>
                <w:rFonts w:ascii="Times New Roman" w:hAnsi="Times New Roman"/>
                <w:sz w:val="20"/>
                <w:szCs w:val="20"/>
              </w:rPr>
            </w:pPr>
            <w:proofErr w:type="spellStart"/>
            <w:r w:rsidRPr="009B2F58">
              <w:rPr>
                <w:rFonts w:ascii="Times New Roman" w:hAnsi="Times New Roman"/>
                <w:sz w:val="20"/>
                <w:szCs w:val="20"/>
              </w:rPr>
              <w:t>n.v</w:t>
            </w:r>
            <w:proofErr w:type="spellEnd"/>
            <w:r w:rsidRPr="009B2F58">
              <w:rPr>
                <w:rFonts w:ascii="Times New Roman" w:hAnsi="Times New Roman"/>
                <w:sz w:val="20"/>
                <w:szCs w:val="20"/>
              </w:rPr>
              <w:t>.</w:t>
            </w:r>
          </w:p>
        </w:tc>
        <w:tc>
          <w:tcPr>
            <w:tcW w:w="587"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1FADF1D" w14:textId="77777777" w:rsidR="00845B6C" w:rsidRPr="009B2F58" w:rsidRDefault="009B2F58">
            <w:pPr>
              <w:pStyle w:val="Paragraphedeliste"/>
              <w:spacing w:after="0" w:line="240" w:lineRule="auto"/>
              <w:ind w:left="0"/>
              <w:jc w:val="both"/>
              <w:rPr>
                <w:rFonts w:ascii="Times New Roman" w:hAnsi="Times New Roman"/>
                <w:sz w:val="20"/>
                <w:szCs w:val="20"/>
              </w:rPr>
            </w:pPr>
            <w:proofErr w:type="spellStart"/>
            <w:r w:rsidRPr="009B2F58">
              <w:rPr>
                <w:rFonts w:ascii="Times New Roman" w:hAnsi="Times New Roman"/>
                <w:sz w:val="20"/>
                <w:szCs w:val="20"/>
              </w:rPr>
              <w:t>n.v</w:t>
            </w:r>
            <w:proofErr w:type="spellEnd"/>
            <w:r w:rsidRPr="009B2F58">
              <w:rPr>
                <w:rFonts w:ascii="Times New Roman" w:hAnsi="Times New Roman"/>
                <w:sz w:val="20"/>
                <w:szCs w:val="20"/>
              </w:rPr>
              <w:t>.</w:t>
            </w:r>
          </w:p>
        </w:tc>
      </w:tr>
      <w:tr w:rsidR="00845B6C" w14:paraId="09FD9E5D" w14:textId="77777777">
        <w:trPr>
          <w:trHeight w:val="586"/>
        </w:trPr>
        <w:tc>
          <w:tcPr>
            <w:tcW w:w="429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D945869" w14:textId="77777777" w:rsidR="00845B6C" w:rsidRPr="009B2F58" w:rsidRDefault="009B2F58">
            <w:pPr>
              <w:pStyle w:val="Paragraphedeliste"/>
              <w:spacing w:after="0" w:line="240" w:lineRule="auto"/>
              <w:ind w:left="0"/>
              <w:rPr>
                <w:rFonts w:ascii="Times New Roman" w:hAnsi="Times New Roman"/>
                <w:sz w:val="20"/>
                <w:szCs w:val="20"/>
              </w:rPr>
            </w:pPr>
            <w:r w:rsidRPr="009B2F58">
              <w:rPr>
                <w:rFonts w:ascii="Times New Roman" w:hAnsi="Times New Roman"/>
                <w:bCs/>
                <w:sz w:val="20"/>
                <w:szCs w:val="20"/>
              </w:rPr>
              <w:t>Tout ce qui brille attire</w:t>
            </w:r>
          </w:p>
        </w:tc>
        <w:tc>
          <w:tcPr>
            <w:tcW w:w="6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F107BC6" w14:textId="77777777" w:rsidR="00845B6C" w:rsidRPr="009B2F58" w:rsidRDefault="009B2F58">
            <w:pPr>
              <w:pStyle w:val="Paragraphedeliste"/>
              <w:spacing w:after="0" w:line="240" w:lineRule="auto"/>
              <w:ind w:left="0"/>
              <w:jc w:val="both"/>
              <w:rPr>
                <w:rFonts w:ascii="Times New Roman" w:hAnsi="Times New Roman"/>
                <w:sz w:val="20"/>
                <w:szCs w:val="20"/>
              </w:rPr>
            </w:pPr>
            <w:proofErr w:type="spellStart"/>
            <w:r w:rsidRPr="009B2F58">
              <w:rPr>
                <w:rFonts w:ascii="Times New Roman" w:hAnsi="Times New Roman"/>
                <w:sz w:val="20"/>
                <w:szCs w:val="20"/>
              </w:rPr>
              <w:t>n.v</w:t>
            </w:r>
            <w:proofErr w:type="spellEnd"/>
            <w:r w:rsidRPr="009B2F58">
              <w:rPr>
                <w:rFonts w:ascii="Times New Roman" w:hAnsi="Times New Roman"/>
                <w:sz w:val="20"/>
                <w:szCs w:val="20"/>
              </w:rPr>
              <w:t>.</w:t>
            </w:r>
          </w:p>
        </w:tc>
        <w:tc>
          <w:tcPr>
            <w:tcW w:w="5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6694DA5" w14:textId="77777777" w:rsidR="00845B6C" w:rsidRPr="009B2F58" w:rsidRDefault="009B2F58">
            <w:pPr>
              <w:pStyle w:val="Paragraphedeliste"/>
              <w:spacing w:after="0" w:line="240" w:lineRule="auto"/>
              <w:ind w:left="0"/>
              <w:jc w:val="both"/>
              <w:rPr>
                <w:rFonts w:ascii="Times New Roman" w:hAnsi="Times New Roman"/>
                <w:sz w:val="20"/>
                <w:szCs w:val="20"/>
              </w:rPr>
            </w:pPr>
            <w:proofErr w:type="spellStart"/>
            <w:r w:rsidRPr="009B2F58">
              <w:rPr>
                <w:rFonts w:ascii="Times New Roman" w:hAnsi="Times New Roman"/>
                <w:sz w:val="20"/>
                <w:szCs w:val="20"/>
              </w:rPr>
              <w:t>n.v</w:t>
            </w:r>
            <w:proofErr w:type="spellEnd"/>
            <w:r w:rsidRPr="009B2F58">
              <w:rPr>
                <w:rFonts w:ascii="Times New Roman" w:hAnsi="Times New Roman"/>
                <w:sz w:val="20"/>
                <w:szCs w:val="20"/>
              </w:rPr>
              <w:t>.</w:t>
            </w:r>
          </w:p>
        </w:tc>
        <w:tc>
          <w:tcPr>
            <w:tcW w:w="58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0D49062" w14:textId="77777777" w:rsidR="00845B6C" w:rsidRPr="009B2F58" w:rsidRDefault="009B2F58">
            <w:pPr>
              <w:pStyle w:val="Paragraphedeliste"/>
              <w:spacing w:after="0" w:line="240" w:lineRule="auto"/>
              <w:ind w:left="0"/>
              <w:jc w:val="both"/>
              <w:rPr>
                <w:rFonts w:ascii="Times New Roman" w:hAnsi="Times New Roman"/>
                <w:sz w:val="20"/>
                <w:szCs w:val="20"/>
              </w:rPr>
            </w:pPr>
            <w:proofErr w:type="spellStart"/>
            <w:r w:rsidRPr="009B2F58">
              <w:rPr>
                <w:rFonts w:ascii="Times New Roman" w:hAnsi="Times New Roman"/>
                <w:sz w:val="20"/>
                <w:szCs w:val="20"/>
              </w:rPr>
              <w:t>n.v</w:t>
            </w:r>
            <w:proofErr w:type="spellEnd"/>
            <w:r w:rsidRPr="009B2F58">
              <w:rPr>
                <w:rFonts w:ascii="Times New Roman" w:hAnsi="Times New Roman"/>
                <w:sz w:val="20"/>
                <w:szCs w:val="20"/>
              </w:rPr>
              <w:t>.</w:t>
            </w:r>
          </w:p>
        </w:tc>
        <w:tc>
          <w:tcPr>
            <w:tcW w:w="58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5B3A01E" w14:textId="77777777" w:rsidR="00845B6C" w:rsidRPr="009B2F58" w:rsidRDefault="009B2F58">
            <w:pPr>
              <w:pStyle w:val="Paragraphedeliste"/>
              <w:spacing w:after="0" w:line="240" w:lineRule="auto"/>
              <w:ind w:left="0"/>
              <w:jc w:val="both"/>
              <w:rPr>
                <w:rFonts w:ascii="Times New Roman" w:hAnsi="Times New Roman"/>
                <w:sz w:val="20"/>
                <w:szCs w:val="20"/>
              </w:rPr>
            </w:pPr>
            <w:proofErr w:type="spellStart"/>
            <w:r w:rsidRPr="009B2F58">
              <w:rPr>
                <w:rFonts w:ascii="Times New Roman" w:hAnsi="Times New Roman"/>
                <w:sz w:val="20"/>
                <w:szCs w:val="20"/>
              </w:rPr>
              <w:t>n.v</w:t>
            </w:r>
            <w:proofErr w:type="spellEnd"/>
            <w:r w:rsidRPr="009B2F58">
              <w:rPr>
                <w:rFonts w:ascii="Times New Roman" w:hAnsi="Times New Roman"/>
                <w:sz w:val="20"/>
                <w:szCs w:val="20"/>
              </w:rPr>
              <w:t>.</w:t>
            </w:r>
          </w:p>
        </w:tc>
        <w:tc>
          <w:tcPr>
            <w:tcW w:w="58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71298A9" w14:textId="77777777" w:rsidR="00845B6C" w:rsidRPr="009B2F58" w:rsidRDefault="009B2F58">
            <w:pPr>
              <w:pStyle w:val="Paragraphedeliste"/>
              <w:spacing w:after="0" w:line="240" w:lineRule="auto"/>
              <w:ind w:left="0"/>
              <w:jc w:val="both"/>
              <w:rPr>
                <w:rFonts w:ascii="Times New Roman" w:hAnsi="Times New Roman"/>
                <w:sz w:val="20"/>
                <w:szCs w:val="20"/>
              </w:rPr>
            </w:pPr>
            <w:proofErr w:type="spellStart"/>
            <w:r w:rsidRPr="009B2F58">
              <w:rPr>
                <w:rFonts w:ascii="Times New Roman" w:hAnsi="Times New Roman"/>
                <w:sz w:val="20"/>
                <w:szCs w:val="20"/>
              </w:rPr>
              <w:t>n.v</w:t>
            </w:r>
            <w:proofErr w:type="spellEnd"/>
            <w:r w:rsidRPr="009B2F58">
              <w:rPr>
                <w:rFonts w:ascii="Times New Roman" w:hAnsi="Times New Roman"/>
                <w:sz w:val="20"/>
                <w:szCs w:val="20"/>
              </w:rPr>
              <w:t>.</w:t>
            </w:r>
          </w:p>
        </w:tc>
        <w:tc>
          <w:tcPr>
            <w:tcW w:w="58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F7750DA" w14:textId="77777777" w:rsidR="00845B6C" w:rsidRPr="009B2F58" w:rsidRDefault="009B2F58">
            <w:pPr>
              <w:pStyle w:val="Paragraphedeliste"/>
              <w:spacing w:after="0" w:line="240" w:lineRule="auto"/>
              <w:ind w:left="0"/>
              <w:jc w:val="both"/>
              <w:rPr>
                <w:rFonts w:ascii="Times New Roman" w:hAnsi="Times New Roman"/>
                <w:sz w:val="20"/>
                <w:szCs w:val="20"/>
              </w:rPr>
            </w:pPr>
            <w:proofErr w:type="spellStart"/>
            <w:r w:rsidRPr="009B2F58">
              <w:rPr>
                <w:rFonts w:ascii="Times New Roman" w:hAnsi="Times New Roman"/>
                <w:sz w:val="20"/>
                <w:szCs w:val="20"/>
              </w:rPr>
              <w:t>n.v</w:t>
            </w:r>
            <w:proofErr w:type="spellEnd"/>
            <w:r w:rsidRPr="009B2F58">
              <w:rPr>
                <w:rFonts w:ascii="Times New Roman" w:hAnsi="Times New Roman"/>
                <w:sz w:val="20"/>
                <w:szCs w:val="20"/>
              </w:rPr>
              <w:t>.</w:t>
            </w:r>
          </w:p>
        </w:tc>
        <w:tc>
          <w:tcPr>
            <w:tcW w:w="58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F65A3A5" w14:textId="77777777" w:rsidR="00845B6C" w:rsidRPr="009B2F58" w:rsidRDefault="009B2F58">
            <w:pPr>
              <w:pStyle w:val="Paragraphedeliste"/>
              <w:spacing w:after="0" w:line="240" w:lineRule="auto"/>
              <w:ind w:left="0"/>
              <w:jc w:val="both"/>
              <w:rPr>
                <w:rFonts w:ascii="Times New Roman" w:hAnsi="Times New Roman"/>
                <w:sz w:val="20"/>
                <w:szCs w:val="20"/>
              </w:rPr>
            </w:pPr>
            <w:proofErr w:type="spellStart"/>
            <w:r w:rsidRPr="009B2F58">
              <w:rPr>
                <w:rFonts w:ascii="Times New Roman" w:hAnsi="Times New Roman"/>
                <w:sz w:val="20"/>
                <w:szCs w:val="20"/>
              </w:rPr>
              <w:t>n.v</w:t>
            </w:r>
            <w:proofErr w:type="spellEnd"/>
            <w:r w:rsidRPr="009B2F58">
              <w:rPr>
                <w:rFonts w:ascii="Times New Roman" w:hAnsi="Times New Roman"/>
                <w:sz w:val="20"/>
                <w:szCs w:val="20"/>
              </w:rPr>
              <w:t>.</w:t>
            </w:r>
          </w:p>
        </w:tc>
        <w:tc>
          <w:tcPr>
            <w:tcW w:w="58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943D2E0" w14:textId="77777777" w:rsidR="00845B6C" w:rsidRPr="009B2F58" w:rsidRDefault="009B2F58">
            <w:pPr>
              <w:pStyle w:val="Paragraphedeliste"/>
              <w:spacing w:after="0" w:line="240" w:lineRule="auto"/>
              <w:ind w:left="0"/>
              <w:jc w:val="both"/>
              <w:rPr>
                <w:rFonts w:ascii="Times New Roman" w:hAnsi="Times New Roman"/>
                <w:sz w:val="20"/>
                <w:szCs w:val="20"/>
              </w:rPr>
            </w:pPr>
            <w:proofErr w:type="spellStart"/>
            <w:r w:rsidRPr="009B2F58">
              <w:rPr>
                <w:rFonts w:ascii="Times New Roman" w:hAnsi="Times New Roman"/>
                <w:sz w:val="20"/>
                <w:szCs w:val="20"/>
              </w:rPr>
              <w:t>n.v</w:t>
            </w:r>
            <w:proofErr w:type="spellEnd"/>
            <w:r w:rsidRPr="009B2F58">
              <w:rPr>
                <w:rFonts w:ascii="Times New Roman" w:hAnsi="Times New Roman"/>
                <w:sz w:val="20"/>
                <w:szCs w:val="20"/>
              </w:rPr>
              <w:t>.</w:t>
            </w:r>
          </w:p>
        </w:tc>
      </w:tr>
    </w:tbl>
    <w:p w14:paraId="61B11818" w14:textId="77777777" w:rsidR="00845B6C" w:rsidRDefault="00845B6C">
      <w:pPr>
        <w:pStyle w:val="Paragraphedeliste"/>
        <w:spacing w:line="240" w:lineRule="auto"/>
        <w:jc w:val="both"/>
        <w:rPr>
          <w:sz w:val="26"/>
          <w:szCs w:val="26"/>
        </w:rPr>
      </w:pPr>
    </w:p>
    <w:p w14:paraId="61F64767" w14:textId="447386A1"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Nos différents constats semblent démontrer une localisation des biais psychologiques principalement au sein de la population masculine et travaillant en couple. En effet, ils paraissent beaucoup moins prégnants pour la personne isolée et pour le couple féminin. Dans les couples mixtes, il semblerait que</w:t>
      </w:r>
      <w:r w:rsidR="008F0876">
        <w:rPr>
          <w:rFonts w:ascii="Times New Roman" w:hAnsi="Times New Roman"/>
          <w:sz w:val="20"/>
          <w:szCs w:val="20"/>
        </w:rPr>
        <w:t xml:space="preserve"> </w:t>
      </w:r>
      <w:r w:rsidRPr="009B2F58">
        <w:rPr>
          <w:rFonts w:ascii="Times New Roman" w:hAnsi="Times New Roman"/>
          <w:sz w:val="20"/>
          <w:szCs w:val="20"/>
        </w:rPr>
        <w:t xml:space="preserve">la propension masculine à prendre du </w:t>
      </w:r>
      <w:r w:rsidRPr="009B2F58">
        <w:rPr>
          <w:rFonts w:ascii="Times New Roman" w:hAnsi="Times New Roman"/>
          <w:sz w:val="20"/>
          <w:szCs w:val="20"/>
        </w:rPr>
        <w:lastRenderedPageBreak/>
        <w:t xml:space="preserve">risque ait pris le pas sur une tendance au recours à des stratégies plus prudentielles. Nos observations poussent à mettre en évidence une exacerbation des biais comportementaux au sein des couples masculins, avec des personnalités qui s’auto-stimulent. Ces constatations interrogent sur l’importance des composantes féminines en situation de trading, notamment pour le développement de stratégies à potentiel risque moins </w:t>
      </w:r>
      <w:proofErr w:type="gramStart"/>
      <w:r w:rsidRPr="009B2F58">
        <w:rPr>
          <w:rFonts w:ascii="Times New Roman" w:hAnsi="Times New Roman"/>
          <w:sz w:val="20"/>
          <w:szCs w:val="20"/>
        </w:rPr>
        <w:t>élevé</w:t>
      </w:r>
      <w:proofErr w:type="gramEnd"/>
      <w:r w:rsidRPr="009B2F58">
        <w:rPr>
          <w:rFonts w:ascii="Times New Roman" w:hAnsi="Times New Roman"/>
          <w:sz w:val="20"/>
          <w:szCs w:val="20"/>
        </w:rPr>
        <w:t xml:space="preserve">. Nous constatons que les principaux biais ont été observés au sein des groupes C2, C3 et C6. Le groupe C3 a obtenu, </w:t>
      </w:r>
      <w:proofErr w:type="gramStart"/>
      <w:r w:rsidRPr="009B2F58">
        <w:rPr>
          <w:rFonts w:ascii="Times New Roman" w:hAnsi="Times New Roman"/>
          <w:sz w:val="20"/>
          <w:szCs w:val="20"/>
        </w:rPr>
        <w:t>au final</w:t>
      </w:r>
      <w:proofErr w:type="gramEnd"/>
      <w:r w:rsidRPr="009B2F58">
        <w:rPr>
          <w:rFonts w:ascii="Times New Roman" w:hAnsi="Times New Roman"/>
          <w:sz w:val="20"/>
          <w:szCs w:val="20"/>
        </w:rPr>
        <w:t>, les meilleurs résultats financiers (voir annexes</w:t>
      </w:r>
      <w:r w:rsidR="00CD4702">
        <w:rPr>
          <w:rFonts w:ascii="Times New Roman" w:hAnsi="Times New Roman"/>
          <w:sz w:val="20"/>
          <w:szCs w:val="20"/>
        </w:rPr>
        <w:t xml:space="preserve"> 2</w:t>
      </w:r>
      <w:r w:rsidRPr="009B2F58">
        <w:rPr>
          <w:rFonts w:ascii="Times New Roman" w:hAnsi="Times New Roman"/>
          <w:sz w:val="20"/>
          <w:szCs w:val="20"/>
        </w:rPr>
        <w:t xml:space="preserve">). </w:t>
      </w:r>
    </w:p>
    <w:p w14:paraId="401E2FD5" w14:textId="62298F72"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 xml:space="preserve">Soulignons également qu’il s’agit d’attitudes moyennes et qu’il est possible que des biais aient pu, dans un premier temps, se développer pour, dans un deuxième temps, disparaître sans que les étudiants et nous-mêmes ne nous en rendions compte. </w:t>
      </w:r>
    </w:p>
    <w:p w14:paraId="611DCA0E" w14:textId="77777777" w:rsidR="00845B6C" w:rsidRDefault="00845B6C">
      <w:pPr>
        <w:pStyle w:val="Paragraphedeliste"/>
        <w:spacing w:line="240" w:lineRule="auto"/>
        <w:jc w:val="both"/>
        <w:rPr>
          <w:sz w:val="26"/>
          <w:szCs w:val="26"/>
        </w:rPr>
      </w:pPr>
    </w:p>
    <w:p w14:paraId="4EDD6675" w14:textId="77777777" w:rsidR="00845B6C" w:rsidRPr="009B2F58" w:rsidRDefault="009B2F58">
      <w:pPr>
        <w:pStyle w:val="Paragraphedeliste"/>
        <w:numPr>
          <w:ilvl w:val="0"/>
          <w:numId w:val="4"/>
        </w:numPr>
        <w:spacing w:line="240" w:lineRule="auto"/>
        <w:jc w:val="both"/>
        <w:rPr>
          <w:rFonts w:ascii="Times New Roman" w:hAnsi="Times New Roman"/>
          <w:b/>
          <w:u w:val="single"/>
        </w:rPr>
      </w:pPr>
      <w:r w:rsidRPr="009B2F58">
        <w:rPr>
          <w:rFonts w:ascii="Times New Roman" w:hAnsi="Times New Roman"/>
          <w:b/>
          <w:u w:val="single"/>
        </w:rPr>
        <w:t>Conclusions et pistes de recherche complémentaire</w:t>
      </w:r>
    </w:p>
    <w:p w14:paraId="1EB07B82" w14:textId="77777777" w:rsidR="00845B6C" w:rsidRDefault="00845B6C">
      <w:pPr>
        <w:pStyle w:val="Paragraphedeliste"/>
        <w:spacing w:line="240" w:lineRule="auto"/>
        <w:rPr>
          <w:sz w:val="26"/>
          <w:szCs w:val="26"/>
        </w:rPr>
      </w:pPr>
    </w:p>
    <w:p w14:paraId="737EFE5E" w14:textId="1555C236"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Cette étude visait à repérer les éventuels biais comportementaux et, en amont, les champs émotionnels déclencheurs pour une population estudiantine en situation de trading en continu durant une semaine boursière. Pour ce faire, nous sommes partis de certains biais psychologiques potentiellement envisageables et nous avons réalisé une mise en parallèle avec les observations recueillies au cours de l’expérience. Si les résultats obtenus démontrent l’émergence de certains biais psychologiques communément repérés en situation de tradin</w:t>
      </w:r>
      <w:r w:rsidR="00C65E8D">
        <w:rPr>
          <w:rFonts w:ascii="Times New Roman" w:hAnsi="Times New Roman"/>
          <w:sz w:val="20"/>
          <w:szCs w:val="20"/>
        </w:rPr>
        <w:t>g</w:t>
      </w:r>
      <w:r w:rsidRPr="009B2F58">
        <w:rPr>
          <w:rFonts w:ascii="Times New Roman" w:hAnsi="Times New Roman"/>
          <w:sz w:val="20"/>
          <w:szCs w:val="20"/>
        </w:rPr>
        <w:t>, il n’en demeure pas moins que ce</w:t>
      </w:r>
      <w:r w:rsidR="00345BDB">
        <w:rPr>
          <w:rFonts w:ascii="Times New Roman" w:hAnsi="Times New Roman"/>
          <w:sz w:val="20"/>
          <w:szCs w:val="20"/>
        </w:rPr>
        <w:t>ux-ci</w:t>
      </w:r>
      <w:r w:rsidRPr="009B2F58">
        <w:rPr>
          <w:rFonts w:ascii="Times New Roman" w:hAnsi="Times New Roman"/>
          <w:sz w:val="20"/>
          <w:szCs w:val="20"/>
        </w:rPr>
        <w:t xml:space="preserve"> ont été observés au départ d’un contexte boursier favorable. Si ce n’est lors de la première journée, un accroissement important du CAC 40 a été observé durant la semaine d’expérimentation et donc l’expérience s’inscrivait dans une configuration poussant à multiplier les transactions. Les émotions n’ont donc pas dû être </w:t>
      </w:r>
      <w:r w:rsidRPr="009B2F58">
        <w:rPr>
          <w:rFonts w:ascii="Times New Roman" w:hAnsi="Times New Roman"/>
          <w:i/>
          <w:sz w:val="20"/>
          <w:szCs w:val="20"/>
        </w:rPr>
        <w:t>gérées</w:t>
      </w:r>
      <w:r w:rsidRPr="009B2F58">
        <w:rPr>
          <w:rFonts w:ascii="Times New Roman" w:hAnsi="Times New Roman"/>
          <w:sz w:val="20"/>
          <w:szCs w:val="20"/>
        </w:rPr>
        <w:t xml:space="preserve"> et les biais comportementaux pas </w:t>
      </w:r>
      <w:r w:rsidRPr="009B2F58">
        <w:rPr>
          <w:rFonts w:ascii="Times New Roman" w:hAnsi="Times New Roman"/>
          <w:i/>
          <w:sz w:val="20"/>
          <w:szCs w:val="20"/>
        </w:rPr>
        <w:t>jugulés</w:t>
      </w:r>
      <w:r w:rsidRPr="009B2F58">
        <w:rPr>
          <w:rFonts w:ascii="Times New Roman" w:hAnsi="Times New Roman"/>
          <w:sz w:val="20"/>
          <w:szCs w:val="20"/>
        </w:rPr>
        <w:t xml:space="preserve">, parce qu’ils permettaient de réaliser des gains </w:t>
      </w:r>
      <w:r w:rsidR="00EA3984">
        <w:rPr>
          <w:rFonts w:ascii="Times New Roman" w:hAnsi="Times New Roman"/>
          <w:sz w:val="20"/>
          <w:szCs w:val="20"/>
        </w:rPr>
        <w:t xml:space="preserve">financiers </w:t>
      </w:r>
      <w:r w:rsidRPr="009B2F58">
        <w:rPr>
          <w:rFonts w:ascii="Times New Roman" w:hAnsi="Times New Roman"/>
          <w:sz w:val="20"/>
          <w:szCs w:val="20"/>
        </w:rPr>
        <w:t>rapides.</w:t>
      </w:r>
    </w:p>
    <w:p w14:paraId="69F15BAD" w14:textId="77609FC4"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Dans cette perspective, si les biais comportementaux sont souvent présentés de manière négative dans la littérature financière, ils ne représentent en soi qu’un écart par rapport à une norme communément acceptée (i.e. le recours à des éléments d’essence rationnelle). Cependant, à partir du moment où les marchés développent des configurations générales qui sortent</w:t>
      </w:r>
      <w:r w:rsidR="00200ED1">
        <w:rPr>
          <w:rFonts w:ascii="Times New Roman" w:hAnsi="Times New Roman"/>
          <w:sz w:val="20"/>
          <w:szCs w:val="20"/>
        </w:rPr>
        <w:t xml:space="preserve"> </w:t>
      </w:r>
      <w:r w:rsidRPr="009B2F58">
        <w:rPr>
          <w:rFonts w:ascii="Times New Roman" w:hAnsi="Times New Roman"/>
          <w:sz w:val="20"/>
          <w:szCs w:val="20"/>
        </w:rPr>
        <w:t xml:space="preserve">des canons de la rationalité, ces biais peuvent constituer des points d’appui pour une gestion </w:t>
      </w:r>
      <w:r w:rsidRPr="009B2F58">
        <w:rPr>
          <w:rFonts w:ascii="Times New Roman" w:hAnsi="Times New Roman"/>
          <w:i/>
          <w:sz w:val="20"/>
          <w:szCs w:val="20"/>
        </w:rPr>
        <w:t>financièrement</w:t>
      </w:r>
      <w:r w:rsidRPr="009B2F58">
        <w:rPr>
          <w:rFonts w:ascii="Times New Roman" w:hAnsi="Times New Roman"/>
          <w:sz w:val="20"/>
          <w:szCs w:val="20"/>
        </w:rPr>
        <w:t xml:space="preserve"> optimale. En référence à la théorie des conventions, si une norme durable se construit sur les marchés, certains biais comportementaux peuvent permettre la construction de stratégies gagnantes car elles collent à la configuration des marchés. </w:t>
      </w:r>
    </w:p>
    <w:p w14:paraId="6B56DBAE" w14:textId="27911B39"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Il est également certain que diverses voies de recherche complémentaires pourraient être envisagées. Tout d’abord, on pourrait penser à faire travailler les étudiants de manière solitaire. On pourrait nous objecter que les biais que nous mettons en évidence ne sont que le reflet d’une négociation car ils ne concernent majoritairement que des couples. En</w:t>
      </w:r>
      <w:r w:rsidR="007D393D">
        <w:rPr>
          <w:rFonts w:ascii="Times New Roman" w:hAnsi="Times New Roman"/>
          <w:sz w:val="20"/>
          <w:szCs w:val="20"/>
        </w:rPr>
        <w:t>suite</w:t>
      </w:r>
      <w:r w:rsidRPr="009B2F58">
        <w:rPr>
          <w:rFonts w:ascii="Times New Roman" w:hAnsi="Times New Roman"/>
          <w:sz w:val="20"/>
          <w:szCs w:val="20"/>
        </w:rPr>
        <w:t xml:space="preserve">, une analyse plus fine de l’effet de la composante genre pourrait être envisagée (cf. les travaux de Cueva C., </w:t>
      </w:r>
      <w:proofErr w:type="spellStart"/>
      <w:r w:rsidRPr="009B2F58">
        <w:rPr>
          <w:rFonts w:ascii="Times New Roman" w:hAnsi="Times New Roman"/>
          <w:sz w:val="20"/>
          <w:szCs w:val="20"/>
        </w:rPr>
        <w:t>Rustichini</w:t>
      </w:r>
      <w:proofErr w:type="spellEnd"/>
      <w:r w:rsidRPr="009B2F58">
        <w:rPr>
          <w:rFonts w:ascii="Times New Roman" w:hAnsi="Times New Roman"/>
          <w:sz w:val="20"/>
          <w:szCs w:val="20"/>
        </w:rPr>
        <w:t xml:space="preserve"> A., 2015). En effet, nous avons pu constater des comportements spécifiques et un recours à des outils différenciés selon la composition du couple. Nos observations démontrent en effet que les éléments féminins s’orientent vers des stratégies de placements soutenues par des schémas plus conservateurs que leurs homologues masculins. Enfin, la fixation d’une récompense en fin d’expérimentation pourrait faire ressortir certains biais comportementaux.  Pour terminer, nous pensons nécessaire de compléter l’approche en capitalisant au départ de compétences issues de la neuropsychologie. Ces points d’appui pourraient permettre, premièrement, d’assurer une consolidation des résultats au travers d’outils différenciés. Deuxièmement, ils permettraient d’appréhender de manière plus documentée les flux émotionnels situés en amont des biais psychologiques. </w:t>
      </w:r>
    </w:p>
    <w:p w14:paraId="7E368843" w14:textId="77777777" w:rsidR="00845B6C" w:rsidRDefault="00845B6C">
      <w:pPr>
        <w:pStyle w:val="Paragraphedeliste"/>
        <w:spacing w:line="240" w:lineRule="auto"/>
        <w:jc w:val="both"/>
        <w:rPr>
          <w:sz w:val="26"/>
          <w:szCs w:val="26"/>
        </w:rPr>
      </w:pPr>
    </w:p>
    <w:p w14:paraId="0D165B78" w14:textId="77777777" w:rsidR="00845B6C" w:rsidRPr="009B2F58" w:rsidRDefault="009B2F58">
      <w:pPr>
        <w:pStyle w:val="Paragraphedeliste"/>
        <w:numPr>
          <w:ilvl w:val="0"/>
          <w:numId w:val="4"/>
        </w:numPr>
        <w:spacing w:line="240" w:lineRule="auto"/>
        <w:jc w:val="both"/>
        <w:rPr>
          <w:rFonts w:ascii="Times New Roman" w:hAnsi="Times New Roman"/>
          <w:b/>
          <w:u w:val="single"/>
        </w:rPr>
      </w:pPr>
      <w:r w:rsidRPr="009B2F58">
        <w:rPr>
          <w:rFonts w:ascii="Times New Roman" w:hAnsi="Times New Roman"/>
          <w:b/>
          <w:u w:val="single"/>
        </w:rPr>
        <w:t xml:space="preserve">Références bibliographiques </w:t>
      </w:r>
    </w:p>
    <w:p w14:paraId="2DBFB814" w14:textId="77777777" w:rsidR="00845B6C" w:rsidRPr="009B2F58" w:rsidRDefault="009B2F58">
      <w:pPr>
        <w:spacing w:before="100" w:after="100" w:line="240" w:lineRule="auto"/>
        <w:jc w:val="both"/>
        <w:rPr>
          <w:rFonts w:ascii="Times New Roman" w:hAnsi="Times New Roman"/>
          <w:sz w:val="20"/>
          <w:szCs w:val="20"/>
        </w:rPr>
      </w:pPr>
      <w:proofErr w:type="spellStart"/>
      <w:r w:rsidRPr="009B2F58">
        <w:rPr>
          <w:rFonts w:ascii="Times New Roman" w:hAnsi="Times New Roman"/>
          <w:sz w:val="20"/>
          <w:szCs w:val="20"/>
        </w:rPr>
        <w:t>Aktas</w:t>
      </w:r>
      <w:proofErr w:type="spellEnd"/>
      <w:r w:rsidRPr="009B2F58">
        <w:rPr>
          <w:rFonts w:ascii="Times New Roman" w:hAnsi="Times New Roman"/>
          <w:sz w:val="20"/>
          <w:szCs w:val="20"/>
        </w:rPr>
        <w:t xml:space="preserve"> N. (2004), « La finance comportementale » : un état des lieux », </w:t>
      </w:r>
      <w:r w:rsidRPr="009B2F58">
        <w:rPr>
          <w:rFonts w:ascii="Times New Roman" w:hAnsi="Times New Roman"/>
          <w:i/>
          <w:sz w:val="20"/>
          <w:szCs w:val="20"/>
        </w:rPr>
        <w:t>Reflets et perspectives de la vie économique</w:t>
      </w:r>
      <w:r w:rsidRPr="009B2F58">
        <w:rPr>
          <w:rFonts w:ascii="Times New Roman" w:hAnsi="Times New Roman"/>
          <w:sz w:val="20"/>
          <w:szCs w:val="20"/>
        </w:rPr>
        <w:t>,</w:t>
      </w:r>
      <w:r w:rsidRPr="009B2F58">
        <w:rPr>
          <w:rFonts w:ascii="Times New Roman" w:hAnsi="Times New Roman"/>
          <w:i/>
          <w:sz w:val="20"/>
          <w:szCs w:val="20"/>
        </w:rPr>
        <w:t xml:space="preserve"> </w:t>
      </w:r>
      <w:r w:rsidRPr="009B2F58">
        <w:rPr>
          <w:rFonts w:ascii="Times New Roman" w:hAnsi="Times New Roman"/>
          <w:sz w:val="20"/>
          <w:szCs w:val="20"/>
        </w:rPr>
        <w:t>Vol.43, n°2, pp.19-33</w:t>
      </w:r>
    </w:p>
    <w:p w14:paraId="08546BE1" w14:textId="77777777"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 xml:space="preserve">Attia C., Hilton D., (2013), « Financiers sur le divan », </w:t>
      </w:r>
      <w:proofErr w:type="spellStart"/>
      <w:r w:rsidRPr="009B2F58">
        <w:rPr>
          <w:rFonts w:ascii="Times New Roman" w:hAnsi="Times New Roman"/>
          <w:sz w:val="20"/>
          <w:szCs w:val="20"/>
        </w:rPr>
        <w:t>Optraken</w:t>
      </w:r>
      <w:proofErr w:type="spellEnd"/>
      <w:r w:rsidRPr="009B2F58">
        <w:rPr>
          <w:rFonts w:ascii="Times New Roman" w:hAnsi="Times New Roman"/>
          <w:sz w:val="20"/>
          <w:szCs w:val="20"/>
        </w:rPr>
        <w:t xml:space="preserve"> Editions, Collection Finance et psycho, 355 pages</w:t>
      </w:r>
    </w:p>
    <w:p w14:paraId="29BB3B28" w14:textId="77777777"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 xml:space="preserve">Barber B., </w:t>
      </w:r>
      <w:proofErr w:type="spellStart"/>
      <w:r w:rsidRPr="009B2F58">
        <w:rPr>
          <w:rFonts w:ascii="Times New Roman" w:hAnsi="Times New Roman"/>
          <w:sz w:val="20"/>
          <w:szCs w:val="20"/>
        </w:rPr>
        <w:t>Odean</w:t>
      </w:r>
      <w:proofErr w:type="spellEnd"/>
      <w:r w:rsidRPr="009B2F58">
        <w:rPr>
          <w:rFonts w:ascii="Times New Roman" w:hAnsi="Times New Roman"/>
          <w:sz w:val="20"/>
          <w:szCs w:val="20"/>
        </w:rPr>
        <w:t xml:space="preserve"> T., (2001), « Boys </w:t>
      </w:r>
      <w:proofErr w:type="spellStart"/>
      <w:r w:rsidRPr="009B2F58">
        <w:rPr>
          <w:rFonts w:ascii="Times New Roman" w:hAnsi="Times New Roman"/>
          <w:sz w:val="20"/>
          <w:szCs w:val="20"/>
        </w:rPr>
        <w:t>will</w:t>
      </w:r>
      <w:proofErr w:type="spellEnd"/>
      <w:r w:rsidRPr="009B2F58">
        <w:rPr>
          <w:rFonts w:ascii="Times New Roman" w:hAnsi="Times New Roman"/>
          <w:sz w:val="20"/>
          <w:szCs w:val="20"/>
        </w:rPr>
        <w:t xml:space="preserve"> </w:t>
      </w:r>
      <w:proofErr w:type="spellStart"/>
      <w:r w:rsidRPr="009B2F58">
        <w:rPr>
          <w:rFonts w:ascii="Times New Roman" w:hAnsi="Times New Roman"/>
          <w:sz w:val="20"/>
          <w:szCs w:val="20"/>
        </w:rPr>
        <w:t>be</w:t>
      </w:r>
      <w:proofErr w:type="spellEnd"/>
      <w:r w:rsidRPr="009B2F58">
        <w:rPr>
          <w:rFonts w:ascii="Times New Roman" w:hAnsi="Times New Roman"/>
          <w:sz w:val="20"/>
          <w:szCs w:val="20"/>
        </w:rPr>
        <w:t xml:space="preserve"> Boys : </w:t>
      </w:r>
      <w:proofErr w:type="spellStart"/>
      <w:r w:rsidRPr="009B2F58">
        <w:rPr>
          <w:rFonts w:ascii="Times New Roman" w:hAnsi="Times New Roman"/>
          <w:sz w:val="20"/>
          <w:szCs w:val="20"/>
        </w:rPr>
        <w:t>Gender</w:t>
      </w:r>
      <w:proofErr w:type="spellEnd"/>
      <w:r w:rsidRPr="009B2F58">
        <w:rPr>
          <w:rFonts w:ascii="Times New Roman" w:hAnsi="Times New Roman"/>
          <w:sz w:val="20"/>
          <w:szCs w:val="20"/>
        </w:rPr>
        <w:t xml:space="preserve">, </w:t>
      </w:r>
      <w:proofErr w:type="spellStart"/>
      <w:r w:rsidRPr="009B2F58">
        <w:rPr>
          <w:rFonts w:ascii="Times New Roman" w:hAnsi="Times New Roman"/>
          <w:sz w:val="20"/>
          <w:szCs w:val="20"/>
        </w:rPr>
        <w:t>Overconfidence</w:t>
      </w:r>
      <w:proofErr w:type="spellEnd"/>
      <w:r w:rsidRPr="009B2F58">
        <w:rPr>
          <w:rFonts w:ascii="Times New Roman" w:hAnsi="Times New Roman"/>
          <w:sz w:val="20"/>
          <w:szCs w:val="20"/>
        </w:rPr>
        <w:t xml:space="preserve">, and Common Stock Investment », </w:t>
      </w:r>
      <w:r w:rsidRPr="009B2F58">
        <w:rPr>
          <w:rFonts w:ascii="Times New Roman" w:hAnsi="Times New Roman"/>
          <w:i/>
          <w:sz w:val="20"/>
          <w:szCs w:val="20"/>
        </w:rPr>
        <w:t xml:space="preserve">The </w:t>
      </w:r>
      <w:proofErr w:type="spellStart"/>
      <w:r w:rsidRPr="009B2F58">
        <w:rPr>
          <w:rFonts w:ascii="Times New Roman" w:hAnsi="Times New Roman"/>
          <w:i/>
          <w:sz w:val="20"/>
          <w:szCs w:val="20"/>
        </w:rPr>
        <w:t>Quarterly</w:t>
      </w:r>
      <w:proofErr w:type="spellEnd"/>
      <w:r w:rsidRPr="009B2F58">
        <w:rPr>
          <w:rFonts w:ascii="Times New Roman" w:hAnsi="Times New Roman"/>
          <w:i/>
          <w:sz w:val="20"/>
          <w:szCs w:val="20"/>
        </w:rPr>
        <w:t xml:space="preserve"> Journal of </w:t>
      </w:r>
      <w:proofErr w:type="spellStart"/>
      <w:r w:rsidRPr="009B2F58">
        <w:rPr>
          <w:rFonts w:ascii="Times New Roman" w:hAnsi="Times New Roman"/>
          <w:i/>
          <w:sz w:val="20"/>
          <w:szCs w:val="20"/>
        </w:rPr>
        <w:t>Economics</w:t>
      </w:r>
      <w:proofErr w:type="spellEnd"/>
      <w:r w:rsidRPr="009B2F58">
        <w:rPr>
          <w:rFonts w:ascii="Times New Roman" w:hAnsi="Times New Roman"/>
          <w:sz w:val="20"/>
          <w:szCs w:val="20"/>
        </w:rPr>
        <w:t>, vol.116, n°1, pp.261-292</w:t>
      </w:r>
    </w:p>
    <w:p w14:paraId="0ED93A07" w14:textId="77777777"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 xml:space="preserve">Bergeron H., Castel P., </w:t>
      </w:r>
      <w:proofErr w:type="spellStart"/>
      <w:r w:rsidRPr="009B2F58">
        <w:rPr>
          <w:rFonts w:ascii="Times New Roman" w:hAnsi="Times New Roman"/>
          <w:sz w:val="20"/>
          <w:szCs w:val="20"/>
        </w:rPr>
        <w:t>Quellier</w:t>
      </w:r>
      <w:proofErr w:type="spellEnd"/>
      <w:r w:rsidRPr="009B2F58">
        <w:rPr>
          <w:rFonts w:ascii="Times New Roman" w:hAnsi="Times New Roman"/>
          <w:sz w:val="20"/>
          <w:szCs w:val="20"/>
        </w:rPr>
        <w:t xml:space="preserve"> S., Lazarus J., </w:t>
      </w:r>
      <w:proofErr w:type="spellStart"/>
      <w:r w:rsidRPr="009B2F58">
        <w:rPr>
          <w:rFonts w:ascii="Times New Roman" w:hAnsi="Times New Roman"/>
          <w:sz w:val="20"/>
          <w:szCs w:val="20"/>
        </w:rPr>
        <w:t>Nouguez</w:t>
      </w:r>
      <w:proofErr w:type="spellEnd"/>
      <w:r w:rsidRPr="009B2F58">
        <w:rPr>
          <w:rFonts w:ascii="Times New Roman" w:hAnsi="Times New Roman"/>
          <w:sz w:val="20"/>
          <w:szCs w:val="20"/>
        </w:rPr>
        <w:t xml:space="preserve"> E., </w:t>
      </w:r>
      <w:proofErr w:type="spellStart"/>
      <w:r w:rsidRPr="009B2F58">
        <w:rPr>
          <w:rFonts w:ascii="Times New Roman" w:hAnsi="Times New Roman"/>
          <w:sz w:val="20"/>
          <w:szCs w:val="20"/>
        </w:rPr>
        <w:t>Pimis</w:t>
      </w:r>
      <w:proofErr w:type="spellEnd"/>
      <w:r w:rsidRPr="009B2F58">
        <w:rPr>
          <w:rFonts w:ascii="Times New Roman" w:hAnsi="Times New Roman"/>
          <w:sz w:val="20"/>
          <w:szCs w:val="20"/>
        </w:rPr>
        <w:t xml:space="preserve"> O., (2018), « Le biais comportementaliste », Editions Les Presses Sciences Pro, 121 pages</w:t>
      </w:r>
    </w:p>
    <w:p w14:paraId="3E93D43B" w14:textId="77777777"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lastRenderedPageBreak/>
        <w:t xml:space="preserve">Black F. (1986), « Noise », </w:t>
      </w:r>
      <w:r w:rsidRPr="009B2F58">
        <w:rPr>
          <w:rFonts w:ascii="Times New Roman" w:hAnsi="Times New Roman"/>
          <w:i/>
          <w:sz w:val="20"/>
          <w:szCs w:val="20"/>
        </w:rPr>
        <w:t>The Journal of Finance</w:t>
      </w:r>
      <w:r w:rsidRPr="009B2F58">
        <w:rPr>
          <w:rFonts w:ascii="Times New Roman" w:hAnsi="Times New Roman"/>
          <w:sz w:val="20"/>
          <w:szCs w:val="20"/>
        </w:rPr>
        <w:t>, Vol.41, n°3, pp.528-543</w:t>
      </w:r>
    </w:p>
    <w:p w14:paraId="19CA578A" w14:textId="77777777"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 xml:space="preserve">Claudon P., Weber M., (2009), « L'émotion : contribution à l'étude psychodynamique du développement de la pensée de l'enfant sans langage en interaction », </w:t>
      </w:r>
      <w:r w:rsidRPr="009B2F58">
        <w:rPr>
          <w:rFonts w:ascii="Times New Roman" w:hAnsi="Times New Roman"/>
          <w:i/>
          <w:sz w:val="20"/>
          <w:szCs w:val="20"/>
        </w:rPr>
        <w:t>Devenir</w:t>
      </w:r>
      <w:r w:rsidRPr="009B2F58">
        <w:rPr>
          <w:rFonts w:ascii="Times New Roman" w:hAnsi="Times New Roman"/>
          <w:sz w:val="20"/>
          <w:szCs w:val="20"/>
        </w:rPr>
        <w:t>, Vol.21, n°1, pp.61-99</w:t>
      </w:r>
    </w:p>
    <w:p w14:paraId="028D0BC0" w14:textId="77777777"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 xml:space="preserve">Collard F. (2012), « Les agences de notation », </w:t>
      </w:r>
      <w:r w:rsidRPr="009B2F58">
        <w:rPr>
          <w:rFonts w:ascii="Times New Roman" w:hAnsi="Times New Roman"/>
          <w:i/>
          <w:sz w:val="20"/>
          <w:szCs w:val="20"/>
        </w:rPr>
        <w:t>Courrier Hebdomadaire du CRISP</w:t>
      </w:r>
      <w:r w:rsidRPr="009B2F58">
        <w:rPr>
          <w:rFonts w:ascii="Times New Roman" w:hAnsi="Times New Roman"/>
          <w:sz w:val="20"/>
          <w:szCs w:val="20"/>
        </w:rPr>
        <w:t>, Vol.31/32, n°2156/2157, pp.5-60</w:t>
      </w:r>
    </w:p>
    <w:p w14:paraId="27136A9C" w14:textId="77777777"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 xml:space="preserve">Cousin J., Levasseur M., </w:t>
      </w:r>
      <w:proofErr w:type="spellStart"/>
      <w:r w:rsidRPr="009B2F58">
        <w:rPr>
          <w:rFonts w:ascii="Times New Roman" w:hAnsi="Times New Roman"/>
          <w:sz w:val="20"/>
          <w:szCs w:val="20"/>
        </w:rPr>
        <w:t>Romon</w:t>
      </w:r>
      <w:proofErr w:type="spellEnd"/>
      <w:r w:rsidRPr="009B2F58">
        <w:rPr>
          <w:rFonts w:ascii="Times New Roman" w:hAnsi="Times New Roman"/>
          <w:sz w:val="20"/>
          <w:szCs w:val="20"/>
        </w:rPr>
        <w:t xml:space="preserve"> F. (2013), « La réactivité des analystes financiers en temps de crise au sein de la zone Euro », </w:t>
      </w:r>
      <w:r w:rsidRPr="009B2F58">
        <w:rPr>
          <w:rFonts w:ascii="Times New Roman" w:hAnsi="Times New Roman"/>
          <w:i/>
          <w:sz w:val="20"/>
          <w:szCs w:val="20"/>
        </w:rPr>
        <w:t>Comptabilité Contrôle Audit</w:t>
      </w:r>
      <w:r w:rsidRPr="009B2F58">
        <w:rPr>
          <w:rFonts w:ascii="Times New Roman" w:hAnsi="Times New Roman"/>
          <w:sz w:val="20"/>
          <w:szCs w:val="20"/>
        </w:rPr>
        <w:t>, Vol.19, n°1, pp.117-142</w:t>
      </w:r>
    </w:p>
    <w:p w14:paraId="2EEDB6F8" w14:textId="77777777"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 xml:space="preserve">Cueva C., </w:t>
      </w:r>
      <w:proofErr w:type="spellStart"/>
      <w:r w:rsidRPr="009B2F58">
        <w:rPr>
          <w:rFonts w:ascii="Times New Roman" w:hAnsi="Times New Roman"/>
          <w:sz w:val="20"/>
          <w:szCs w:val="20"/>
        </w:rPr>
        <w:t>Iturbe-Ormaetxea</w:t>
      </w:r>
      <w:proofErr w:type="spellEnd"/>
      <w:r w:rsidRPr="009B2F58">
        <w:rPr>
          <w:rFonts w:ascii="Times New Roman" w:hAnsi="Times New Roman"/>
          <w:sz w:val="20"/>
          <w:szCs w:val="20"/>
        </w:rPr>
        <w:t xml:space="preserve"> I., Ponti G., </w:t>
      </w:r>
      <w:proofErr w:type="spellStart"/>
      <w:r w:rsidRPr="009B2F58">
        <w:rPr>
          <w:rFonts w:ascii="Times New Roman" w:hAnsi="Times New Roman"/>
          <w:sz w:val="20"/>
          <w:szCs w:val="20"/>
        </w:rPr>
        <w:t>Tomás</w:t>
      </w:r>
      <w:proofErr w:type="spellEnd"/>
      <w:r w:rsidRPr="009B2F58">
        <w:rPr>
          <w:rFonts w:ascii="Times New Roman" w:hAnsi="Times New Roman"/>
          <w:sz w:val="20"/>
          <w:szCs w:val="20"/>
        </w:rPr>
        <w:t xml:space="preserve"> J. (2019), « Boys </w:t>
      </w:r>
      <w:proofErr w:type="spellStart"/>
      <w:r w:rsidRPr="009B2F58">
        <w:rPr>
          <w:rFonts w:ascii="Times New Roman" w:hAnsi="Times New Roman"/>
          <w:sz w:val="20"/>
          <w:szCs w:val="20"/>
        </w:rPr>
        <w:t>will</w:t>
      </w:r>
      <w:proofErr w:type="spellEnd"/>
      <w:r w:rsidRPr="009B2F58">
        <w:rPr>
          <w:rFonts w:ascii="Times New Roman" w:hAnsi="Times New Roman"/>
          <w:sz w:val="20"/>
          <w:szCs w:val="20"/>
        </w:rPr>
        <w:t xml:space="preserve"> </w:t>
      </w:r>
      <w:proofErr w:type="spellStart"/>
      <w:r w:rsidRPr="009B2F58">
        <w:rPr>
          <w:rFonts w:ascii="Times New Roman" w:hAnsi="Times New Roman"/>
          <w:sz w:val="20"/>
          <w:szCs w:val="20"/>
        </w:rPr>
        <w:t>still</w:t>
      </w:r>
      <w:proofErr w:type="spellEnd"/>
      <w:r w:rsidRPr="009B2F58">
        <w:rPr>
          <w:rFonts w:ascii="Times New Roman" w:hAnsi="Times New Roman"/>
          <w:sz w:val="20"/>
          <w:szCs w:val="20"/>
        </w:rPr>
        <w:t xml:space="preserve"> </w:t>
      </w:r>
      <w:proofErr w:type="spellStart"/>
      <w:r w:rsidRPr="009B2F58">
        <w:rPr>
          <w:rFonts w:ascii="Times New Roman" w:hAnsi="Times New Roman"/>
          <w:sz w:val="20"/>
          <w:szCs w:val="20"/>
        </w:rPr>
        <w:t>be</w:t>
      </w:r>
      <w:proofErr w:type="spellEnd"/>
      <w:r w:rsidRPr="009B2F58">
        <w:rPr>
          <w:rFonts w:ascii="Times New Roman" w:hAnsi="Times New Roman"/>
          <w:sz w:val="20"/>
          <w:szCs w:val="20"/>
        </w:rPr>
        <w:t xml:space="preserve"> </w:t>
      </w:r>
      <w:proofErr w:type="gramStart"/>
      <w:r w:rsidRPr="009B2F58">
        <w:rPr>
          <w:rFonts w:ascii="Times New Roman" w:hAnsi="Times New Roman"/>
          <w:sz w:val="20"/>
          <w:szCs w:val="20"/>
        </w:rPr>
        <w:t>boys:</w:t>
      </w:r>
      <w:proofErr w:type="gramEnd"/>
      <w:r w:rsidRPr="009B2F58">
        <w:rPr>
          <w:rFonts w:ascii="Times New Roman" w:hAnsi="Times New Roman"/>
          <w:sz w:val="20"/>
          <w:szCs w:val="20"/>
        </w:rPr>
        <w:t xml:space="preserve"> </w:t>
      </w:r>
      <w:proofErr w:type="spellStart"/>
      <w:r w:rsidRPr="009B2F58">
        <w:rPr>
          <w:rFonts w:ascii="Times New Roman" w:hAnsi="Times New Roman"/>
          <w:sz w:val="20"/>
          <w:szCs w:val="20"/>
        </w:rPr>
        <w:t>Gender</w:t>
      </w:r>
      <w:proofErr w:type="spellEnd"/>
      <w:r w:rsidRPr="009B2F58">
        <w:rPr>
          <w:rFonts w:ascii="Times New Roman" w:hAnsi="Times New Roman"/>
          <w:sz w:val="20"/>
          <w:szCs w:val="20"/>
        </w:rPr>
        <w:t xml:space="preserve"> </w:t>
      </w:r>
      <w:proofErr w:type="spellStart"/>
      <w:r w:rsidRPr="009B2F58">
        <w:rPr>
          <w:rFonts w:ascii="Times New Roman" w:hAnsi="Times New Roman"/>
          <w:sz w:val="20"/>
          <w:szCs w:val="20"/>
        </w:rPr>
        <w:t>differences</w:t>
      </w:r>
      <w:proofErr w:type="spellEnd"/>
      <w:r w:rsidRPr="009B2F58">
        <w:rPr>
          <w:rFonts w:ascii="Times New Roman" w:hAnsi="Times New Roman"/>
          <w:sz w:val="20"/>
          <w:szCs w:val="20"/>
        </w:rPr>
        <w:t xml:space="preserve"> in trading </w:t>
      </w:r>
      <w:proofErr w:type="spellStart"/>
      <w:r w:rsidRPr="009B2F58">
        <w:rPr>
          <w:rFonts w:ascii="Times New Roman" w:hAnsi="Times New Roman"/>
          <w:sz w:val="20"/>
          <w:szCs w:val="20"/>
        </w:rPr>
        <w:t>activity</w:t>
      </w:r>
      <w:proofErr w:type="spellEnd"/>
      <w:r w:rsidRPr="009B2F58">
        <w:rPr>
          <w:rFonts w:ascii="Times New Roman" w:hAnsi="Times New Roman"/>
          <w:sz w:val="20"/>
          <w:szCs w:val="20"/>
        </w:rPr>
        <w:t xml:space="preserve"> are not due to </w:t>
      </w:r>
      <w:proofErr w:type="spellStart"/>
      <w:r w:rsidRPr="009B2F58">
        <w:rPr>
          <w:rFonts w:ascii="Times New Roman" w:hAnsi="Times New Roman"/>
          <w:sz w:val="20"/>
          <w:szCs w:val="20"/>
        </w:rPr>
        <w:t>differences</w:t>
      </w:r>
      <w:proofErr w:type="spellEnd"/>
      <w:r w:rsidRPr="009B2F58">
        <w:rPr>
          <w:rFonts w:ascii="Times New Roman" w:hAnsi="Times New Roman"/>
          <w:sz w:val="20"/>
          <w:szCs w:val="20"/>
        </w:rPr>
        <w:t xml:space="preserve"> in (over)confidence », </w:t>
      </w:r>
      <w:r w:rsidRPr="009B2F58">
        <w:rPr>
          <w:rFonts w:ascii="Times New Roman" w:hAnsi="Times New Roman"/>
          <w:i/>
          <w:sz w:val="20"/>
          <w:szCs w:val="20"/>
        </w:rPr>
        <w:t xml:space="preserve">Journal of </w:t>
      </w:r>
      <w:proofErr w:type="spellStart"/>
      <w:r w:rsidRPr="009B2F58">
        <w:rPr>
          <w:rFonts w:ascii="Times New Roman" w:hAnsi="Times New Roman"/>
          <w:i/>
          <w:sz w:val="20"/>
          <w:szCs w:val="20"/>
        </w:rPr>
        <w:t>Economic</w:t>
      </w:r>
      <w:proofErr w:type="spellEnd"/>
      <w:r w:rsidRPr="009B2F58">
        <w:rPr>
          <w:rFonts w:ascii="Times New Roman" w:hAnsi="Times New Roman"/>
          <w:i/>
          <w:sz w:val="20"/>
          <w:szCs w:val="20"/>
        </w:rPr>
        <w:t xml:space="preserve"> </w:t>
      </w:r>
      <w:proofErr w:type="spellStart"/>
      <w:r w:rsidRPr="009B2F58">
        <w:rPr>
          <w:rFonts w:ascii="Times New Roman" w:hAnsi="Times New Roman"/>
          <w:i/>
          <w:sz w:val="20"/>
          <w:szCs w:val="20"/>
        </w:rPr>
        <w:t>Behavior</w:t>
      </w:r>
      <w:proofErr w:type="spellEnd"/>
      <w:r w:rsidRPr="009B2F58">
        <w:rPr>
          <w:rFonts w:ascii="Times New Roman" w:hAnsi="Times New Roman"/>
          <w:i/>
          <w:sz w:val="20"/>
          <w:szCs w:val="20"/>
        </w:rPr>
        <w:t xml:space="preserve"> &amp; </w:t>
      </w:r>
      <w:proofErr w:type="spellStart"/>
      <w:r w:rsidRPr="009B2F58">
        <w:rPr>
          <w:rFonts w:ascii="Times New Roman" w:hAnsi="Times New Roman"/>
          <w:i/>
          <w:sz w:val="20"/>
          <w:szCs w:val="20"/>
        </w:rPr>
        <w:t>Organization</w:t>
      </w:r>
      <w:proofErr w:type="spellEnd"/>
      <w:r w:rsidRPr="009B2F58">
        <w:rPr>
          <w:rFonts w:ascii="Times New Roman" w:hAnsi="Times New Roman"/>
          <w:sz w:val="20"/>
          <w:szCs w:val="20"/>
        </w:rPr>
        <w:t>, Vol.160, pp. 100-120</w:t>
      </w:r>
    </w:p>
    <w:p w14:paraId="709108D4" w14:textId="77777777"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 xml:space="preserve">Cueva C., </w:t>
      </w:r>
      <w:proofErr w:type="spellStart"/>
      <w:r w:rsidRPr="009B2F58">
        <w:rPr>
          <w:rFonts w:ascii="Times New Roman" w:hAnsi="Times New Roman"/>
          <w:sz w:val="20"/>
          <w:szCs w:val="20"/>
        </w:rPr>
        <w:t>Rustichini</w:t>
      </w:r>
      <w:proofErr w:type="spellEnd"/>
      <w:r w:rsidRPr="009B2F58">
        <w:rPr>
          <w:rFonts w:ascii="Times New Roman" w:hAnsi="Times New Roman"/>
          <w:sz w:val="20"/>
          <w:szCs w:val="20"/>
        </w:rPr>
        <w:t xml:space="preserve"> A., (2015), « Is </w:t>
      </w:r>
      <w:proofErr w:type="spellStart"/>
      <w:r w:rsidRPr="009B2F58">
        <w:rPr>
          <w:rFonts w:ascii="Times New Roman" w:hAnsi="Times New Roman"/>
          <w:sz w:val="20"/>
          <w:szCs w:val="20"/>
        </w:rPr>
        <w:t>financial</w:t>
      </w:r>
      <w:proofErr w:type="spellEnd"/>
      <w:r w:rsidRPr="009B2F58">
        <w:rPr>
          <w:rFonts w:ascii="Times New Roman" w:hAnsi="Times New Roman"/>
          <w:sz w:val="20"/>
          <w:szCs w:val="20"/>
        </w:rPr>
        <w:t xml:space="preserve"> </w:t>
      </w:r>
      <w:proofErr w:type="spellStart"/>
      <w:r w:rsidRPr="009B2F58">
        <w:rPr>
          <w:rFonts w:ascii="Times New Roman" w:hAnsi="Times New Roman"/>
          <w:sz w:val="20"/>
          <w:szCs w:val="20"/>
        </w:rPr>
        <w:t>instability</w:t>
      </w:r>
      <w:proofErr w:type="spellEnd"/>
      <w:r w:rsidRPr="009B2F58">
        <w:rPr>
          <w:rFonts w:ascii="Times New Roman" w:hAnsi="Times New Roman"/>
          <w:sz w:val="20"/>
          <w:szCs w:val="20"/>
        </w:rPr>
        <w:t xml:space="preserve"> male-</w:t>
      </w:r>
      <w:proofErr w:type="spellStart"/>
      <w:proofErr w:type="gramStart"/>
      <w:r w:rsidRPr="009B2F58">
        <w:rPr>
          <w:rFonts w:ascii="Times New Roman" w:hAnsi="Times New Roman"/>
          <w:sz w:val="20"/>
          <w:szCs w:val="20"/>
        </w:rPr>
        <w:t>driven</w:t>
      </w:r>
      <w:proofErr w:type="spellEnd"/>
      <w:r w:rsidRPr="009B2F58">
        <w:rPr>
          <w:rFonts w:ascii="Times New Roman" w:hAnsi="Times New Roman"/>
          <w:sz w:val="20"/>
          <w:szCs w:val="20"/>
        </w:rPr>
        <w:t>?</w:t>
      </w:r>
      <w:proofErr w:type="gramEnd"/>
      <w:r w:rsidRPr="009B2F58">
        <w:rPr>
          <w:rFonts w:ascii="Times New Roman" w:hAnsi="Times New Roman"/>
          <w:sz w:val="20"/>
          <w:szCs w:val="20"/>
        </w:rPr>
        <w:t xml:space="preserve"> </w:t>
      </w:r>
      <w:proofErr w:type="spellStart"/>
      <w:r w:rsidRPr="009B2F58">
        <w:rPr>
          <w:rFonts w:ascii="Times New Roman" w:hAnsi="Times New Roman"/>
          <w:sz w:val="20"/>
          <w:szCs w:val="20"/>
        </w:rPr>
        <w:t>Gender</w:t>
      </w:r>
      <w:proofErr w:type="spellEnd"/>
      <w:r w:rsidRPr="009B2F58">
        <w:rPr>
          <w:rFonts w:ascii="Times New Roman" w:hAnsi="Times New Roman"/>
          <w:sz w:val="20"/>
          <w:szCs w:val="20"/>
        </w:rPr>
        <w:t xml:space="preserve"> and cognitive </w:t>
      </w:r>
      <w:proofErr w:type="spellStart"/>
      <w:r w:rsidRPr="009B2F58">
        <w:rPr>
          <w:rFonts w:ascii="Times New Roman" w:hAnsi="Times New Roman"/>
          <w:sz w:val="20"/>
          <w:szCs w:val="20"/>
        </w:rPr>
        <w:t>skills</w:t>
      </w:r>
      <w:proofErr w:type="spellEnd"/>
      <w:r w:rsidRPr="009B2F58">
        <w:rPr>
          <w:rFonts w:ascii="Times New Roman" w:hAnsi="Times New Roman"/>
          <w:sz w:val="20"/>
          <w:szCs w:val="20"/>
        </w:rPr>
        <w:t xml:space="preserve"> in </w:t>
      </w:r>
      <w:proofErr w:type="spellStart"/>
      <w:r w:rsidRPr="009B2F58">
        <w:rPr>
          <w:rFonts w:ascii="Times New Roman" w:hAnsi="Times New Roman"/>
          <w:sz w:val="20"/>
          <w:szCs w:val="20"/>
        </w:rPr>
        <w:t>experimental</w:t>
      </w:r>
      <w:proofErr w:type="spellEnd"/>
      <w:r w:rsidRPr="009B2F58">
        <w:rPr>
          <w:rFonts w:ascii="Times New Roman" w:hAnsi="Times New Roman"/>
          <w:sz w:val="20"/>
          <w:szCs w:val="20"/>
        </w:rPr>
        <w:t xml:space="preserve"> asset </w:t>
      </w:r>
      <w:proofErr w:type="spellStart"/>
      <w:r w:rsidRPr="009B2F58">
        <w:rPr>
          <w:rFonts w:ascii="Times New Roman" w:hAnsi="Times New Roman"/>
          <w:sz w:val="20"/>
          <w:szCs w:val="20"/>
        </w:rPr>
        <w:t>markets</w:t>
      </w:r>
      <w:proofErr w:type="spellEnd"/>
      <w:r w:rsidRPr="009B2F58">
        <w:rPr>
          <w:rFonts w:ascii="Times New Roman" w:hAnsi="Times New Roman"/>
          <w:sz w:val="20"/>
          <w:szCs w:val="20"/>
        </w:rPr>
        <w:t xml:space="preserve"> », </w:t>
      </w:r>
      <w:r w:rsidRPr="009B2F58">
        <w:rPr>
          <w:rFonts w:ascii="Times New Roman" w:hAnsi="Times New Roman"/>
          <w:i/>
          <w:sz w:val="20"/>
          <w:szCs w:val="20"/>
        </w:rPr>
        <w:t xml:space="preserve">Journal of </w:t>
      </w:r>
      <w:proofErr w:type="spellStart"/>
      <w:r w:rsidRPr="009B2F58">
        <w:rPr>
          <w:rFonts w:ascii="Times New Roman" w:hAnsi="Times New Roman"/>
          <w:i/>
          <w:sz w:val="20"/>
          <w:szCs w:val="20"/>
        </w:rPr>
        <w:t>Economic</w:t>
      </w:r>
      <w:proofErr w:type="spellEnd"/>
      <w:r w:rsidRPr="009B2F58">
        <w:rPr>
          <w:rFonts w:ascii="Times New Roman" w:hAnsi="Times New Roman"/>
          <w:i/>
          <w:sz w:val="20"/>
          <w:szCs w:val="20"/>
        </w:rPr>
        <w:t xml:space="preserve"> </w:t>
      </w:r>
      <w:proofErr w:type="spellStart"/>
      <w:r w:rsidRPr="009B2F58">
        <w:rPr>
          <w:rFonts w:ascii="Times New Roman" w:hAnsi="Times New Roman"/>
          <w:i/>
          <w:sz w:val="20"/>
          <w:szCs w:val="20"/>
        </w:rPr>
        <w:t>Behavior</w:t>
      </w:r>
      <w:proofErr w:type="spellEnd"/>
      <w:r w:rsidRPr="009B2F58">
        <w:rPr>
          <w:rFonts w:ascii="Times New Roman" w:hAnsi="Times New Roman"/>
          <w:i/>
          <w:sz w:val="20"/>
          <w:szCs w:val="20"/>
        </w:rPr>
        <w:t xml:space="preserve"> &amp; </w:t>
      </w:r>
      <w:proofErr w:type="spellStart"/>
      <w:r w:rsidRPr="009B2F58">
        <w:rPr>
          <w:rFonts w:ascii="Times New Roman" w:hAnsi="Times New Roman"/>
          <w:i/>
          <w:sz w:val="20"/>
          <w:szCs w:val="20"/>
        </w:rPr>
        <w:t>Organization</w:t>
      </w:r>
      <w:proofErr w:type="spellEnd"/>
      <w:r w:rsidRPr="009B2F58">
        <w:rPr>
          <w:rFonts w:ascii="Times New Roman" w:hAnsi="Times New Roman"/>
          <w:sz w:val="20"/>
          <w:szCs w:val="20"/>
        </w:rPr>
        <w:t>, Vol.119, pp.330-344</w:t>
      </w:r>
    </w:p>
    <w:p w14:paraId="070CAAD3" w14:textId="77777777"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 xml:space="preserve">De </w:t>
      </w:r>
      <w:proofErr w:type="spellStart"/>
      <w:r w:rsidRPr="009B2F58">
        <w:rPr>
          <w:rFonts w:ascii="Times New Roman" w:hAnsi="Times New Roman"/>
          <w:sz w:val="20"/>
          <w:szCs w:val="20"/>
        </w:rPr>
        <w:t>Larminat</w:t>
      </w:r>
      <w:proofErr w:type="spellEnd"/>
      <w:r w:rsidRPr="009B2F58">
        <w:rPr>
          <w:rFonts w:ascii="Times New Roman" w:hAnsi="Times New Roman"/>
          <w:sz w:val="20"/>
          <w:szCs w:val="20"/>
        </w:rPr>
        <w:t xml:space="preserve"> P., (2013), « Entre « quantitatif » et « qualitatif ». Comment les investisseurs professionnels évaluent les gérants d'actifs financiers ? », </w:t>
      </w:r>
      <w:r w:rsidRPr="009B2F58">
        <w:rPr>
          <w:rFonts w:ascii="Times New Roman" w:hAnsi="Times New Roman"/>
          <w:i/>
          <w:sz w:val="20"/>
          <w:szCs w:val="20"/>
        </w:rPr>
        <w:t>L’Année sociologique</w:t>
      </w:r>
      <w:r w:rsidRPr="009B2F58">
        <w:rPr>
          <w:rFonts w:ascii="Times New Roman" w:hAnsi="Times New Roman"/>
          <w:sz w:val="20"/>
          <w:szCs w:val="20"/>
        </w:rPr>
        <w:t xml:space="preserve">, Vol.63, n°1, pp.77-105 </w:t>
      </w:r>
    </w:p>
    <w:p w14:paraId="0C02133C" w14:textId="77777777" w:rsidR="00845B6C" w:rsidRPr="009B2F58" w:rsidRDefault="009B2F58">
      <w:pPr>
        <w:spacing w:line="240" w:lineRule="auto"/>
        <w:jc w:val="both"/>
        <w:rPr>
          <w:rFonts w:ascii="Times New Roman" w:hAnsi="Times New Roman"/>
          <w:sz w:val="20"/>
          <w:szCs w:val="20"/>
        </w:rPr>
      </w:pPr>
      <w:proofErr w:type="spellStart"/>
      <w:r w:rsidRPr="009B2F58">
        <w:rPr>
          <w:rFonts w:ascii="Times New Roman" w:hAnsi="Times New Roman"/>
          <w:sz w:val="20"/>
          <w:szCs w:val="20"/>
        </w:rPr>
        <w:t>Declerck</w:t>
      </w:r>
      <w:proofErr w:type="spellEnd"/>
      <w:r w:rsidRPr="009B2F58">
        <w:rPr>
          <w:rFonts w:ascii="Times New Roman" w:hAnsi="Times New Roman"/>
          <w:sz w:val="20"/>
          <w:szCs w:val="20"/>
        </w:rPr>
        <w:t xml:space="preserve"> F., </w:t>
      </w:r>
      <w:proofErr w:type="spellStart"/>
      <w:r w:rsidRPr="009B2F58">
        <w:rPr>
          <w:rFonts w:ascii="Times New Roman" w:hAnsi="Times New Roman"/>
          <w:sz w:val="20"/>
          <w:szCs w:val="20"/>
        </w:rPr>
        <w:t>Lescourret</w:t>
      </w:r>
      <w:proofErr w:type="spellEnd"/>
      <w:r w:rsidRPr="009B2F58">
        <w:rPr>
          <w:rFonts w:ascii="Times New Roman" w:hAnsi="Times New Roman"/>
          <w:sz w:val="20"/>
          <w:szCs w:val="20"/>
        </w:rPr>
        <w:t xml:space="preserve"> L. (2015), « </w:t>
      </w:r>
      <w:proofErr w:type="spellStart"/>
      <w:r w:rsidRPr="009B2F58">
        <w:rPr>
          <w:rFonts w:ascii="Times New Roman" w:hAnsi="Times New Roman"/>
          <w:sz w:val="20"/>
          <w:szCs w:val="20"/>
        </w:rPr>
        <w:t>Dark</w:t>
      </w:r>
      <w:proofErr w:type="spellEnd"/>
      <w:r w:rsidRPr="009B2F58">
        <w:rPr>
          <w:rFonts w:ascii="Times New Roman" w:hAnsi="Times New Roman"/>
          <w:sz w:val="20"/>
          <w:szCs w:val="20"/>
        </w:rPr>
        <w:t xml:space="preserve"> pools et trading haute fréquence : une évolution utile ? », </w:t>
      </w:r>
      <w:r w:rsidRPr="009B2F58">
        <w:rPr>
          <w:rFonts w:ascii="Times New Roman" w:hAnsi="Times New Roman"/>
          <w:i/>
          <w:sz w:val="20"/>
          <w:szCs w:val="20"/>
        </w:rPr>
        <w:t>Revue d’Economie Financière</w:t>
      </w:r>
      <w:r w:rsidRPr="009B2F58">
        <w:rPr>
          <w:rFonts w:ascii="Times New Roman" w:hAnsi="Times New Roman"/>
          <w:sz w:val="20"/>
          <w:szCs w:val="20"/>
        </w:rPr>
        <w:t>, Vol.4, n°120, pp.113-126</w:t>
      </w:r>
    </w:p>
    <w:p w14:paraId="46A88936" w14:textId="77777777"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 xml:space="preserve">El </w:t>
      </w:r>
      <w:proofErr w:type="spellStart"/>
      <w:r w:rsidRPr="009B2F58">
        <w:rPr>
          <w:rFonts w:ascii="Times New Roman" w:hAnsi="Times New Roman"/>
          <w:sz w:val="20"/>
          <w:szCs w:val="20"/>
        </w:rPr>
        <w:t>Hédi</w:t>
      </w:r>
      <w:proofErr w:type="spellEnd"/>
      <w:r w:rsidRPr="009B2F58">
        <w:rPr>
          <w:rFonts w:ascii="Times New Roman" w:hAnsi="Times New Roman"/>
          <w:sz w:val="20"/>
          <w:szCs w:val="20"/>
        </w:rPr>
        <w:t xml:space="preserve"> </w:t>
      </w:r>
      <w:proofErr w:type="spellStart"/>
      <w:r w:rsidRPr="009B2F58">
        <w:rPr>
          <w:rFonts w:ascii="Times New Roman" w:hAnsi="Times New Roman"/>
          <w:sz w:val="20"/>
          <w:szCs w:val="20"/>
        </w:rPr>
        <w:t>Arouri</w:t>
      </w:r>
      <w:proofErr w:type="spellEnd"/>
      <w:r w:rsidRPr="009B2F58">
        <w:rPr>
          <w:rFonts w:ascii="Times New Roman" w:hAnsi="Times New Roman"/>
          <w:sz w:val="20"/>
          <w:szCs w:val="20"/>
        </w:rPr>
        <w:t xml:space="preserve"> M., </w:t>
      </w:r>
      <w:proofErr w:type="spellStart"/>
      <w:r w:rsidRPr="009B2F58">
        <w:rPr>
          <w:rFonts w:ascii="Times New Roman" w:hAnsi="Times New Roman"/>
          <w:sz w:val="20"/>
          <w:szCs w:val="20"/>
        </w:rPr>
        <w:t>Jawadi</w:t>
      </w:r>
      <w:proofErr w:type="spellEnd"/>
      <w:r w:rsidRPr="009B2F58">
        <w:rPr>
          <w:rFonts w:ascii="Times New Roman" w:hAnsi="Times New Roman"/>
          <w:sz w:val="20"/>
          <w:szCs w:val="20"/>
        </w:rPr>
        <w:t xml:space="preserve"> F. (2012), « Sources d'inefficience et ajustement asymétrique des cours boursiers », </w:t>
      </w:r>
      <w:r w:rsidRPr="009B2F58">
        <w:rPr>
          <w:rFonts w:ascii="Times New Roman" w:hAnsi="Times New Roman"/>
          <w:i/>
          <w:sz w:val="20"/>
          <w:szCs w:val="20"/>
        </w:rPr>
        <w:t>La Revue des Sciences de Gestion</w:t>
      </w:r>
      <w:r w:rsidRPr="009B2F58">
        <w:rPr>
          <w:rFonts w:ascii="Times New Roman" w:hAnsi="Times New Roman"/>
          <w:sz w:val="20"/>
          <w:szCs w:val="20"/>
        </w:rPr>
        <w:t>, Vol.6, n°258, pp.25-34</w:t>
      </w:r>
    </w:p>
    <w:p w14:paraId="2D90A5D0" w14:textId="77777777"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 xml:space="preserve">Fenton, M., Lins, J., </w:t>
      </w:r>
      <w:proofErr w:type="spellStart"/>
      <w:r w:rsidRPr="009B2F58">
        <w:rPr>
          <w:rFonts w:ascii="Times New Roman" w:hAnsi="Times New Roman"/>
          <w:sz w:val="20"/>
          <w:szCs w:val="20"/>
        </w:rPr>
        <w:t>Vohra</w:t>
      </w:r>
      <w:proofErr w:type="spellEnd"/>
      <w:r w:rsidRPr="009B2F58">
        <w:rPr>
          <w:rFonts w:ascii="Times New Roman" w:hAnsi="Times New Roman"/>
          <w:sz w:val="20"/>
          <w:szCs w:val="20"/>
        </w:rPr>
        <w:t xml:space="preserve">, S., Richards D., Davies, G., </w:t>
      </w:r>
      <w:proofErr w:type="spellStart"/>
      <w:r w:rsidRPr="009B2F58">
        <w:rPr>
          <w:rFonts w:ascii="Times New Roman" w:hAnsi="Times New Roman"/>
          <w:sz w:val="20"/>
          <w:szCs w:val="20"/>
        </w:rPr>
        <w:t>Schaaﬀ</w:t>
      </w:r>
      <w:proofErr w:type="spellEnd"/>
      <w:r w:rsidRPr="009B2F58">
        <w:rPr>
          <w:rFonts w:ascii="Times New Roman" w:hAnsi="Times New Roman"/>
          <w:sz w:val="20"/>
          <w:szCs w:val="20"/>
        </w:rPr>
        <w:t xml:space="preserve">, K. (2012), « Emotion </w:t>
      </w:r>
      <w:proofErr w:type="spellStart"/>
      <w:r w:rsidRPr="009B2F58">
        <w:rPr>
          <w:rFonts w:ascii="Times New Roman" w:hAnsi="Times New Roman"/>
          <w:sz w:val="20"/>
          <w:szCs w:val="20"/>
        </w:rPr>
        <w:t>regulation</w:t>
      </w:r>
      <w:proofErr w:type="spellEnd"/>
      <w:r w:rsidRPr="009B2F58">
        <w:rPr>
          <w:rFonts w:ascii="Times New Roman" w:hAnsi="Times New Roman"/>
          <w:sz w:val="20"/>
          <w:szCs w:val="20"/>
        </w:rPr>
        <w:t xml:space="preserve"> and trader expertise : </w:t>
      </w:r>
      <w:proofErr w:type="spellStart"/>
      <w:r w:rsidRPr="009B2F58">
        <w:rPr>
          <w:rFonts w:ascii="Times New Roman" w:hAnsi="Times New Roman"/>
          <w:sz w:val="20"/>
          <w:szCs w:val="20"/>
        </w:rPr>
        <w:t>heart</w:t>
      </w:r>
      <w:proofErr w:type="spellEnd"/>
      <w:r w:rsidRPr="009B2F58">
        <w:rPr>
          <w:rFonts w:ascii="Times New Roman" w:hAnsi="Times New Roman"/>
          <w:sz w:val="20"/>
          <w:szCs w:val="20"/>
        </w:rPr>
        <w:t xml:space="preserve"> rate </w:t>
      </w:r>
      <w:proofErr w:type="spellStart"/>
      <w:r w:rsidRPr="009B2F58">
        <w:rPr>
          <w:rFonts w:ascii="Times New Roman" w:hAnsi="Times New Roman"/>
          <w:sz w:val="20"/>
          <w:szCs w:val="20"/>
        </w:rPr>
        <w:t>variability</w:t>
      </w:r>
      <w:proofErr w:type="spellEnd"/>
      <w:r w:rsidRPr="009B2F58">
        <w:rPr>
          <w:rFonts w:ascii="Times New Roman" w:hAnsi="Times New Roman"/>
          <w:sz w:val="20"/>
          <w:szCs w:val="20"/>
        </w:rPr>
        <w:t xml:space="preserve"> on the trading </w:t>
      </w:r>
      <w:proofErr w:type="spellStart"/>
      <w:r w:rsidRPr="009B2F58">
        <w:rPr>
          <w:rFonts w:ascii="Times New Roman" w:hAnsi="Times New Roman"/>
          <w:sz w:val="20"/>
          <w:szCs w:val="20"/>
        </w:rPr>
        <w:t>ﬂoor</w:t>
      </w:r>
      <w:proofErr w:type="spellEnd"/>
      <w:r w:rsidRPr="009B2F58">
        <w:rPr>
          <w:rFonts w:ascii="Times New Roman" w:hAnsi="Times New Roman"/>
          <w:sz w:val="20"/>
          <w:szCs w:val="20"/>
        </w:rPr>
        <w:t xml:space="preserve"> », </w:t>
      </w:r>
      <w:r w:rsidRPr="009B2F58">
        <w:rPr>
          <w:rFonts w:ascii="Times New Roman" w:hAnsi="Times New Roman"/>
          <w:i/>
          <w:sz w:val="20"/>
          <w:szCs w:val="20"/>
        </w:rPr>
        <w:t xml:space="preserve">Journal of Neuroscience, Psychology and </w:t>
      </w:r>
      <w:proofErr w:type="spellStart"/>
      <w:r w:rsidRPr="009B2F58">
        <w:rPr>
          <w:rFonts w:ascii="Times New Roman" w:hAnsi="Times New Roman"/>
          <w:i/>
          <w:sz w:val="20"/>
          <w:szCs w:val="20"/>
        </w:rPr>
        <w:t>Economics</w:t>
      </w:r>
      <w:proofErr w:type="spellEnd"/>
      <w:r w:rsidRPr="009B2F58">
        <w:rPr>
          <w:rFonts w:ascii="Times New Roman" w:hAnsi="Times New Roman"/>
          <w:sz w:val="20"/>
          <w:szCs w:val="20"/>
        </w:rPr>
        <w:t>, Vol.5, n°4 pp. 227–237</w:t>
      </w:r>
    </w:p>
    <w:p w14:paraId="2CB3B0AE" w14:textId="77777777" w:rsidR="00845B6C" w:rsidRPr="009B2F58" w:rsidRDefault="009B2F58">
      <w:pPr>
        <w:spacing w:line="240" w:lineRule="auto"/>
        <w:jc w:val="both"/>
        <w:rPr>
          <w:rFonts w:ascii="Times New Roman" w:hAnsi="Times New Roman"/>
          <w:sz w:val="20"/>
          <w:szCs w:val="20"/>
        </w:rPr>
      </w:pPr>
      <w:proofErr w:type="spellStart"/>
      <w:r w:rsidRPr="009B2F58">
        <w:rPr>
          <w:rFonts w:ascii="Times New Roman" w:hAnsi="Times New Roman"/>
          <w:sz w:val="20"/>
          <w:szCs w:val="20"/>
        </w:rPr>
        <w:t>Godechot</w:t>
      </w:r>
      <w:proofErr w:type="spellEnd"/>
      <w:r w:rsidRPr="009B2F58">
        <w:rPr>
          <w:rFonts w:ascii="Times New Roman" w:hAnsi="Times New Roman"/>
          <w:sz w:val="20"/>
          <w:szCs w:val="20"/>
        </w:rPr>
        <w:t xml:space="preserve"> O. (2001), « Les traders, essai sociologique sur les marchés financiers », Editions La Découverte, 299 pages</w:t>
      </w:r>
    </w:p>
    <w:p w14:paraId="048DCD9E" w14:textId="77777777" w:rsidR="00845B6C" w:rsidRPr="009B2F58" w:rsidRDefault="009B2F58">
      <w:pPr>
        <w:spacing w:line="240" w:lineRule="auto"/>
        <w:jc w:val="both"/>
        <w:rPr>
          <w:rFonts w:ascii="Times New Roman" w:hAnsi="Times New Roman"/>
          <w:sz w:val="20"/>
          <w:szCs w:val="20"/>
        </w:rPr>
      </w:pPr>
      <w:proofErr w:type="spellStart"/>
      <w:r w:rsidRPr="009B2F58">
        <w:rPr>
          <w:rFonts w:ascii="Times New Roman" w:hAnsi="Times New Roman"/>
          <w:sz w:val="20"/>
          <w:szCs w:val="20"/>
          <w:lang w:val="en-US"/>
        </w:rPr>
        <w:t>Halilbegovic</w:t>
      </w:r>
      <w:proofErr w:type="spellEnd"/>
      <w:r w:rsidRPr="009B2F58">
        <w:rPr>
          <w:rFonts w:ascii="Times New Roman" w:hAnsi="Times New Roman"/>
          <w:sz w:val="20"/>
          <w:szCs w:val="20"/>
          <w:lang w:val="en-US"/>
        </w:rPr>
        <w:t xml:space="preserve"> S. (2016), « MACD - Analysis of Weaknesses of the Most Powerful Technical Analysis Tool », </w:t>
      </w:r>
      <w:r w:rsidRPr="009B2F58">
        <w:rPr>
          <w:rFonts w:ascii="Times New Roman" w:hAnsi="Times New Roman"/>
          <w:i/>
          <w:sz w:val="20"/>
          <w:szCs w:val="20"/>
          <w:lang w:val="en-US"/>
        </w:rPr>
        <w:t>Independent Journal of Management &amp; Production</w:t>
      </w:r>
      <w:r w:rsidRPr="009B2F58">
        <w:rPr>
          <w:rFonts w:ascii="Times New Roman" w:hAnsi="Times New Roman"/>
          <w:sz w:val="20"/>
          <w:szCs w:val="20"/>
          <w:lang w:val="en-US"/>
        </w:rPr>
        <w:t>, Vol.7, n°2, pp.367-379</w:t>
      </w:r>
    </w:p>
    <w:p w14:paraId="4F15E809" w14:textId="77777777" w:rsidR="00845B6C" w:rsidRPr="009B2F58" w:rsidRDefault="009B2F58">
      <w:pPr>
        <w:spacing w:line="240" w:lineRule="auto"/>
        <w:jc w:val="both"/>
        <w:rPr>
          <w:rFonts w:ascii="Times New Roman" w:hAnsi="Times New Roman"/>
          <w:sz w:val="20"/>
          <w:szCs w:val="20"/>
        </w:rPr>
      </w:pPr>
      <w:proofErr w:type="spellStart"/>
      <w:r w:rsidRPr="009B2F58">
        <w:rPr>
          <w:rFonts w:ascii="Times New Roman" w:hAnsi="Times New Roman"/>
          <w:sz w:val="20"/>
          <w:szCs w:val="20"/>
        </w:rPr>
        <w:t>Hautcoeur</w:t>
      </w:r>
      <w:proofErr w:type="spellEnd"/>
      <w:r w:rsidRPr="009B2F58">
        <w:rPr>
          <w:rFonts w:ascii="Times New Roman" w:hAnsi="Times New Roman"/>
          <w:sz w:val="20"/>
          <w:szCs w:val="20"/>
        </w:rPr>
        <w:t xml:space="preserve"> P., (2011), « Les marchés financiers : péril ou opportunité pour l'industrie ? Quelques enseignements d'un épisode oublié de l'histoire de la Bourse de Paris », </w:t>
      </w:r>
      <w:r w:rsidRPr="009B2F58">
        <w:rPr>
          <w:rFonts w:ascii="Times New Roman" w:hAnsi="Times New Roman"/>
          <w:i/>
          <w:sz w:val="20"/>
          <w:szCs w:val="20"/>
        </w:rPr>
        <w:t>Revue d’Economie Financière</w:t>
      </w:r>
      <w:r w:rsidRPr="009B2F58">
        <w:rPr>
          <w:rFonts w:ascii="Times New Roman" w:hAnsi="Times New Roman"/>
          <w:sz w:val="20"/>
          <w:szCs w:val="20"/>
        </w:rPr>
        <w:t>, Vol.4, n°104, pp.51-70</w:t>
      </w:r>
    </w:p>
    <w:p w14:paraId="67F32B15" w14:textId="77777777" w:rsidR="00845B6C" w:rsidRPr="009B2F58" w:rsidRDefault="009B2F58">
      <w:pPr>
        <w:spacing w:line="240" w:lineRule="auto"/>
        <w:jc w:val="both"/>
        <w:rPr>
          <w:rFonts w:ascii="Times New Roman" w:hAnsi="Times New Roman"/>
          <w:sz w:val="20"/>
          <w:szCs w:val="20"/>
        </w:rPr>
      </w:pPr>
      <w:proofErr w:type="spellStart"/>
      <w:r w:rsidRPr="009B2F58">
        <w:rPr>
          <w:rFonts w:ascii="Times New Roman" w:hAnsi="Times New Roman"/>
          <w:sz w:val="20"/>
          <w:szCs w:val="20"/>
        </w:rPr>
        <w:t>Javed</w:t>
      </w:r>
      <w:proofErr w:type="spellEnd"/>
      <w:r w:rsidRPr="009B2F58">
        <w:rPr>
          <w:rFonts w:ascii="Times New Roman" w:hAnsi="Times New Roman"/>
          <w:sz w:val="20"/>
          <w:szCs w:val="20"/>
        </w:rPr>
        <w:t xml:space="preserve"> H., </w:t>
      </w:r>
      <w:proofErr w:type="spellStart"/>
      <w:r w:rsidRPr="009B2F58">
        <w:rPr>
          <w:rFonts w:ascii="Times New Roman" w:hAnsi="Times New Roman"/>
          <w:sz w:val="20"/>
          <w:szCs w:val="20"/>
        </w:rPr>
        <w:t>Bagh</w:t>
      </w:r>
      <w:proofErr w:type="spellEnd"/>
      <w:r w:rsidRPr="009B2F58">
        <w:rPr>
          <w:rFonts w:ascii="Times New Roman" w:hAnsi="Times New Roman"/>
          <w:sz w:val="20"/>
          <w:szCs w:val="20"/>
        </w:rPr>
        <w:t xml:space="preserve"> T., </w:t>
      </w:r>
      <w:proofErr w:type="spellStart"/>
      <w:r w:rsidRPr="009B2F58">
        <w:rPr>
          <w:rFonts w:ascii="Times New Roman" w:hAnsi="Times New Roman"/>
          <w:sz w:val="20"/>
          <w:szCs w:val="20"/>
        </w:rPr>
        <w:t>Razzaq</w:t>
      </w:r>
      <w:proofErr w:type="spellEnd"/>
      <w:r w:rsidRPr="009B2F58">
        <w:rPr>
          <w:rFonts w:ascii="Times New Roman" w:hAnsi="Times New Roman"/>
          <w:sz w:val="20"/>
          <w:szCs w:val="20"/>
        </w:rPr>
        <w:t xml:space="preserve"> S., (2017), « </w:t>
      </w:r>
      <w:proofErr w:type="spellStart"/>
      <w:r w:rsidRPr="009B2F58">
        <w:rPr>
          <w:rFonts w:ascii="Times New Roman" w:hAnsi="Times New Roman"/>
          <w:sz w:val="20"/>
          <w:szCs w:val="20"/>
        </w:rPr>
        <w:t>Herding</w:t>
      </w:r>
      <w:proofErr w:type="spellEnd"/>
      <w:r w:rsidRPr="009B2F58">
        <w:rPr>
          <w:rFonts w:ascii="Times New Roman" w:hAnsi="Times New Roman"/>
          <w:sz w:val="20"/>
          <w:szCs w:val="20"/>
        </w:rPr>
        <w:t xml:space="preserve"> </w:t>
      </w:r>
      <w:proofErr w:type="spellStart"/>
      <w:r w:rsidRPr="009B2F58">
        <w:rPr>
          <w:rFonts w:ascii="Times New Roman" w:hAnsi="Times New Roman"/>
          <w:sz w:val="20"/>
          <w:szCs w:val="20"/>
        </w:rPr>
        <w:t>Effects</w:t>
      </w:r>
      <w:proofErr w:type="spellEnd"/>
      <w:r w:rsidRPr="009B2F58">
        <w:rPr>
          <w:rFonts w:ascii="Times New Roman" w:hAnsi="Times New Roman"/>
          <w:sz w:val="20"/>
          <w:szCs w:val="20"/>
        </w:rPr>
        <w:t xml:space="preserve">, Over Confidence, </w:t>
      </w:r>
      <w:proofErr w:type="spellStart"/>
      <w:r w:rsidRPr="009B2F58">
        <w:rPr>
          <w:rFonts w:ascii="Times New Roman" w:hAnsi="Times New Roman"/>
          <w:sz w:val="20"/>
          <w:szCs w:val="20"/>
        </w:rPr>
        <w:t>Availability</w:t>
      </w:r>
      <w:proofErr w:type="spellEnd"/>
      <w:r w:rsidRPr="009B2F58">
        <w:rPr>
          <w:rFonts w:ascii="Times New Roman" w:hAnsi="Times New Roman"/>
          <w:sz w:val="20"/>
          <w:szCs w:val="20"/>
        </w:rPr>
        <w:t xml:space="preserve"> </w:t>
      </w:r>
      <w:proofErr w:type="spellStart"/>
      <w:r w:rsidRPr="009B2F58">
        <w:rPr>
          <w:rFonts w:ascii="Times New Roman" w:hAnsi="Times New Roman"/>
          <w:sz w:val="20"/>
          <w:szCs w:val="20"/>
        </w:rPr>
        <w:t>Bias</w:t>
      </w:r>
      <w:proofErr w:type="spellEnd"/>
      <w:r w:rsidRPr="009B2F58">
        <w:rPr>
          <w:rFonts w:ascii="Times New Roman" w:hAnsi="Times New Roman"/>
          <w:sz w:val="20"/>
          <w:szCs w:val="20"/>
        </w:rPr>
        <w:t xml:space="preserve"> and </w:t>
      </w:r>
      <w:proofErr w:type="spellStart"/>
      <w:r w:rsidRPr="009B2F58">
        <w:rPr>
          <w:rFonts w:ascii="Times New Roman" w:hAnsi="Times New Roman"/>
          <w:sz w:val="20"/>
          <w:szCs w:val="20"/>
        </w:rPr>
        <w:t>Representativeness</w:t>
      </w:r>
      <w:proofErr w:type="spellEnd"/>
      <w:r w:rsidRPr="009B2F58">
        <w:rPr>
          <w:rFonts w:ascii="Times New Roman" w:hAnsi="Times New Roman"/>
          <w:sz w:val="20"/>
          <w:szCs w:val="20"/>
        </w:rPr>
        <w:t xml:space="preserve"> as </w:t>
      </w:r>
      <w:proofErr w:type="spellStart"/>
      <w:r w:rsidRPr="009B2F58">
        <w:rPr>
          <w:rFonts w:ascii="Times New Roman" w:hAnsi="Times New Roman"/>
          <w:sz w:val="20"/>
          <w:szCs w:val="20"/>
        </w:rPr>
        <w:t>Behavioral</w:t>
      </w:r>
      <w:proofErr w:type="spellEnd"/>
      <w:r w:rsidRPr="009B2F58">
        <w:rPr>
          <w:rFonts w:ascii="Times New Roman" w:hAnsi="Times New Roman"/>
          <w:sz w:val="20"/>
          <w:szCs w:val="20"/>
        </w:rPr>
        <w:t xml:space="preserve"> </w:t>
      </w:r>
      <w:proofErr w:type="spellStart"/>
      <w:r w:rsidRPr="009B2F58">
        <w:rPr>
          <w:rFonts w:ascii="Times New Roman" w:hAnsi="Times New Roman"/>
          <w:sz w:val="20"/>
          <w:szCs w:val="20"/>
        </w:rPr>
        <w:t>Determinants</w:t>
      </w:r>
      <w:proofErr w:type="spellEnd"/>
      <w:r w:rsidRPr="009B2F58">
        <w:rPr>
          <w:rFonts w:ascii="Times New Roman" w:hAnsi="Times New Roman"/>
          <w:sz w:val="20"/>
          <w:szCs w:val="20"/>
        </w:rPr>
        <w:t xml:space="preserve"> of </w:t>
      </w:r>
      <w:proofErr w:type="spellStart"/>
      <w:r w:rsidRPr="009B2F58">
        <w:rPr>
          <w:rFonts w:ascii="Times New Roman" w:hAnsi="Times New Roman"/>
          <w:sz w:val="20"/>
          <w:szCs w:val="20"/>
        </w:rPr>
        <w:t>Perceived</w:t>
      </w:r>
      <w:proofErr w:type="spellEnd"/>
      <w:r w:rsidRPr="009B2F58">
        <w:rPr>
          <w:rFonts w:ascii="Times New Roman" w:hAnsi="Times New Roman"/>
          <w:sz w:val="20"/>
          <w:szCs w:val="20"/>
        </w:rPr>
        <w:t xml:space="preserve"> Investment Performance : An </w:t>
      </w:r>
      <w:proofErr w:type="spellStart"/>
      <w:r w:rsidRPr="009B2F58">
        <w:rPr>
          <w:rFonts w:ascii="Times New Roman" w:hAnsi="Times New Roman"/>
          <w:sz w:val="20"/>
          <w:szCs w:val="20"/>
        </w:rPr>
        <w:t>Empirical</w:t>
      </w:r>
      <w:proofErr w:type="spellEnd"/>
      <w:r w:rsidRPr="009B2F58">
        <w:rPr>
          <w:rFonts w:ascii="Times New Roman" w:hAnsi="Times New Roman"/>
          <w:sz w:val="20"/>
          <w:szCs w:val="20"/>
        </w:rPr>
        <w:t xml:space="preserve"> Evidence </w:t>
      </w:r>
      <w:proofErr w:type="spellStart"/>
      <w:r w:rsidRPr="009B2F58">
        <w:rPr>
          <w:rFonts w:ascii="Times New Roman" w:hAnsi="Times New Roman"/>
          <w:sz w:val="20"/>
          <w:szCs w:val="20"/>
        </w:rPr>
        <w:t>from</w:t>
      </w:r>
      <w:proofErr w:type="spellEnd"/>
      <w:r w:rsidRPr="009B2F58">
        <w:rPr>
          <w:rFonts w:ascii="Times New Roman" w:hAnsi="Times New Roman"/>
          <w:sz w:val="20"/>
          <w:szCs w:val="20"/>
        </w:rPr>
        <w:t xml:space="preserve"> Pakistan Stock Exchange », </w:t>
      </w:r>
      <w:r w:rsidRPr="009B2F58">
        <w:rPr>
          <w:rFonts w:ascii="Times New Roman" w:hAnsi="Times New Roman"/>
          <w:i/>
          <w:sz w:val="20"/>
          <w:szCs w:val="20"/>
        </w:rPr>
        <w:t xml:space="preserve">Journal of Global </w:t>
      </w:r>
      <w:proofErr w:type="spellStart"/>
      <w:r w:rsidRPr="009B2F58">
        <w:rPr>
          <w:rFonts w:ascii="Times New Roman" w:hAnsi="Times New Roman"/>
          <w:i/>
          <w:sz w:val="20"/>
          <w:szCs w:val="20"/>
        </w:rPr>
        <w:t>Economics</w:t>
      </w:r>
      <w:proofErr w:type="spellEnd"/>
      <w:r w:rsidRPr="009B2F58">
        <w:rPr>
          <w:rFonts w:ascii="Times New Roman" w:hAnsi="Times New Roman"/>
          <w:i/>
          <w:sz w:val="20"/>
          <w:szCs w:val="20"/>
        </w:rPr>
        <w:t xml:space="preserve">, </w:t>
      </w:r>
      <w:r w:rsidRPr="009B2F58">
        <w:rPr>
          <w:rFonts w:ascii="Times New Roman" w:hAnsi="Times New Roman"/>
          <w:sz w:val="20"/>
          <w:szCs w:val="20"/>
        </w:rPr>
        <w:t>Vol.6, n°1, 13 pages</w:t>
      </w:r>
    </w:p>
    <w:p w14:paraId="76C8B34C" w14:textId="77777777" w:rsidR="00845B6C" w:rsidRPr="009B2F58" w:rsidRDefault="009B2F58">
      <w:pPr>
        <w:spacing w:line="240" w:lineRule="auto"/>
        <w:jc w:val="both"/>
        <w:rPr>
          <w:rFonts w:ascii="Times New Roman" w:hAnsi="Times New Roman"/>
          <w:sz w:val="20"/>
          <w:szCs w:val="20"/>
        </w:rPr>
      </w:pPr>
      <w:proofErr w:type="spellStart"/>
      <w:r w:rsidRPr="009B2F58">
        <w:rPr>
          <w:rFonts w:ascii="Times New Roman" w:hAnsi="Times New Roman"/>
          <w:sz w:val="20"/>
          <w:szCs w:val="20"/>
        </w:rPr>
        <w:t>Kaustia</w:t>
      </w:r>
      <w:proofErr w:type="spellEnd"/>
      <w:r w:rsidRPr="009B2F58">
        <w:rPr>
          <w:rFonts w:ascii="Times New Roman" w:hAnsi="Times New Roman"/>
          <w:sz w:val="20"/>
          <w:szCs w:val="20"/>
        </w:rPr>
        <w:t xml:space="preserve"> M., </w:t>
      </w:r>
      <w:proofErr w:type="spellStart"/>
      <w:r w:rsidRPr="009B2F58">
        <w:rPr>
          <w:rFonts w:ascii="Times New Roman" w:hAnsi="Times New Roman"/>
          <w:sz w:val="20"/>
          <w:szCs w:val="20"/>
        </w:rPr>
        <w:t>Alho</w:t>
      </w:r>
      <w:proofErr w:type="spellEnd"/>
      <w:r w:rsidRPr="009B2F58">
        <w:rPr>
          <w:rFonts w:ascii="Times New Roman" w:hAnsi="Times New Roman"/>
          <w:sz w:val="20"/>
          <w:szCs w:val="20"/>
        </w:rPr>
        <w:t xml:space="preserve"> E., </w:t>
      </w:r>
      <w:proofErr w:type="spellStart"/>
      <w:r w:rsidRPr="009B2F58">
        <w:rPr>
          <w:rFonts w:ascii="Times New Roman" w:hAnsi="Times New Roman"/>
          <w:sz w:val="20"/>
          <w:szCs w:val="20"/>
        </w:rPr>
        <w:t>Puttonen</w:t>
      </w:r>
      <w:proofErr w:type="spellEnd"/>
      <w:r w:rsidRPr="009B2F58">
        <w:rPr>
          <w:rFonts w:ascii="Times New Roman" w:hAnsi="Times New Roman"/>
          <w:sz w:val="20"/>
          <w:szCs w:val="20"/>
        </w:rPr>
        <w:t xml:space="preserve"> V. (2008), « How Much </w:t>
      </w:r>
      <w:proofErr w:type="spellStart"/>
      <w:r w:rsidRPr="009B2F58">
        <w:rPr>
          <w:rFonts w:ascii="Times New Roman" w:hAnsi="Times New Roman"/>
          <w:sz w:val="20"/>
          <w:szCs w:val="20"/>
        </w:rPr>
        <w:t>Does</w:t>
      </w:r>
      <w:proofErr w:type="spellEnd"/>
      <w:r w:rsidRPr="009B2F58">
        <w:rPr>
          <w:rFonts w:ascii="Times New Roman" w:hAnsi="Times New Roman"/>
          <w:sz w:val="20"/>
          <w:szCs w:val="20"/>
        </w:rPr>
        <w:t xml:space="preserve"> Expertise </w:t>
      </w:r>
      <w:proofErr w:type="spellStart"/>
      <w:r w:rsidRPr="009B2F58">
        <w:rPr>
          <w:rFonts w:ascii="Times New Roman" w:hAnsi="Times New Roman"/>
          <w:sz w:val="20"/>
          <w:szCs w:val="20"/>
        </w:rPr>
        <w:t>Reduce</w:t>
      </w:r>
      <w:proofErr w:type="spellEnd"/>
      <w:r w:rsidRPr="009B2F58">
        <w:rPr>
          <w:rFonts w:ascii="Times New Roman" w:hAnsi="Times New Roman"/>
          <w:sz w:val="20"/>
          <w:szCs w:val="20"/>
        </w:rPr>
        <w:t xml:space="preserve"> </w:t>
      </w:r>
      <w:proofErr w:type="spellStart"/>
      <w:r w:rsidRPr="009B2F58">
        <w:rPr>
          <w:rFonts w:ascii="Times New Roman" w:hAnsi="Times New Roman"/>
          <w:sz w:val="20"/>
          <w:szCs w:val="20"/>
        </w:rPr>
        <w:t>Behavioral</w:t>
      </w:r>
      <w:proofErr w:type="spellEnd"/>
      <w:r w:rsidRPr="009B2F58">
        <w:rPr>
          <w:rFonts w:ascii="Times New Roman" w:hAnsi="Times New Roman"/>
          <w:sz w:val="20"/>
          <w:szCs w:val="20"/>
        </w:rPr>
        <w:t xml:space="preserve"> </w:t>
      </w:r>
      <w:proofErr w:type="spellStart"/>
      <w:proofErr w:type="gramStart"/>
      <w:r w:rsidRPr="009B2F58">
        <w:rPr>
          <w:rFonts w:ascii="Times New Roman" w:hAnsi="Times New Roman"/>
          <w:sz w:val="20"/>
          <w:szCs w:val="20"/>
        </w:rPr>
        <w:t>Biases</w:t>
      </w:r>
      <w:proofErr w:type="spellEnd"/>
      <w:r w:rsidRPr="009B2F58">
        <w:rPr>
          <w:rFonts w:ascii="Times New Roman" w:hAnsi="Times New Roman"/>
          <w:sz w:val="20"/>
          <w:szCs w:val="20"/>
        </w:rPr>
        <w:t>?</w:t>
      </w:r>
      <w:proofErr w:type="gramEnd"/>
      <w:r w:rsidRPr="009B2F58">
        <w:rPr>
          <w:rFonts w:ascii="Times New Roman" w:hAnsi="Times New Roman"/>
          <w:sz w:val="20"/>
          <w:szCs w:val="20"/>
        </w:rPr>
        <w:t xml:space="preserve"> The Case of </w:t>
      </w:r>
      <w:proofErr w:type="spellStart"/>
      <w:r w:rsidRPr="009B2F58">
        <w:rPr>
          <w:rFonts w:ascii="Times New Roman" w:hAnsi="Times New Roman"/>
          <w:sz w:val="20"/>
          <w:szCs w:val="20"/>
        </w:rPr>
        <w:t>Anchoring</w:t>
      </w:r>
      <w:proofErr w:type="spellEnd"/>
      <w:r w:rsidRPr="009B2F58">
        <w:rPr>
          <w:rFonts w:ascii="Times New Roman" w:hAnsi="Times New Roman"/>
          <w:sz w:val="20"/>
          <w:szCs w:val="20"/>
        </w:rPr>
        <w:t xml:space="preserve"> </w:t>
      </w:r>
      <w:proofErr w:type="spellStart"/>
      <w:r w:rsidRPr="009B2F58">
        <w:rPr>
          <w:rFonts w:ascii="Times New Roman" w:hAnsi="Times New Roman"/>
          <w:sz w:val="20"/>
          <w:szCs w:val="20"/>
        </w:rPr>
        <w:t>Effects</w:t>
      </w:r>
      <w:proofErr w:type="spellEnd"/>
      <w:r w:rsidRPr="009B2F58">
        <w:rPr>
          <w:rFonts w:ascii="Times New Roman" w:hAnsi="Times New Roman"/>
          <w:sz w:val="20"/>
          <w:szCs w:val="20"/>
        </w:rPr>
        <w:t xml:space="preserve"> in Stock Return </w:t>
      </w:r>
      <w:proofErr w:type="spellStart"/>
      <w:r w:rsidRPr="009B2F58">
        <w:rPr>
          <w:rFonts w:ascii="Times New Roman" w:hAnsi="Times New Roman"/>
          <w:sz w:val="20"/>
          <w:szCs w:val="20"/>
        </w:rPr>
        <w:t>Estimates</w:t>
      </w:r>
      <w:proofErr w:type="spellEnd"/>
      <w:r w:rsidRPr="009B2F58">
        <w:rPr>
          <w:rFonts w:ascii="Times New Roman" w:hAnsi="Times New Roman"/>
          <w:sz w:val="20"/>
          <w:szCs w:val="20"/>
        </w:rPr>
        <w:t xml:space="preserve"> », </w:t>
      </w:r>
      <w:r w:rsidRPr="009B2F58">
        <w:rPr>
          <w:rFonts w:ascii="Times New Roman" w:hAnsi="Times New Roman"/>
          <w:i/>
          <w:sz w:val="20"/>
          <w:szCs w:val="20"/>
        </w:rPr>
        <w:t>Financial Management</w:t>
      </w:r>
      <w:r w:rsidRPr="009B2F58">
        <w:rPr>
          <w:rFonts w:ascii="Times New Roman" w:hAnsi="Times New Roman"/>
          <w:sz w:val="20"/>
          <w:szCs w:val="20"/>
        </w:rPr>
        <w:t>, Vol.37, n°3, pp.391-412</w:t>
      </w:r>
    </w:p>
    <w:p w14:paraId="0A568EB3" w14:textId="0F36E32F" w:rsidR="00845B6C" w:rsidRPr="009B2F58" w:rsidRDefault="009B2F58">
      <w:pPr>
        <w:spacing w:line="240" w:lineRule="auto"/>
        <w:jc w:val="both"/>
        <w:rPr>
          <w:rFonts w:ascii="Times New Roman" w:hAnsi="Times New Roman"/>
          <w:sz w:val="20"/>
          <w:szCs w:val="20"/>
        </w:rPr>
      </w:pPr>
      <w:proofErr w:type="spellStart"/>
      <w:r w:rsidRPr="009B2F58">
        <w:rPr>
          <w:rFonts w:ascii="Times New Roman" w:hAnsi="Times New Roman"/>
          <w:sz w:val="20"/>
          <w:szCs w:val="20"/>
          <w:lang w:val="en-US"/>
        </w:rPr>
        <w:t>Kubińska</w:t>
      </w:r>
      <w:proofErr w:type="spellEnd"/>
      <w:r w:rsidRPr="009B2F58">
        <w:rPr>
          <w:rFonts w:ascii="Times New Roman" w:hAnsi="Times New Roman"/>
          <w:sz w:val="20"/>
          <w:szCs w:val="20"/>
          <w:lang w:val="en-US"/>
        </w:rPr>
        <w:t xml:space="preserve"> E., </w:t>
      </w:r>
      <w:proofErr w:type="spellStart"/>
      <w:r w:rsidRPr="009B2F58">
        <w:rPr>
          <w:rFonts w:ascii="Times New Roman" w:hAnsi="Times New Roman"/>
          <w:sz w:val="20"/>
          <w:szCs w:val="20"/>
          <w:lang w:val="en-US"/>
        </w:rPr>
        <w:t>Czupryna</w:t>
      </w:r>
      <w:proofErr w:type="spellEnd"/>
      <w:r w:rsidRPr="009B2F58">
        <w:rPr>
          <w:rFonts w:ascii="Times New Roman" w:hAnsi="Times New Roman"/>
          <w:sz w:val="20"/>
          <w:szCs w:val="20"/>
          <w:lang w:val="en-US"/>
        </w:rPr>
        <w:t xml:space="preserve"> M., Markiewicz L., </w:t>
      </w:r>
      <w:proofErr w:type="spellStart"/>
      <w:r w:rsidRPr="009B2F58">
        <w:rPr>
          <w:rFonts w:ascii="Times New Roman" w:hAnsi="Times New Roman"/>
          <w:sz w:val="20"/>
          <w:szCs w:val="20"/>
          <w:lang w:val="en-US"/>
        </w:rPr>
        <w:t>Czekaj</w:t>
      </w:r>
      <w:proofErr w:type="spellEnd"/>
      <w:r w:rsidRPr="009B2F58">
        <w:rPr>
          <w:rFonts w:ascii="Times New Roman" w:hAnsi="Times New Roman"/>
          <w:sz w:val="20"/>
          <w:szCs w:val="20"/>
          <w:lang w:val="en-US"/>
        </w:rPr>
        <w:t xml:space="preserve"> J., (2016), « Technical Analysis as a Rational Tool of Decision Making for Professional Traders », </w:t>
      </w:r>
      <w:r w:rsidRPr="009B2F58">
        <w:rPr>
          <w:rFonts w:ascii="Times New Roman" w:hAnsi="Times New Roman"/>
          <w:i/>
          <w:sz w:val="20"/>
          <w:szCs w:val="20"/>
          <w:lang w:val="en-US"/>
        </w:rPr>
        <w:t>Emerging Markets Finance and Trade</w:t>
      </w:r>
      <w:r w:rsidRPr="009B2F58">
        <w:rPr>
          <w:rFonts w:ascii="Times New Roman" w:hAnsi="Times New Roman"/>
          <w:sz w:val="20"/>
          <w:szCs w:val="20"/>
          <w:lang w:val="en-US"/>
        </w:rPr>
        <w:t>, Vol.52, n°12, pp.2756-2771</w:t>
      </w:r>
    </w:p>
    <w:p w14:paraId="35AD2C50" w14:textId="77777777" w:rsidR="00845B6C" w:rsidRPr="009B2F58" w:rsidRDefault="009B2F58">
      <w:pPr>
        <w:tabs>
          <w:tab w:val="left" w:pos="7655"/>
        </w:tabs>
        <w:spacing w:line="240" w:lineRule="auto"/>
        <w:jc w:val="both"/>
        <w:rPr>
          <w:rFonts w:ascii="Times New Roman" w:hAnsi="Times New Roman"/>
          <w:sz w:val="20"/>
          <w:szCs w:val="20"/>
        </w:rPr>
      </w:pPr>
      <w:r w:rsidRPr="009B2F58">
        <w:rPr>
          <w:rFonts w:ascii="Times New Roman" w:hAnsi="Times New Roman"/>
          <w:sz w:val="20"/>
          <w:szCs w:val="20"/>
        </w:rPr>
        <w:t>Kabbaj T. (2011), « Psychologie des traders », Eyrolles, Editions d’organisation, 291 pages</w:t>
      </w:r>
    </w:p>
    <w:p w14:paraId="4F89D73F" w14:textId="77777777"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Kabbaj T. (2015), « L’art du trading », Eyrolles, Editions d’organisation, 550 pages</w:t>
      </w:r>
    </w:p>
    <w:p w14:paraId="76137216" w14:textId="77777777" w:rsidR="00845B6C" w:rsidRPr="009B2F58" w:rsidRDefault="009B2F58">
      <w:pPr>
        <w:spacing w:line="240" w:lineRule="auto"/>
        <w:jc w:val="both"/>
        <w:rPr>
          <w:rFonts w:ascii="Times New Roman" w:hAnsi="Times New Roman"/>
          <w:sz w:val="20"/>
          <w:szCs w:val="20"/>
        </w:rPr>
      </w:pPr>
      <w:proofErr w:type="spellStart"/>
      <w:r w:rsidRPr="009B2F58">
        <w:rPr>
          <w:rFonts w:ascii="Times New Roman" w:hAnsi="Times New Roman"/>
          <w:sz w:val="20"/>
          <w:szCs w:val="20"/>
        </w:rPr>
        <w:t>Louhichi</w:t>
      </w:r>
      <w:proofErr w:type="spellEnd"/>
      <w:r w:rsidRPr="009B2F58">
        <w:rPr>
          <w:rFonts w:ascii="Times New Roman" w:hAnsi="Times New Roman"/>
          <w:sz w:val="20"/>
          <w:szCs w:val="20"/>
        </w:rPr>
        <w:t xml:space="preserve"> W. (2012), « L'asymétrie informationnelle autour des annonces de bénéfices : le cas du marché français », </w:t>
      </w:r>
      <w:r w:rsidRPr="009B2F58">
        <w:rPr>
          <w:rFonts w:ascii="Times New Roman" w:hAnsi="Times New Roman"/>
          <w:i/>
          <w:sz w:val="20"/>
          <w:szCs w:val="20"/>
        </w:rPr>
        <w:t>La Revue des Sciences de Gestion</w:t>
      </w:r>
      <w:r w:rsidRPr="009B2F58">
        <w:rPr>
          <w:rFonts w:ascii="Times New Roman" w:hAnsi="Times New Roman"/>
          <w:sz w:val="20"/>
          <w:szCs w:val="20"/>
        </w:rPr>
        <w:t>, Vol.2, n° 254, pp.49- 57</w:t>
      </w:r>
    </w:p>
    <w:p w14:paraId="630CACE7" w14:textId="77777777"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 xml:space="preserve">Martinez F. (2010), « L'individu face au risque : l'apport de Kahneman et Tversky », </w:t>
      </w:r>
      <w:r w:rsidRPr="009B2F58">
        <w:rPr>
          <w:rFonts w:ascii="Times New Roman" w:hAnsi="Times New Roman"/>
          <w:i/>
          <w:sz w:val="20"/>
          <w:szCs w:val="20"/>
        </w:rPr>
        <w:t>Idées économiques et sociales</w:t>
      </w:r>
      <w:r w:rsidRPr="009B2F58">
        <w:rPr>
          <w:rFonts w:ascii="Times New Roman" w:hAnsi="Times New Roman"/>
          <w:sz w:val="20"/>
          <w:szCs w:val="20"/>
        </w:rPr>
        <w:t>, n°161, pp.15-23</w:t>
      </w:r>
    </w:p>
    <w:p w14:paraId="7851FDF2" w14:textId="77777777" w:rsidR="00845B6C" w:rsidRPr="009B2F58" w:rsidRDefault="009B2F58">
      <w:pPr>
        <w:spacing w:line="240" w:lineRule="auto"/>
        <w:jc w:val="both"/>
        <w:rPr>
          <w:rFonts w:ascii="Times New Roman" w:hAnsi="Times New Roman"/>
          <w:sz w:val="20"/>
          <w:szCs w:val="20"/>
        </w:rPr>
      </w:pPr>
      <w:r w:rsidRPr="009B2F58">
        <w:rPr>
          <w:rFonts w:ascii="Times New Roman" w:hAnsi="Times New Roman"/>
          <w:bCs/>
          <w:sz w:val="20"/>
          <w:szCs w:val="20"/>
        </w:rPr>
        <w:t xml:space="preserve">Neri F. (2010), « Les crises financières, désormais récurrentes et systémiques ? », </w:t>
      </w:r>
      <w:r w:rsidRPr="009B2F58">
        <w:rPr>
          <w:rFonts w:ascii="Times New Roman" w:hAnsi="Times New Roman"/>
          <w:bCs/>
          <w:i/>
          <w:sz w:val="20"/>
          <w:szCs w:val="20"/>
        </w:rPr>
        <w:t>Finance &amp; Bien Commun</w:t>
      </w:r>
      <w:r w:rsidRPr="009B2F58">
        <w:rPr>
          <w:rFonts w:ascii="Times New Roman" w:hAnsi="Times New Roman"/>
          <w:bCs/>
          <w:sz w:val="20"/>
          <w:szCs w:val="20"/>
        </w:rPr>
        <w:t>, Vol.1, n°36, pp.66-77</w:t>
      </w:r>
    </w:p>
    <w:p w14:paraId="7C88198F" w14:textId="77777777" w:rsidR="00845B6C" w:rsidRPr="009B2F58" w:rsidRDefault="009B2F58">
      <w:pPr>
        <w:spacing w:line="240" w:lineRule="auto"/>
        <w:jc w:val="both"/>
        <w:rPr>
          <w:rFonts w:ascii="Times New Roman" w:hAnsi="Times New Roman"/>
          <w:sz w:val="20"/>
          <w:szCs w:val="20"/>
        </w:rPr>
      </w:pPr>
      <w:proofErr w:type="spellStart"/>
      <w:r w:rsidRPr="009B2F58">
        <w:rPr>
          <w:rFonts w:ascii="Times New Roman" w:hAnsi="Times New Roman"/>
          <w:sz w:val="20"/>
          <w:szCs w:val="20"/>
        </w:rPr>
        <w:t>Orléan</w:t>
      </w:r>
      <w:proofErr w:type="spellEnd"/>
      <w:r w:rsidRPr="009B2F58">
        <w:rPr>
          <w:rFonts w:ascii="Times New Roman" w:hAnsi="Times New Roman"/>
          <w:sz w:val="20"/>
          <w:szCs w:val="20"/>
        </w:rPr>
        <w:t xml:space="preserve"> A. (2004), « Les marchés financiers sont-ils rationnels ? », </w:t>
      </w:r>
      <w:r w:rsidRPr="009B2F58">
        <w:rPr>
          <w:rFonts w:ascii="Times New Roman" w:hAnsi="Times New Roman"/>
          <w:i/>
          <w:sz w:val="20"/>
          <w:szCs w:val="20"/>
        </w:rPr>
        <w:t>Reflets et Perspectives de la Vie Economique</w:t>
      </w:r>
      <w:r w:rsidRPr="009B2F58">
        <w:rPr>
          <w:rFonts w:ascii="Times New Roman" w:hAnsi="Times New Roman"/>
          <w:sz w:val="20"/>
          <w:szCs w:val="20"/>
        </w:rPr>
        <w:t>, Vol.43, n°2, pp.35-41</w:t>
      </w:r>
    </w:p>
    <w:p w14:paraId="77ACE9C7" w14:textId="77777777" w:rsidR="00845B6C" w:rsidRPr="009B2F58" w:rsidRDefault="009B2F58">
      <w:pPr>
        <w:spacing w:line="240" w:lineRule="auto"/>
        <w:jc w:val="both"/>
        <w:rPr>
          <w:rFonts w:ascii="Times New Roman" w:hAnsi="Times New Roman"/>
          <w:sz w:val="20"/>
          <w:szCs w:val="20"/>
        </w:rPr>
      </w:pPr>
      <w:proofErr w:type="spellStart"/>
      <w:r w:rsidRPr="009B2F58">
        <w:rPr>
          <w:rFonts w:ascii="Times New Roman" w:hAnsi="Times New Roman"/>
          <w:sz w:val="20"/>
          <w:szCs w:val="20"/>
        </w:rPr>
        <w:t>Sharot</w:t>
      </w:r>
      <w:proofErr w:type="spellEnd"/>
      <w:r w:rsidRPr="009B2F58">
        <w:rPr>
          <w:rFonts w:ascii="Times New Roman" w:hAnsi="Times New Roman"/>
          <w:sz w:val="20"/>
          <w:szCs w:val="20"/>
        </w:rPr>
        <w:t xml:space="preserve"> T. (2011), « The </w:t>
      </w:r>
      <w:proofErr w:type="spellStart"/>
      <w:r w:rsidRPr="009B2F58">
        <w:rPr>
          <w:rFonts w:ascii="Times New Roman" w:hAnsi="Times New Roman"/>
          <w:sz w:val="20"/>
          <w:szCs w:val="20"/>
        </w:rPr>
        <w:t>optimism</w:t>
      </w:r>
      <w:proofErr w:type="spellEnd"/>
      <w:r w:rsidRPr="009B2F58">
        <w:rPr>
          <w:rFonts w:ascii="Times New Roman" w:hAnsi="Times New Roman"/>
          <w:sz w:val="20"/>
          <w:szCs w:val="20"/>
        </w:rPr>
        <w:t xml:space="preserve"> </w:t>
      </w:r>
      <w:proofErr w:type="spellStart"/>
      <w:r w:rsidRPr="009B2F58">
        <w:rPr>
          <w:rFonts w:ascii="Times New Roman" w:hAnsi="Times New Roman"/>
          <w:sz w:val="20"/>
          <w:szCs w:val="20"/>
        </w:rPr>
        <w:t>bias</w:t>
      </w:r>
      <w:proofErr w:type="spellEnd"/>
      <w:r w:rsidRPr="009B2F58">
        <w:rPr>
          <w:rFonts w:ascii="Times New Roman" w:hAnsi="Times New Roman"/>
          <w:sz w:val="20"/>
          <w:szCs w:val="20"/>
        </w:rPr>
        <w:t xml:space="preserve"> », </w:t>
      </w:r>
      <w:proofErr w:type="spellStart"/>
      <w:r w:rsidRPr="009B2F58">
        <w:rPr>
          <w:rFonts w:ascii="Times New Roman" w:hAnsi="Times New Roman"/>
          <w:i/>
          <w:sz w:val="20"/>
          <w:szCs w:val="20"/>
        </w:rPr>
        <w:t>Current</w:t>
      </w:r>
      <w:proofErr w:type="spellEnd"/>
      <w:r w:rsidRPr="009B2F58">
        <w:rPr>
          <w:rFonts w:ascii="Times New Roman" w:hAnsi="Times New Roman"/>
          <w:i/>
          <w:sz w:val="20"/>
          <w:szCs w:val="20"/>
        </w:rPr>
        <w:t xml:space="preserve"> </w:t>
      </w:r>
      <w:proofErr w:type="spellStart"/>
      <w:r w:rsidRPr="009B2F58">
        <w:rPr>
          <w:rFonts w:ascii="Times New Roman" w:hAnsi="Times New Roman"/>
          <w:i/>
          <w:sz w:val="20"/>
          <w:szCs w:val="20"/>
        </w:rPr>
        <w:t>Biology</w:t>
      </w:r>
      <w:proofErr w:type="spellEnd"/>
      <w:r w:rsidRPr="009B2F58">
        <w:rPr>
          <w:rFonts w:ascii="Times New Roman" w:hAnsi="Times New Roman"/>
          <w:sz w:val="20"/>
          <w:szCs w:val="20"/>
        </w:rPr>
        <w:t>, Vol.21, n°3, pp.941-945</w:t>
      </w:r>
    </w:p>
    <w:p w14:paraId="314549E1" w14:textId="2C7C543A" w:rsidR="00845B6C" w:rsidRPr="009B2F58" w:rsidRDefault="009B2F58">
      <w:pPr>
        <w:spacing w:line="240" w:lineRule="auto"/>
        <w:jc w:val="both"/>
        <w:rPr>
          <w:rFonts w:ascii="Times New Roman" w:hAnsi="Times New Roman"/>
          <w:sz w:val="20"/>
          <w:szCs w:val="20"/>
        </w:rPr>
      </w:pPr>
      <w:proofErr w:type="spellStart"/>
      <w:r w:rsidRPr="009B2F58">
        <w:rPr>
          <w:rFonts w:ascii="Times New Roman" w:hAnsi="Times New Roman"/>
          <w:sz w:val="20"/>
          <w:szCs w:val="20"/>
        </w:rPr>
        <w:lastRenderedPageBreak/>
        <w:t>Skala</w:t>
      </w:r>
      <w:proofErr w:type="spellEnd"/>
      <w:r w:rsidRPr="009B2F58">
        <w:rPr>
          <w:rFonts w:ascii="Times New Roman" w:hAnsi="Times New Roman"/>
          <w:sz w:val="20"/>
          <w:szCs w:val="20"/>
        </w:rPr>
        <w:t xml:space="preserve"> D., (2008), « </w:t>
      </w:r>
      <w:proofErr w:type="spellStart"/>
      <w:r w:rsidRPr="009B2F58">
        <w:rPr>
          <w:rFonts w:ascii="Times New Roman" w:hAnsi="Times New Roman"/>
          <w:sz w:val="20"/>
          <w:szCs w:val="20"/>
        </w:rPr>
        <w:t>Overconfidence</w:t>
      </w:r>
      <w:proofErr w:type="spellEnd"/>
      <w:r w:rsidRPr="009B2F58">
        <w:rPr>
          <w:rFonts w:ascii="Times New Roman" w:hAnsi="Times New Roman"/>
          <w:sz w:val="20"/>
          <w:szCs w:val="20"/>
        </w:rPr>
        <w:t xml:space="preserve"> in Psychology and Finance – an </w:t>
      </w:r>
      <w:proofErr w:type="spellStart"/>
      <w:r w:rsidRPr="009B2F58">
        <w:rPr>
          <w:rFonts w:ascii="Times New Roman" w:hAnsi="Times New Roman"/>
          <w:sz w:val="20"/>
          <w:szCs w:val="20"/>
        </w:rPr>
        <w:t>Interdisciplinary</w:t>
      </w:r>
      <w:proofErr w:type="spellEnd"/>
      <w:r w:rsidRPr="009B2F58">
        <w:rPr>
          <w:rFonts w:ascii="Times New Roman" w:hAnsi="Times New Roman"/>
          <w:sz w:val="20"/>
          <w:szCs w:val="20"/>
        </w:rPr>
        <w:t xml:space="preserve"> </w:t>
      </w:r>
      <w:proofErr w:type="spellStart"/>
      <w:r w:rsidRPr="009B2F58">
        <w:rPr>
          <w:rFonts w:ascii="Times New Roman" w:hAnsi="Times New Roman"/>
          <w:sz w:val="20"/>
          <w:szCs w:val="20"/>
        </w:rPr>
        <w:t>Literature</w:t>
      </w:r>
      <w:proofErr w:type="spellEnd"/>
      <w:r w:rsidRPr="009B2F58">
        <w:rPr>
          <w:rFonts w:ascii="Times New Roman" w:hAnsi="Times New Roman"/>
          <w:sz w:val="20"/>
          <w:szCs w:val="20"/>
        </w:rPr>
        <w:t xml:space="preserve"> </w:t>
      </w:r>
      <w:proofErr w:type="spellStart"/>
      <w:r w:rsidRPr="009B2F58">
        <w:rPr>
          <w:rFonts w:ascii="Times New Roman" w:hAnsi="Times New Roman"/>
          <w:sz w:val="20"/>
          <w:szCs w:val="20"/>
        </w:rPr>
        <w:t>Review</w:t>
      </w:r>
      <w:proofErr w:type="spellEnd"/>
      <w:r w:rsidRPr="009B2F58">
        <w:rPr>
          <w:rFonts w:ascii="Times New Roman" w:hAnsi="Times New Roman"/>
          <w:sz w:val="20"/>
          <w:szCs w:val="20"/>
        </w:rPr>
        <w:t xml:space="preserve"> », Munich </w:t>
      </w:r>
      <w:proofErr w:type="spellStart"/>
      <w:r w:rsidRPr="009B2F58">
        <w:rPr>
          <w:rFonts w:ascii="Times New Roman" w:hAnsi="Times New Roman"/>
          <w:sz w:val="20"/>
          <w:szCs w:val="20"/>
        </w:rPr>
        <w:t>Personal</w:t>
      </w:r>
      <w:proofErr w:type="spellEnd"/>
      <w:r w:rsidRPr="009B2F58">
        <w:rPr>
          <w:rFonts w:ascii="Times New Roman" w:hAnsi="Times New Roman"/>
          <w:sz w:val="20"/>
          <w:szCs w:val="20"/>
        </w:rPr>
        <w:t xml:space="preserve"> </w:t>
      </w:r>
      <w:proofErr w:type="spellStart"/>
      <w:r w:rsidRPr="009B2F58">
        <w:rPr>
          <w:rFonts w:ascii="Times New Roman" w:hAnsi="Times New Roman"/>
          <w:sz w:val="20"/>
          <w:szCs w:val="20"/>
        </w:rPr>
        <w:t>RePec</w:t>
      </w:r>
      <w:proofErr w:type="spellEnd"/>
      <w:r w:rsidRPr="009B2F58">
        <w:rPr>
          <w:rFonts w:ascii="Times New Roman" w:hAnsi="Times New Roman"/>
          <w:sz w:val="20"/>
          <w:szCs w:val="20"/>
        </w:rPr>
        <w:t xml:space="preserve"> Archive, 19 pages</w:t>
      </w:r>
    </w:p>
    <w:p w14:paraId="3235398F" w14:textId="77777777"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Thaler R. (2000), « </w:t>
      </w:r>
      <w:proofErr w:type="spellStart"/>
      <w:r w:rsidRPr="009B2F58">
        <w:rPr>
          <w:rFonts w:ascii="Times New Roman" w:hAnsi="Times New Roman"/>
          <w:sz w:val="20"/>
          <w:szCs w:val="20"/>
        </w:rPr>
        <w:t>From</w:t>
      </w:r>
      <w:proofErr w:type="spellEnd"/>
      <w:r w:rsidRPr="009B2F58">
        <w:rPr>
          <w:rFonts w:ascii="Times New Roman" w:hAnsi="Times New Roman"/>
          <w:sz w:val="20"/>
          <w:szCs w:val="20"/>
        </w:rPr>
        <w:t xml:space="preserve"> Homo Economicus to Homo Sapiens », </w:t>
      </w:r>
      <w:r w:rsidRPr="009B2F58">
        <w:rPr>
          <w:rFonts w:ascii="Times New Roman" w:hAnsi="Times New Roman"/>
          <w:i/>
          <w:sz w:val="20"/>
          <w:szCs w:val="20"/>
        </w:rPr>
        <w:t xml:space="preserve">Journal of </w:t>
      </w:r>
      <w:proofErr w:type="spellStart"/>
      <w:r w:rsidRPr="009B2F58">
        <w:rPr>
          <w:rFonts w:ascii="Times New Roman" w:hAnsi="Times New Roman"/>
          <w:i/>
          <w:sz w:val="20"/>
          <w:szCs w:val="20"/>
        </w:rPr>
        <w:t>Economic</w:t>
      </w:r>
      <w:proofErr w:type="spellEnd"/>
      <w:r w:rsidRPr="009B2F58">
        <w:rPr>
          <w:rFonts w:ascii="Times New Roman" w:hAnsi="Times New Roman"/>
          <w:i/>
          <w:sz w:val="20"/>
          <w:szCs w:val="20"/>
        </w:rPr>
        <w:t xml:space="preserve"> Perspectives</w:t>
      </w:r>
      <w:r w:rsidRPr="009B2F58">
        <w:rPr>
          <w:rFonts w:ascii="Times New Roman" w:hAnsi="Times New Roman"/>
          <w:sz w:val="20"/>
          <w:szCs w:val="20"/>
        </w:rPr>
        <w:t>, Vol.14, n°1, pp.133-141</w:t>
      </w:r>
    </w:p>
    <w:p w14:paraId="3EEDF3CC" w14:textId="77777777" w:rsidR="00845B6C" w:rsidRPr="009B2F58" w:rsidRDefault="009B2F58">
      <w:pPr>
        <w:spacing w:line="240" w:lineRule="auto"/>
        <w:jc w:val="both"/>
        <w:rPr>
          <w:rFonts w:ascii="Times New Roman" w:hAnsi="Times New Roman"/>
          <w:sz w:val="20"/>
          <w:szCs w:val="20"/>
        </w:rPr>
      </w:pPr>
      <w:proofErr w:type="spellStart"/>
      <w:r w:rsidRPr="009B2F58">
        <w:rPr>
          <w:rFonts w:ascii="Times New Roman" w:hAnsi="Times New Roman"/>
          <w:sz w:val="20"/>
          <w:szCs w:val="20"/>
        </w:rPr>
        <w:t>Toríbio</w:t>
      </w:r>
      <w:proofErr w:type="spellEnd"/>
      <w:r w:rsidRPr="009B2F58">
        <w:rPr>
          <w:rFonts w:ascii="Times New Roman" w:hAnsi="Times New Roman"/>
          <w:sz w:val="20"/>
          <w:szCs w:val="20"/>
        </w:rPr>
        <w:t xml:space="preserve"> R., </w:t>
      </w:r>
      <w:proofErr w:type="spellStart"/>
      <w:r w:rsidRPr="009B2F58">
        <w:rPr>
          <w:rFonts w:ascii="Times New Roman" w:hAnsi="Times New Roman"/>
          <w:sz w:val="20"/>
          <w:szCs w:val="20"/>
        </w:rPr>
        <w:t>Nazárioa</w:t>
      </w:r>
      <w:proofErr w:type="spellEnd"/>
      <w:r w:rsidRPr="009B2F58">
        <w:rPr>
          <w:rFonts w:ascii="Times New Roman" w:hAnsi="Times New Roman"/>
          <w:sz w:val="20"/>
          <w:szCs w:val="20"/>
        </w:rPr>
        <w:t xml:space="preserve"> J., </w:t>
      </w:r>
      <w:proofErr w:type="spellStart"/>
      <w:r w:rsidRPr="009B2F58">
        <w:rPr>
          <w:rFonts w:ascii="Times New Roman" w:hAnsi="Times New Roman"/>
          <w:sz w:val="20"/>
          <w:szCs w:val="20"/>
        </w:rPr>
        <w:t>Limae</w:t>
      </w:r>
      <w:proofErr w:type="spellEnd"/>
      <w:r w:rsidRPr="009B2F58">
        <w:rPr>
          <w:rFonts w:ascii="Times New Roman" w:hAnsi="Times New Roman"/>
          <w:sz w:val="20"/>
          <w:szCs w:val="20"/>
        </w:rPr>
        <w:t xml:space="preserve"> S. </w:t>
      </w:r>
      <w:proofErr w:type="spellStart"/>
      <w:r w:rsidRPr="009B2F58">
        <w:rPr>
          <w:rFonts w:ascii="Times New Roman" w:hAnsi="Times New Roman"/>
          <w:sz w:val="20"/>
          <w:szCs w:val="20"/>
        </w:rPr>
        <w:t>Amorim</w:t>
      </w:r>
      <w:proofErr w:type="spellEnd"/>
      <w:r w:rsidRPr="009B2F58">
        <w:rPr>
          <w:rFonts w:ascii="Times New Roman" w:hAnsi="Times New Roman"/>
          <w:sz w:val="20"/>
          <w:szCs w:val="20"/>
        </w:rPr>
        <w:t xml:space="preserve"> S., </w:t>
      </w:r>
      <w:proofErr w:type="spellStart"/>
      <w:r w:rsidRPr="009B2F58">
        <w:rPr>
          <w:rFonts w:ascii="Times New Roman" w:hAnsi="Times New Roman"/>
          <w:sz w:val="20"/>
          <w:szCs w:val="20"/>
        </w:rPr>
        <w:t>Kimurair</w:t>
      </w:r>
      <w:proofErr w:type="spellEnd"/>
      <w:r w:rsidRPr="009B2F58">
        <w:rPr>
          <w:rFonts w:ascii="Times New Roman" w:hAnsi="Times New Roman"/>
          <w:sz w:val="20"/>
          <w:szCs w:val="20"/>
        </w:rPr>
        <w:t xml:space="preserve"> H., (2017), « A </w:t>
      </w:r>
      <w:proofErr w:type="spellStart"/>
      <w:r w:rsidRPr="009B2F58">
        <w:rPr>
          <w:rFonts w:ascii="Times New Roman" w:hAnsi="Times New Roman"/>
          <w:sz w:val="20"/>
          <w:szCs w:val="20"/>
        </w:rPr>
        <w:t>literature</w:t>
      </w:r>
      <w:proofErr w:type="spellEnd"/>
      <w:r w:rsidRPr="009B2F58">
        <w:rPr>
          <w:rFonts w:ascii="Times New Roman" w:hAnsi="Times New Roman"/>
          <w:sz w:val="20"/>
          <w:szCs w:val="20"/>
        </w:rPr>
        <w:t xml:space="preserve"> </w:t>
      </w:r>
      <w:proofErr w:type="spellStart"/>
      <w:r w:rsidRPr="009B2F58">
        <w:rPr>
          <w:rFonts w:ascii="Times New Roman" w:hAnsi="Times New Roman"/>
          <w:sz w:val="20"/>
          <w:szCs w:val="20"/>
        </w:rPr>
        <w:t>review</w:t>
      </w:r>
      <w:proofErr w:type="spellEnd"/>
      <w:r w:rsidRPr="009B2F58">
        <w:rPr>
          <w:rFonts w:ascii="Times New Roman" w:hAnsi="Times New Roman"/>
          <w:sz w:val="20"/>
          <w:szCs w:val="20"/>
        </w:rPr>
        <w:t xml:space="preserve"> of </w:t>
      </w:r>
      <w:proofErr w:type="spellStart"/>
      <w:r w:rsidRPr="009B2F58">
        <w:rPr>
          <w:rFonts w:ascii="Times New Roman" w:hAnsi="Times New Roman"/>
          <w:sz w:val="20"/>
          <w:szCs w:val="20"/>
        </w:rPr>
        <w:t>technical</w:t>
      </w:r>
      <w:proofErr w:type="spellEnd"/>
      <w:r w:rsidRPr="009B2F58">
        <w:rPr>
          <w:rFonts w:ascii="Times New Roman" w:hAnsi="Times New Roman"/>
          <w:sz w:val="20"/>
          <w:szCs w:val="20"/>
        </w:rPr>
        <w:t xml:space="preserve"> </w:t>
      </w:r>
      <w:proofErr w:type="spellStart"/>
      <w:r w:rsidRPr="009B2F58">
        <w:rPr>
          <w:rFonts w:ascii="Times New Roman" w:hAnsi="Times New Roman"/>
          <w:sz w:val="20"/>
          <w:szCs w:val="20"/>
        </w:rPr>
        <w:t>analysis</w:t>
      </w:r>
      <w:proofErr w:type="spellEnd"/>
      <w:r w:rsidRPr="009B2F58">
        <w:rPr>
          <w:rFonts w:ascii="Times New Roman" w:hAnsi="Times New Roman"/>
          <w:sz w:val="20"/>
          <w:szCs w:val="20"/>
        </w:rPr>
        <w:t xml:space="preserve"> on stock </w:t>
      </w:r>
      <w:proofErr w:type="spellStart"/>
      <w:r w:rsidRPr="009B2F58">
        <w:rPr>
          <w:rFonts w:ascii="Times New Roman" w:hAnsi="Times New Roman"/>
          <w:sz w:val="20"/>
          <w:szCs w:val="20"/>
        </w:rPr>
        <w:t>markets</w:t>
      </w:r>
      <w:proofErr w:type="spellEnd"/>
      <w:r w:rsidRPr="009B2F58">
        <w:rPr>
          <w:rFonts w:ascii="Times New Roman" w:hAnsi="Times New Roman"/>
          <w:sz w:val="20"/>
          <w:szCs w:val="20"/>
        </w:rPr>
        <w:t xml:space="preserve"> », </w:t>
      </w:r>
      <w:r w:rsidRPr="009B2F58">
        <w:rPr>
          <w:rFonts w:ascii="Times New Roman" w:hAnsi="Times New Roman"/>
          <w:i/>
          <w:sz w:val="20"/>
          <w:szCs w:val="20"/>
        </w:rPr>
        <w:t xml:space="preserve">The </w:t>
      </w:r>
      <w:proofErr w:type="spellStart"/>
      <w:r w:rsidRPr="009B2F58">
        <w:rPr>
          <w:rFonts w:ascii="Times New Roman" w:hAnsi="Times New Roman"/>
          <w:i/>
          <w:sz w:val="20"/>
          <w:szCs w:val="20"/>
        </w:rPr>
        <w:t>Quarterly</w:t>
      </w:r>
      <w:proofErr w:type="spellEnd"/>
      <w:r w:rsidRPr="009B2F58">
        <w:rPr>
          <w:rFonts w:ascii="Times New Roman" w:hAnsi="Times New Roman"/>
          <w:i/>
          <w:sz w:val="20"/>
          <w:szCs w:val="20"/>
        </w:rPr>
        <w:t xml:space="preserve"> </w:t>
      </w:r>
      <w:proofErr w:type="spellStart"/>
      <w:r w:rsidRPr="009B2F58">
        <w:rPr>
          <w:rFonts w:ascii="Times New Roman" w:hAnsi="Times New Roman"/>
          <w:i/>
          <w:sz w:val="20"/>
          <w:szCs w:val="20"/>
        </w:rPr>
        <w:t>Review</w:t>
      </w:r>
      <w:proofErr w:type="spellEnd"/>
      <w:r w:rsidRPr="009B2F58">
        <w:rPr>
          <w:rFonts w:ascii="Times New Roman" w:hAnsi="Times New Roman"/>
          <w:i/>
          <w:sz w:val="20"/>
          <w:szCs w:val="20"/>
        </w:rPr>
        <w:t xml:space="preserve"> of </w:t>
      </w:r>
      <w:proofErr w:type="spellStart"/>
      <w:r w:rsidRPr="009B2F58">
        <w:rPr>
          <w:rFonts w:ascii="Times New Roman" w:hAnsi="Times New Roman"/>
          <w:i/>
          <w:sz w:val="20"/>
          <w:szCs w:val="20"/>
        </w:rPr>
        <w:t>Economics</w:t>
      </w:r>
      <w:proofErr w:type="spellEnd"/>
      <w:r w:rsidRPr="009B2F58">
        <w:rPr>
          <w:rFonts w:ascii="Times New Roman" w:hAnsi="Times New Roman"/>
          <w:i/>
          <w:sz w:val="20"/>
          <w:szCs w:val="20"/>
        </w:rPr>
        <w:t xml:space="preserve"> and Finance</w:t>
      </w:r>
      <w:r w:rsidRPr="009B2F58">
        <w:rPr>
          <w:rFonts w:ascii="Times New Roman" w:hAnsi="Times New Roman"/>
          <w:sz w:val="20"/>
          <w:szCs w:val="20"/>
        </w:rPr>
        <w:t>, Vol.66, pp.115-126</w:t>
      </w:r>
    </w:p>
    <w:p w14:paraId="49AEB293" w14:textId="77777777"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 xml:space="preserve">Van </w:t>
      </w:r>
      <w:proofErr w:type="spellStart"/>
      <w:r w:rsidRPr="009B2F58">
        <w:rPr>
          <w:rFonts w:ascii="Times New Roman" w:hAnsi="Times New Roman"/>
          <w:sz w:val="20"/>
          <w:szCs w:val="20"/>
        </w:rPr>
        <w:t>Hoorebeke</w:t>
      </w:r>
      <w:proofErr w:type="spellEnd"/>
      <w:r w:rsidRPr="009B2F58">
        <w:rPr>
          <w:rFonts w:ascii="Times New Roman" w:hAnsi="Times New Roman"/>
          <w:sz w:val="20"/>
          <w:szCs w:val="20"/>
        </w:rPr>
        <w:t xml:space="preserve"> D. (2012), « L'émotion et la prise de décision », </w:t>
      </w:r>
      <w:r w:rsidRPr="009B2F58">
        <w:rPr>
          <w:rFonts w:ascii="Times New Roman" w:hAnsi="Times New Roman"/>
          <w:i/>
          <w:sz w:val="20"/>
          <w:szCs w:val="20"/>
        </w:rPr>
        <w:t>Revue Française de Gestion</w:t>
      </w:r>
      <w:r w:rsidRPr="009B2F58">
        <w:rPr>
          <w:rFonts w:ascii="Times New Roman" w:hAnsi="Times New Roman"/>
          <w:sz w:val="20"/>
          <w:szCs w:val="20"/>
        </w:rPr>
        <w:t>, Vol.2, n°182, pp.33-44</w:t>
      </w:r>
    </w:p>
    <w:p w14:paraId="4E058698" w14:textId="77777777" w:rsidR="00845B6C" w:rsidRPr="009B2F58" w:rsidRDefault="009B2F58">
      <w:pPr>
        <w:spacing w:line="240" w:lineRule="auto"/>
        <w:jc w:val="both"/>
        <w:rPr>
          <w:rFonts w:ascii="Times New Roman" w:hAnsi="Times New Roman"/>
          <w:sz w:val="20"/>
          <w:szCs w:val="20"/>
        </w:rPr>
      </w:pPr>
      <w:r w:rsidRPr="009B2F58">
        <w:rPr>
          <w:rFonts w:ascii="Times New Roman" w:hAnsi="Times New Roman"/>
          <w:sz w:val="20"/>
          <w:szCs w:val="20"/>
        </w:rPr>
        <w:t xml:space="preserve">Wagner P. (2011), « Les canons de la rationalité : essai de classification des points de vue dans le débat sur les biais cognitifs et la rationalité humaine », </w:t>
      </w:r>
      <w:r w:rsidRPr="009B2F58">
        <w:rPr>
          <w:rFonts w:ascii="Times New Roman" w:hAnsi="Times New Roman"/>
          <w:i/>
          <w:sz w:val="20"/>
          <w:szCs w:val="20"/>
        </w:rPr>
        <w:t>L’Année Psychologique</w:t>
      </w:r>
      <w:r w:rsidRPr="009B2F58">
        <w:rPr>
          <w:rFonts w:ascii="Times New Roman" w:hAnsi="Times New Roman"/>
          <w:sz w:val="20"/>
          <w:szCs w:val="20"/>
        </w:rPr>
        <w:t xml:space="preserve">, Vol.111, pp.191-224 </w:t>
      </w:r>
    </w:p>
    <w:p w14:paraId="45096337" w14:textId="77777777" w:rsidR="00845B6C" w:rsidRDefault="00845B6C">
      <w:pPr>
        <w:pageBreakBefore/>
        <w:rPr>
          <w:sz w:val="24"/>
          <w:szCs w:val="24"/>
        </w:rPr>
      </w:pPr>
    </w:p>
    <w:p w14:paraId="14300156" w14:textId="77777777" w:rsidR="00845B6C" w:rsidRDefault="009B2F58">
      <w:pPr>
        <w:pStyle w:val="Paragraphedeliste"/>
        <w:spacing w:line="240" w:lineRule="auto"/>
        <w:jc w:val="both"/>
        <w:rPr>
          <w:b/>
          <w:sz w:val="24"/>
          <w:szCs w:val="24"/>
          <w:u w:val="single"/>
        </w:rPr>
      </w:pPr>
      <w:r>
        <w:rPr>
          <w:b/>
          <w:sz w:val="24"/>
          <w:szCs w:val="24"/>
          <w:u w:val="single"/>
        </w:rPr>
        <w:t>Annexe 1 : éléments d’analyse utilisés pour la mise en évidence des différents biais considérés</w:t>
      </w:r>
    </w:p>
    <w:p w14:paraId="10AFF73E" w14:textId="77777777" w:rsidR="00845B6C" w:rsidRDefault="00845B6C">
      <w:pPr>
        <w:pStyle w:val="Paragraphedeliste"/>
        <w:spacing w:line="240" w:lineRule="auto"/>
        <w:jc w:val="both"/>
        <w:rPr>
          <w:b/>
          <w:sz w:val="24"/>
          <w:szCs w:val="24"/>
          <w:u w:val="single"/>
        </w:rPr>
      </w:pPr>
    </w:p>
    <w:p w14:paraId="49ACC570" w14:textId="77777777" w:rsidR="00845B6C" w:rsidRDefault="009B2F58">
      <w:pPr>
        <w:pStyle w:val="Paragraphedeliste"/>
        <w:spacing w:line="240" w:lineRule="auto"/>
        <w:jc w:val="both"/>
        <w:rPr>
          <w:b/>
          <w:sz w:val="24"/>
          <w:szCs w:val="24"/>
          <w:u w:val="single"/>
        </w:rPr>
      </w:pPr>
      <w:r>
        <w:rPr>
          <w:b/>
          <w:sz w:val="24"/>
          <w:szCs w:val="24"/>
          <w:u w:val="single"/>
        </w:rPr>
        <w:t xml:space="preserve">Tableau 1 : pourcentage d’opérations assimilables à du </w:t>
      </w:r>
      <w:proofErr w:type="spellStart"/>
      <w:r>
        <w:rPr>
          <w:b/>
          <w:sz w:val="24"/>
          <w:szCs w:val="24"/>
          <w:u w:val="single"/>
        </w:rPr>
        <w:t>scalping</w:t>
      </w:r>
      <w:proofErr w:type="spellEnd"/>
      <w:r>
        <w:rPr>
          <w:b/>
          <w:sz w:val="24"/>
          <w:szCs w:val="24"/>
          <w:u w:val="single"/>
        </w:rPr>
        <w:t xml:space="preserve"> trading</w:t>
      </w:r>
    </w:p>
    <w:tbl>
      <w:tblPr>
        <w:tblW w:w="9136" w:type="dxa"/>
        <w:tblLayout w:type="fixed"/>
        <w:tblCellMar>
          <w:left w:w="10" w:type="dxa"/>
          <w:right w:w="10" w:type="dxa"/>
        </w:tblCellMar>
        <w:tblLook w:val="04A0" w:firstRow="1" w:lastRow="0" w:firstColumn="1" w:lastColumn="0" w:noHBand="0" w:noVBand="1"/>
      </w:tblPr>
      <w:tblGrid>
        <w:gridCol w:w="2405"/>
        <w:gridCol w:w="992"/>
        <w:gridCol w:w="1276"/>
        <w:gridCol w:w="992"/>
        <w:gridCol w:w="993"/>
        <w:gridCol w:w="850"/>
        <w:gridCol w:w="1628"/>
      </w:tblGrid>
      <w:tr w:rsidR="00845B6C" w14:paraId="1D001FDE" w14:textId="77777777">
        <w:trPr>
          <w:trHeight w:val="300"/>
        </w:trPr>
        <w:tc>
          <w:tcPr>
            <w:tcW w:w="2405"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041F3135" w14:textId="77777777" w:rsidR="00845B6C" w:rsidRPr="009B2F58" w:rsidRDefault="009B2F58">
            <w:pPr>
              <w:spacing w:after="0" w:line="240" w:lineRule="auto"/>
              <w:rPr>
                <w:rFonts w:ascii="Times New Roman" w:hAnsi="Times New Roman"/>
                <w:b/>
                <w:bCs/>
                <w:sz w:val="20"/>
                <w:szCs w:val="20"/>
              </w:rPr>
            </w:pPr>
            <w:r w:rsidRPr="009B2F58">
              <w:rPr>
                <w:rFonts w:ascii="Times New Roman" w:hAnsi="Times New Roman"/>
                <w:b/>
                <w:bCs/>
                <w:sz w:val="20"/>
                <w:szCs w:val="20"/>
              </w:rPr>
              <w:t>% des transactions inférieures à 15 minutes</w:t>
            </w:r>
          </w:p>
        </w:tc>
        <w:tc>
          <w:tcPr>
            <w:tcW w:w="992"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3BAF77B9" w14:textId="77777777" w:rsidR="00845B6C" w:rsidRPr="009B2F58" w:rsidRDefault="009B2F58">
            <w:pPr>
              <w:spacing w:after="0" w:line="240" w:lineRule="auto"/>
              <w:jc w:val="both"/>
              <w:rPr>
                <w:rFonts w:ascii="Times New Roman" w:hAnsi="Times New Roman"/>
                <w:b/>
                <w:bCs/>
                <w:sz w:val="20"/>
                <w:szCs w:val="20"/>
              </w:rPr>
            </w:pPr>
            <w:r w:rsidRPr="009B2F58">
              <w:rPr>
                <w:rFonts w:ascii="Times New Roman" w:hAnsi="Times New Roman"/>
                <w:b/>
                <w:bCs/>
                <w:sz w:val="20"/>
                <w:szCs w:val="20"/>
              </w:rPr>
              <w:t xml:space="preserve"> J1</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5590DA42" w14:textId="77777777" w:rsidR="00845B6C" w:rsidRPr="009B2F58" w:rsidRDefault="009B2F58">
            <w:pPr>
              <w:spacing w:after="0" w:line="240" w:lineRule="auto"/>
              <w:jc w:val="both"/>
              <w:rPr>
                <w:rFonts w:ascii="Times New Roman" w:hAnsi="Times New Roman"/>
                <w:b/>
                <w:bCs/>
                <w:sz w:val="20"/>
                <w:szCs w:val="20"/>
              </w:rPr>
            </w:pPr>
            <w:r w:rsidRPr="009B2F58">
              <w:rPr>
                <w:rFonts w:ascii="Times New Roman" w:hAnsi="Times New Roman"/>
                <w:b/>
                <w:bCs/>
                <w:sz w:val="20"/>
                <w:szCs w:val="20"/>
              </w:rPr>
              <w:t>J2</w:t>
            </w:r>
          </w:p>
        </w:tc>
        <w:tc>
          <w:tcPr>
            <w:tcW w:w="992"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3111FEF4" w14:textId="77777777" w:rsidR="00845B6C" w:rsidRPr="009B2F58" w:rsidRDefault="009B2F58">
            <w:pPr>
              <w:spacing w:after="0" w:line="240" w:lineRule="auto"/>
              <w:jc w:val="both"/>
              <w:rPr>
                <w:rFonts w:ascii="Times New Roman" w:hAnsi="Times New Roman"/>
                <w:b/>
                <w:bCs/>
                <w:sz w:val="20"/>
                <w:szCs w:val="20"/>
              </w:rPr>
            </w:pPr>
            <w:r w:rsidRPr="009B2F58">
              <w:rPr>
                <w:rFonts w:ascii="Times New Roman" w:hAnsi="Times New Roman"/>
                <w:b/>
                <w:bCs/>
                <w:sz w:val="20"/>
                <w:szCs w:val="20"/>
              </w:rPr>
              <w:t>J3</w:t>
            </w:r>
          </w:p>
        </w:tc>
        <w:tc>
          <w:tcPr>
            <w:tcW w:w="99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1A6E9C7A" w14:textId="77777777" w:rsidR="00845B6C" w:rsidRPr="009B2F58" w:rsidRDefault="009B2F58">
            <w:pPr>
              <w:spacing w:after="0" w:line="240" w:lineRule="auto"/>
              <w:jc w:val="both"/>
              <w:rPr>
                <w:rFonts w:ascii="Times New Roman" w:hAnsi="Times New Roman"/>
                <w:b/>
                <w:bCs/>
                <w:sz w:val="20"/>
                <w:szCs w:val="20"/>
              </w:rPr>
            </w:pPr>
            <w:r w:rsidRPr="009B2F58">
              <w:rPr>
                <w:rFonts w:ascii="Times New Roman" w:hAnsi="Times New Roman"/>
                <w:b/>
                <w:bCs/>
                <w:sz w:val="20"/>
                <w:szCs w:val="20"/>
              </w:rPr>
              <w:t>J4</w:t>
            </w:r>
          </w:p>
        </w:tc>
        <w:tc>
          <w:tcPr>
            <w:tcW w:w="85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2075B2E3" w14:textId="77777777" w:rsidR="00845B6C" w:rsidRPr="009B2F58" w:rsidRDefault="009B2F58">
            <w:pPr>
              <w:spacing w:after="0" w:line="240" w:lineRule="auto"/>
              <w:jc w:val="both"/>
              <w:rPr>
                <w:rFonts w:ascii="Times New Roman" w:hAnsi="Times New Roman"/>
                <w:b/>
                <w:bCs/>
                <w:sz w:val="20"/>
                <w:szCs w:val="20"/>
              </w:rPr>
            </w:pPr>
            <w:r w:rsidRPr="009B2F58">
              <w:rPr>
                <w:rFonts w:ascii="Times New Roman" w:hAnsi="Times New Roman"/>
                <w:b/>
                <w:bCs/>
                <w:sz w:val="20"/>
                <w:szCs w:val="20"/>
              </w:rPr>
              <w:t>J5</w:t>
            </w:r>
          </w:p>
        </w:tc>
        <w:tc>
          <w:tcPr>
            <w:tcW w:w="162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5E5C7BA4" w14:textId="77777777" w:rsidR="00845B6C" w:rsidRPr="009B2F58" w:rsidRDefault="009B2F58">
            <w:pPr>
              <w:spacing w:after="0" w:line="240" w:lineRule="auto"/>
              <w:jc w:val="both"/>
              <w:rPr>
                <w:rFonts w:ascii="Times New Roman" w:hAnsi="Times New Roman"/>
                <w:b/>
                <w:bCs/>
                <w:sz w:val="20"/>
                <w:szCs w:val="20"/>
              </w:rPr>
            </w:pPr>
            <w:r w:rsidRPr="009B2F58">
              <w:rPr>
                <w:rFonts w:ascii="Times New Roman" w:hAnsi="Times New Roman"/>
                <w:b/>
                <w:bCs/>
                <w:sz w:val="20"/>
                <w:szCs w:val="20"/>
              </w:rPr>
              <w:t>% dans le total des transactions</w:t>
            </w:r>
          </w:p>
        </w:tc>
      </w:tr>
      <w:tr w:rsidR="00845B6C" w14:paraId="79FB366A" w14:textId="77777777">
        <w:trPr>
          <w:trHeight w:val="300"/>
        </w:trPr>
        <w:tc>
          <w:tcPr>
            <w:tcW w:w="2405"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28D34098" w14:textId="77777777" w:rsidR="00845B6C" w:rsidRPr="009B2F58" w:rsidRDefault="009B2F58">
            <w:pPr>
              <w:spacing w:after="0" w:line="240" w:lineRule="auto"/>
              <w:rPr>
                <w:rFonts w:ascii="Times New Roman" w:hAnsi="Times New Roman"/>
                <w:sz w:val="20"/>
                <w:szCs w:val="20"/>
              </w:rPr>
            </w:pPr>
            <w:r w:rsidRPr="009B2F58">
              <w:rPr>
                <w:rFonts w:ascii="Times New Roman" w:hAnsi="Times New Roman"/>
                <w:bCs/>
                <w:sz w:val="20"/>
                <w:szCs w:val="20"/>
              </w:rPr>
              <w:t>C1 (couple masculin)</w:t>
            </w:r>
          </w:p>
        </w:tc>
        <w:tc>
          <w:tcPr>
            <w:tcW w:w="992"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4B61E2DB"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0,000</w:t>
            </w:r>
          </w:p>
        </w:tc>
        <w:tc>
          <w:tcPr>
            <w:tcW w:w="1276"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0548CB05"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0,207</w:t>
            </w:r>
          </w:p>
        </w:tc>
        <w:tc>
          <w:tcPr>
            <w:tcW w:w="992"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54A14207"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0,107</w:t>
            </w:r>
          </w:p>
        </w:tc>
        <w:tc>
          <w:tcPr>
            <w:tcW w:w="993"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496EDDC2"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0,261</w:t>
            </w:r>
          </w:p>
        </w:tc>
        <w:tc>
          <w:tcPr>
            <w:tcW w:w="850"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3D3E45CD"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0,171</w:t>
            </w:r>
          </w:p>
        </w:tc>
        <w:tc>
          <w:tcPr>
            <w:tcW w:w="1628"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190899A6"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0,157</w:t>
            </w:r>
          </w:p>
        </w:tc>
      </w:tr>
      <w:tr w:rsidR="00845B6C" w14:paraId="46FB8969" w14:textId="77777777">
        <w:trPr>
          <w:trHeight w:val="300"/>
        </w:trPr>
        <w:tc>
          <w:tcPr>
            <w:tcW w:w="2405"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35637ACB" w14:textId="77777777" w:rsidR="00845B6C" w:rsidRPr="009B2F58" w:rsidRDefault="009B2F58">
            <w:pPr>
              <w:spacing w:after="0" w:line="240" w:lineRule="auto"/>
              <w:rPr>
                <w:rFonts w:ascii="Times New Roman" w:hAnsi="Times New Roman"/>
                <w:sz w:val="20"/>
                <w:szCs w:val="20"/>
              </w:rPr>
            </w:pPr>
            <w:r w:rsidRPr="009B2F58">
              <w:rPr>
                <w:rFonts w:ascii="Times New Roman" w:hAnsi="Times New Roman"/>
                <w:bCs/>
                <w:sz w:val="20"/>
                <w:szCs w:val="20"/>
              </w:rPr>
              <w:t>C2 (couple masculin)</w:t>
            </w:r>
          </w:p>
        </w:tc>
        <w:tc>
          <w:tcPr>
            <w:tcW w:w="992"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446A8201"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0,000</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450A4C69"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0,304</w:t>
            </w:r>
          </w:p>
        </w:tc>
        <w:tc>
          <w:tcPr>
            <w:tcW w:w="992"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37222F23"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0,296</w:t>
            </w:r>
          </w:p>
        </w:tc>
        <w:tc>
          <w:tcPr>
            <w:tcW w:w="99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35772722"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0,466</w:t>
            </w:r>
          </w:p>
        </w:tc>
        <w:tc>
          <w:tcPr>
            <w:tcW w:w="85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37251FE4" w14:textId="77777777" w:rsidR="00845B6C" w:rsidRPr="009B2F58" w:rsidRDefault="009B2F58">
            <w:pPr>
              <w:spacing w:after="0" w:line="240" w:lineRule="auto"/>
              <w:jc w:val="center"/>
              <w:rPr>
                <w:rFonts w:ascii="Times New Roman" w:hAnsi="Times New Roman"/>
                <w:b/>
                <w:bCs/>
                <w:sz w:val="20"/>
                <w:szCs w:val="20"/>
              </w:rPr>
            </w:pPr>
            <w:r w:rsidRPr="009B2F58">
              <w:rPr>
                <w:rFonts w:ascii="Times New Roman" w:hAnsi="Times New Roman"/>
                <w:b/>
                <w:bCs/>
                <w:sz w:val="20"/>
                <w:szCs w:val="20"/>
              </w:rPr>
              <w:t>0,53</w:t>
            </w:r>
          </w:p>
        </w:tc>
        <w:tc>
          <w:tcPr>
            <w:tcW w:w="162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26452DD2"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0,377</w:t>
            </w:r>
          </w:p>
        </w:tc>
      </w:tr>
      <w:tr w:rsidR="00845B6C" w14:paraId="14E24B4F" w14:textId="77777777">
        <w:trPr>
          <w:trHeight w:val="300"/>
        </w:trPr>
        <w:tc>
          <w:tcPr>
            <w:tcW w:w="2405"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3AD35CDB" w14:textId="77777777" w:rsidR="00845B6C" w:rsidRPr="009B2F58" w:rsidRDefault="009B2F58">
            <w:pPr>
              <w:spacing w:after="0" w:line="240" w:lineRule="auto"/>
              <w:rPr>
                <w:rFonts w:ascii="Times New Roman" w:hAnsi="Times New Roman"/>
                <w:sz w:val="20"/>
                <w:szCs w:val="20"/>
              </w:rPr>
            </w:pPr>
            <w:r w:rsidRPr="009B2F58">
              <w:rPr>
                <w:rFonts w:ascii="Times New Roman" w:hAnsi="Times New Roman"/>
                <w:bCs/>
                <w:sz w:val="20"/>
                <w:szCs w:val="20"/>
              </w:rPr>
              <w:t>C3 (couple masculin)</w:t>
            </w:r>
          </w:p>
        </w:tc>
        <w:tc>
          <w:tcPr>
            <w:tcW w:w="992"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599E23FC"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0,000</w:t>
            </w:r>
          </w:p>
        </w:tc>
        <w:tc>
          <w:tcPr>
            <w:tcW w:w="1276"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22D76000"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0,457</w:t>
            </w:r>
          </w:p>
        </w:tc>
        <w:tc>
          <w:tcPr>
            <w:tcW w:w="992"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3B8AB797"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0,324</w:t>
            </w:r>
          </w:p>
        </w:tc>
        <w:tc>
          <w:tcPr>
            <w:tcW w:w="993"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53B202A8" w14:textId="77777777" w:rsidR="00845B6C" w:rsidRPr="009B2F58" w:rsidRDefault="009B2F58">
            <w:pPr>
              <w:spacing w:after="0" w:line="240" w:lineRule="auto"/>
              <w:jc w:val="center"/>
              <w:rPr>
                <w:rFonts w:ascii="Times New Roman" w:hAnsi="Times New Roman"/>
                <w:b/>
                <w:bCs/>
                <w:sz w:val="20"/>
                <w:szCs w:val="20"/>
              </w:rPr>
            </w:pPr>
            <w:r w:rsidRPr="009B2F58">
              <w:rPr>
                <w:rFonts w:ascii="Times New Roman" w:hAnsi="Times New Roman"/>
                <w:b/>
                <w:bCs/>
                <w:sz w:val="20"/>
                <w:szCs w:val="20"/>
              </w:rPr>
              <w:t>0,629</w:t>
            </w:r>
          </w:p>
        </w:tc>
        <w:tc>
          <w:tcPr>
            <w:tcW w:w="850"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6F1CC8F6" w14:textId="77777777" w:rsidR="00845B6C" w:rsidRPr="009B2F58" w:rsidRDefault="009B2F58">
            <w:pPr>
              <w:spacing w:after="0" w:line="240" w:lineRule="auto"/>
              <w:jc w:val="center"/>
              <w:rPr>
                <w:rFonts w:ascii="Times New Roman" w:hAnsi="Times New Roman"/>
                <w:b/>
                <w:bCs/>
                <w:sz w:val="20"/>
                <w:szCs w:val="20"/>
              </w:rPr>
            </w:pPr>
            <w:r w:rsidRPr="009B2F58">
              <w:rPr>
                <w:rFonts w:ascii="Times New Roman" w:hAnsi="Times New Roman"/>
                <w:b/>
                <w:bCs/>
                <w:sz w:val="20"/>
                <w:szCs w:val="20"/>
              </w:rPr>
              <w:t>0,793</w:t>
            </w:r>
          </w:p>
        </w:tc>
        <w:tc>
          <w:tcPr>
            <w:tcW w:w="1628"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3E566EB8" w14:textId="77777777" w:rsidR="00845B6C" w:rsidRPr="009B2F58" w:rsidRDefault="009B2F58">
            <w:pPr>
              <w:spacing w:after="0" w:line="240" w:lineRule="auto"/>
              <w:jc w:val="center"/>
              <w:rPr>
                <w:rFonts w:ascii="Times New Roman" w:hAnsi="Times New Roman"/>
                <w:b/>
                <w:bCs/>
                <w:sz w:val="20"/>
                <w:szCs w:val="20"/>
              </w:rPr>
            </w:pPr>
            <w:r w:rsidRPr="009B2F58">
              <w:rPr>
                <w:rFonts w:ascii="Times New Roman" w:hAnsi="Times New Roman"/>
                <w:b/>
                <w:bCs/>
                <w:sz w:val="20"/>
                <w:szCs w:val="20"/>
              </w:rPr>
              <w:t>0,561</w:t>
            </w:r>
          </w:p>
        </w:tc>
      </w:tr>
      <w:tr w:rsidR="00845B6C" w14:paraId="624D6B8F" w14:textId="77777777">
        <w:trPr>
          <w:trHeight w:val="300"/>
        </w:trPr>
        <w:tc>
          <w:tcPr>
            <w:tcW w:w="2405"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486FCD98" w14:textId="77777777" w:rsidR="00845B6C" w:rsidRPr="009B2F58" w:rsidRDefault="009B2F58">
            <w:pPr>
              <w:spacing w:after="0" w:line="240" w:lineRule="auto"/>
              <w:rPr>
                <w:rFonts w:ascii="Times New Roman" w:hAnsi="Times New Roman"/>
                <w:sz w:val="20"/>
                <w:szCs w:val="20"/>
              </w:rPr>
            </w:pPr>
            <w:r w:rsidRPr="009B2F58">
              <w:rPr>
                <w:rFonts w:ascii="Times New Roman" w:hAnsi="Times New Roman"/>
                <w:bCs/>
                <w:sz w:val="20"/>
                <w:szCs w:val="20"/>
              </w:rPr>
              <w:t>C4 (couple masculin)</w:t>
            </w:r>
          </w:p>
        </w:tc>
        <w:tc>
          <w:tcPr>
            <w:tcW w:w="992"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042F2D65"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0,048</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20ED21C2"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0,000</w:t>
            </w:r>
          </w:p>
        </w:tc>
        <w:tc>
          <w:tcPr>
            <w:tcW w:w="992"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4434CD71"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0,000</w:t>
            </w:r>
          </w:p>
        </w:tc>
        <w:tc>
          <w:tcPr>
            <w:tcW w:w="99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38BA4A35"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0,000</w:t>
            </w:r>
          </w:p>
        </w:tc>
        <w:tc>
          <w:tcPr>
            <w:tcW w:w="85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5DBDAB25"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0,4</w:t>
            </w:r>
          </w:p>
        </w:tc>
        <w:tc>
          <w:tcPr>
            <w:tcW w:w="162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505B86C1"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0,114</w:t>
            </w:r>
          </w:p>
        </w:tc>
      </w:tr>
      <w:tr w:rsidR="00845B6C" w14:paraId="2A52DB4E" w14:textId="77777777">
        <w:trPr>
          <w:trHeight w:val="300"/>
        </w:trPr>
        <w:tc>
          <w:tcPr>
            <w:tcW w:w="2405"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4F2437CC" w14:textId="77777777" w:rsidR="00845B6C" w:rsidRPr="009B2F58" w:rsidRDefault="009B2F58">
            <w:pPr>
              <w:spacing w:after="0" w:line="240" w:lineRule="auto"/>
              <w:rPr>
                <w:rFonts w:ascii="Times New Roman" w:hAnsi="Times New Roman"/>
                <w:sz w:val="20"/>
                <w:szCs w:val="20"/>
              </w:rPr>
            </w:pPr>
            <w:r w:rsidRPr="009B2F58">
              <w:rPr>
                <w:rFonts w:ascii="Times New Roman" w:hAnsi="Times New Roman"/>
                <w:bCs/>
                <w:sz w:val="20"/>
                <w:szCs w:val="20"/>
              </w:rPr>
              <w:t>C5 (couple féminin)</w:t>
            </w:r>
          </w:p>
        </w:tc>
        <w:tc>
          <w:tcPr>
            <w:tcW w:w="992"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3B7D67B3"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0,000</w:t>
            </w:r>
          </w:p>
        </w:tc>
        <w:tc>
          <w:tcPr>
            <w:tcW w:w="1276"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550008A8"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0,000</w:t>
            </w:r>
          </w:p>
        </w:tc>
        <w:tc>
          <w:tcPr>
            <w:tcW w:w="992"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7D58EB92"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0,000</w:t>
            </w:r>
          </w:p>
        </w:tc>
        <w:tc>
          <w:tcPr>
            <w:tcW w:w="993"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5752385F"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0,286</w:t>
            </w:r>
          </w:p>
        </w:tc>
        <w:tc>
          <w:tcPr>
            <w:tcW w:w="850"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084989EE"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0,00</w:t>
            </w:r>
          </w:p>
        </w:tc>
        <w:tc>
          <w:tcPr>
            <w:tcW w:w="1628"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083D14C7"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0,087</w:t>
            </w:r>
          </w:p>
        </w:tc>
      </w:tr>
      <w:tr w:rsidR="00845B6C" w14:paraId="2BC0EE03" w14:textId="77777777">
        <w:trPr>
          <w:trHeight w:val="300"/>
        </w:trPr>
        <w:tc>
          <w:tcPr>
            <w:tcW w:w="2405"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47B3FDFA" w14:textId="77777777" w:rsidR="00845B6C" w:rsidRPr="009B2F58" w:rsidRDefault="009B2F58">
            <w:pPr>
              <w:spacing w:after="0" w:line="240" w:lineRule="auto"/>
              <w:rPr>
                <w:rFonts w:ascii="Times New Roman" w:hAnsi="Times New Roman"/>
                <w:sz w:val="20"/>
                <w:szCs w:val="20"/>
              </w:rPr>
            </w:pPr>
            <w:r w:rsidRPr="009B2F58">
              <w:rPr>
                <w:rFonts w:ascii="Times New Roman" w:hAnsi="Times New Roman"/>
                <w:bCs/>
                <w:sz w:val="20"/>
                <w:szCs w:val="20"/>
              </w:rPr>
              <w:t>C6 (couple mixte)</w:t>
            </w:r>
          </w:p>
        </w:tc>
        <w:tc>
          <w:tcPr>
            <w:tcW w:w="992"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5F2333F7"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0,105</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648D63E5"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0,187</w:t>
            </w:r>
          </w:p>
        </w:tc>
        <w:tc>
          <w:tcPr>
            <w:tcW w:w="992"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1F3E27E1" w14:textId="77777777" w:rsidR="00845B6C" w:rsidRPr="009B2F58" w:rsidRDefault="009B2F58">
            <w:pPr>
              <w:spacing w:after="0" w:line="240" w:lineRule="auto"/>
              <w:jc w:val="center"/>
              <w:rPr>
                <w:rFonts w:ascii="Times New Roman" w:hAnsi="Times New Roman"/>
                <w:b/>
                <w:bCs/>
                <w:sz w:val="20"/>
                <w:szCs w:val="20"/>
              </w:rPr>
            </w:pPr>
            <w:r w:rsidRPr="009B2F58">
              <w:rPr>
                <w:rFonts w:ascii="Times New Roman" w:hAnsi="Times New Roman"/>
                <w:b/>
                <w:bCs/>
                <w:sz w:val="20"/>
                <w:szCs w:val="20"/>
              </w:rPr>
              <w:t>0,636</w:t>
            </w:r>
          </w:p>
        </w:tc>
        <w:tc>
          <w:tcPr>
            <w:tcW w:w="99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2E8C947E" w14:textId="77777777" w:rsidR="00845B6C" w:rsidRPr="009B2F58" w:rsidRDefault="009B2F58">
            <w:pPr>
              <w:spacing w:after="0" w:line="240" w:lineRule="auto"/>
              <w:jc w:val="center"/>
              <w:rPr>
                <w:rFonts w:ascii="Times New Roman" w:hAnsi="Times New Roman"/>
                <w:b/>
                <w:bCs/>
                <w:sz w:val="20"/>
                <w:szCs w:val="20"/>
              </w:rPr>
            </w:pPr>
            <w:r w:rsidRPr="009B2F58">
              <w:rPr>
                <w:rFonts w:ascii="Times New Roman" w:hAnsi="Times New Roman"/>
                <w:b/>
                <w:bCs/>
                <w:sz w:val="20"/>
                <w:szCs w:val="20"/>
              </w:rPr>
              <w:t>0,519</w:t>
            </w:r>
          </w:p>
        </w:tc>
        <w:tc>
          <w:tcPr>
            <w:tcW w:w="85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622970A0"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0,312</w:t>
            </w:r>
          </w:p>
        </w:tc>
        <w:tc>
          <w:tcPr>
            <w:tcW w:w="162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6AD29592"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0,358</w:t>
            </w:r>
          </w:p>
        </w:tc>
      </w:tr>
      <w:tr w:rsidR="00845B6C" w14:paraId="2EF4CCED" w14:textId="77777777">
        <w:trPr>
          <w:trHeight w:val="300"/>
        </w:trPr>
        <w:tc>
          <w:tcPr>
            <w:tcW w:w="2405"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2377B931" w14:textId="77777777" w:rsidR="00845B6C" w:rsidRPr="009B2F58" w:rsidRDefault="009B2F58">
            <w:pPr>
              <w:spacing w:after="0" w:line="240" w:lineRule="auto"/>
              <w:rPr>
                <w:rFonts w:ascii="Times New Roman" w:hAnsi="Times New Roman"/>
                <w:sz w:val="20"/>
                <w:szCs w:val="20"/>
              </w:rPr>
            </w:pPr>
            <w:r w:rsidRPr="009B2F58">
              <w:rPr>
                <w:rFonts w:ascii="Times New Roman" w:hAnsi="Times New Roman"/>
                <w:bCs/>
                <w:sz w:val="20"/>
                <w:szCs w:val="20"/>
              </w:rPr>
              <w:t>C7 (couple mixte)</w:t>
            </w:r>
          </w:p>
        </w:tc>
        <w:tc>
          <w:tcPr>
            <w:tcW w:w="992"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430846F2"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0,000</w:t>
            </w:r>
          </w:p>
        </w:tc>
        <w:tc>
          <w:tcPr>
            <w:tcW w:w="1276"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2F9689F5"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0,000</w:t>
            </w:r>
          </w:p>
        </w:tc>
        <w:tc>
          <w:tcPr>
            <w:tcW w:w="992"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3D373FE4"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0,207</w:t>
            </w:r>
          </w:p>
        </w:tc>
        <w:tc>
          <w:tcPr>
            <w:tcW w:w="993"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0B9AD709"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0,154</w:t>
            </w:r>
          </w:p>
        </w:tc>
        <w:tc>
          <w:tcPr>
            <w:tcW w:w="850"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4E383981"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0,552</w:t>
            </w:r>
          </w:p>
        </w:tc>
        <w:tc>
          <w:tcPr>
            <w:tcW w:w="1628"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5E02DD68"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0,202</w:t>
            </w:r>
          </w:p>
        </w:tc>
      </w:tr>
      <w:tr w:rsidR="00845B6C" w14:paraId="2B99A9DA" w14:textId="77777777">
        <w:trPr>
          <w:trHeight w:val="300"/>
        </w:trPr>
        <w:tc>
          <w:tcPr>
            <w:tcW w:w="2405"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00667A64" w14:textId="77777777" w:rsidR="00845B6C" w:rsidRPr="009B2F58" w:rsidRDefault="009B2F58">
            <w:pPr>
              <w:spacing w:after="0" w:line="240" w:lineRule="auto"/>
              <w:rPr>
                <w:rFonts w:ascii="Times New Roman" w:hAnsi="Times New Roman"/>
                <w:sz w:val="20"/>
                <w:szCs w:val="20"/>
              </w:rPr>
            </w:pPr>
            <w:r w:rsidRPr="009B2F58">
              <w:rPr>
                <w:rFonts w:ascii="Times New Roman" w:hAnsi="Times New Roman"/>
                <w:bCs/>
                <w:sz w:val="20"/>
                <w:szCs w:val="20"/>
              </w:rPr>
              <w:t>C8 (personne isolée)</w:t>
            </w:r>
          </w:p>
        </w:tc>
        <w:tc>
          <w:tcPr>
            <w:tcW w:w="992"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7671FD15"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0,000</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0E06F5A9"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0,000</w:t>
            </w:r>
          </w:p>
        </w:tc>
        <w:tc>
          <w:tcPr>
            <w:tcW w:w="992"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3C0B0CF7"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0,062</w:t>
            </w:r>
          </w:p>
        </w:tc>
        <w:tc>
          <w:tcPr>
            <w:tcW w:w="99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0EFD3EE5"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0,000</w:t>
            </w:r>
          </w:p>
        </w:tc>
        <w:tc>
          <w:tcPr>
            <w:tcW w:w="85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24627E88"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0,000</w:t>
            </w:r>
          </w:p>
        </w:tc>
        <w:tc>
          <w:tcPr>
            <w:tcW w:w="162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719CE8BE"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0,017</w:t>
            </w:r>
          </w:p>
        </w:tc>
      </w:tr>
    </w:tbl>
    <w:p w14:paraId="4115C82B" w14:textId="77777777" w:rsidR="00845B6C" w:rsidRDefault="00845B6C">
      <w:pPr>
        <w:spacing w:line="240" w:lineRule="auto"/>
        <w:ind w:left="709"/>
        <w:jc w:val="both"/>
        <w:rPr>
          <w:sz w:val="24"/>
          <w:szCs w:val="24"/>
          <w:u w:val="single"/>
        </w:rPr>
      </w:pPr>
    </w:p>
    <w:p w14:paraId="7BACE765" w14:textId="77777777" w:rsidR="00845B6C" w:rsidRDefault="009B2F58">
      <w:pPr>
        <w:spacing w:line="240" w:lineRule="auto"/>
        <w:ind w:left="709"/>
        <w:jc w:val="both"/>
        <w:rPr>
          <w:b/>
          <w:sz w:val="24"/>
          <w:szCs w:val="24"/>
          <w:u w:val="single"/>
        </w:rPr>
      </w:pPr>
      <w:r>
        <w:rPr>
          <w:b/>
          <w:sz w:val="24"/>
          <w:szCs w:val="24"/>
          <w:u w:val="single"/>
        </w:rPr>
        <w:t xml:space="preserve">Tableau 2 : niveau de concentration des prises de participations </w:t>
      </w:r>
    </w:p>
    <w:tbl>
      <w:tblPr>
        <w:tblW w:w="5394" w:type="pct"/>
        <w:tblCellMar>
          <w:left w:w="10" w:type="dxa"/>
          <w:right w:w="10" w:type="dxa"/>
        </w:tblCellMar>
        <w:tblLook w:val="04A0" w:firstRow="1" w:lastRow="0" w:firstColumn="1" w:lastColumn="0" w:noHBand="0" w:noVBand="1"/>
      </w:tblPr>
      <w:tblGrid>
        <w:gridCol w:w="846"/>
        <w:gridCol w:w="1985"/>
        <w:gridCol w:w="1699"/>
        <w:gridCol w:w="1844"/>
        <w:gridCol w:w="3402"/>
      </w:tblGrid>
      <w:tr w:rsidR="00845B6C" w14:paraId="686B8D24"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335FC5D"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C1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91F3A34"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Entreprise</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E089C20"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Nombre</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B5A8385"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A743D96"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 cumulé</w:t>
            </w:r>
          </w:p>
        </w:tc>
      </w:tr>
      <w:tr w:rsidR="00845B6C" w14:paraId="677FFF68"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1127C44"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D35FC8B"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Airbus</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B26310B"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19</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334626A"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0,0830</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BB05A2A"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0,0830</w:t>
            </w:r>
          </w:p>
        </w:tc>
      </w:tr>
      <w:tr w:rsidR="00845B6C" w14:paraId="44126FB1"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4762641"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A64D8D"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Unibail</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F9EE12"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14</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82EE5D5"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0,0611</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A33E62F"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0,1441</w:t>
            </w:r>
          </w:p>
        </w:tc>
      </w:tr>
      <w:tr w:rsidR="00845B6C" w14:paraId="4E141A74"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253B23E"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FE9BF4E"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Carrefour</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55CD174"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10</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4DC18DF"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0,0437</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AB2F2A9"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0,1878</w:t>
            </w:r>
          </w:p>
        </w:tc>
      </w:tr>
      <w:tr w:rsidR="00845B6C" w14:paraId="2F7982F8"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447C4E8"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059E049"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Sodexo</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2FE087E"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10</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698978D"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0,0437</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6FAD2E6"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0,2314</w:t>
            </w:r>
          </w:p>
        </w:tc>
      </w:tr>
      <w:tr w:rsidR="00845B6C" w14:paraId="180192C2" w14:textId="77777777">
        <w:trPr>
          <w:trHeight w:val="332"/>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3A22D86"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FB947D1"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Total</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2050A78"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10</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66F8CDC"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0,0437</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07BCA03"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0,2751</w:t>
            </w:r>
          </w:p>
        </w:tc>
      </w:tr>
      <w:tr w:rsidR="00845B6C" w14:paraId="254A436A"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F67E2C3"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C2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7314DB"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Entreprise</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CF3CA03"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Nombre</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F998E42"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Pourcentage</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F36A85"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Pourcentage cumulé</w:t>
            </w:r>
          </w:p>
        </w:tc>
      </w:tr>
      <w:tr w:rsidR="00845B6C" w14:paraId="4DD4181F"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D08FDD8"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CFF141F"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Atos</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0B3BC21"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30</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A453A25"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0,1255</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D47689"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0,1255</w:t>
            </w:r>
          </w:p>
        </w:tc>
      </w:tr>
      <w:tr w:rsidR="00845B6C" w14:paraId="35906D15"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CAE397F"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2E0ADFB" w14:textId="77777777" w:rsidR="00845B6C" w:rsidRPr="009B2F58" w:rsidRDefault="009B2F58">
            <w:pPr>
              <w:spacing w:after="0" w:line="240" w:lineRule="auto"/>
              <w:jc w:val="center"/>
              <w:rPr>
                <w:rFonts w:ascii="Times New Roman" w:hAnsi="Times New Roman"/>
                <w:sz w:val="20"/>
                <w:szCs w:val="20"/>
              </w:rPr>
            </w:pPr>
            <w:proofErr w:type="spellStart"/>
            <w:r w:rsidRPr="009B2F58">
              <w:rPr>
                <w:rFonts w:ascii="Times New Roman" w:hAnsi="Times New Roman"/>
                <w:sz w:val="20"/>
                <w:szCs w:val="20"/>
              </w:rPr>
              <w:t>Arcelor-Mittal</w:t>
            </w:r>
            <w:proofErr w:type="spellEnd"/>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07F3ECB"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25</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C98A599"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0,1046</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715ACBC"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0,2301</w:t>
            </w:r>
          </w:p>
        </w:tc>
      </w:tr>
      <w:tr w:rsidR="00845B6C" w14:paraId="1F298B89"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0B58EBB"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315614"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LVMH</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FC01550"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20</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6FE470C"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0,0837</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3F87EE8"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0,3138</w:t>
            </w:r>
          </w:p>
        </w:tc>
      </w:tr>
      <w:tr w:rsidR="00845B6C" w14:paraId="3D60D32A"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7DAC6FC"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107E93"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Technip</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6D49CC0"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19</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8E594D"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0,0795</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104BA03"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0,3933</w:t>
            </w:r>
          </w:p>
        </w:tc>
      </w:tr>
      <w:tr w:rsidR="00845B6C" w14:paraId="5D56553D"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691D670"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3DC5AE8"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Essilor</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798566B"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18</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A37FC12"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0,0753</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0CE1707"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0,4686</w:t>
            </w:r>
          </w:p>
        </w:tc>
      </w:tr>
      <w:tr w:rsidR="00845B6C" w14:paraId="56C3F3D2"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410DC00"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C3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D4D9D9"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Entreprise</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B6183F"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Nombre</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CD0E7D"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Pourcentage</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2B1B6F0"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Pourcentage cumulé</w:t>
            </w:r>
          </w:p>
        </w:tc>
      </w:tr>
      <w:tr w:rsidR="00845B6C" w14:paraId="5EFE19D0"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66DA8F0"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F6DD60"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Valeo</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4976BB7"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26</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00C1C08"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0,1520</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B9C1C7F"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0,1520</w:t>
            </w:r>
          </w:p>
        </w:tc>
      </w:tr>
      <w:tr w:rsidR="00845B6C" w14:paraId="10C7F1F2"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313AC5"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CA87B38"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Atos</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68C0383"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26</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46F8F36"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0,1520</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6D5BD32"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0,3041</w:t>
            </w:r>
          </w:p>
        </w:tc>
      </w:tr>
      <w:tr w:rsidR="00845B6C" w14:paraId="7E66124B"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1998F07"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B10EFA2"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Sodexo</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C60FDD"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14</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5B6E58"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0,0819</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EA516BC"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0,3860</w:t>
            </w:r>
          </w:p>
        </w:tc>
      </w:tr>
      <w:tr w:rsidR="00845B6C" w14:paraId="564A7418"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CD8CBF2"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14D0C4"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Total</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D99BE79"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14</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E2D2EE8"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0,0819</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66D3300"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0,4678</w:t>
            </w:r>
          </w:p>
        </w:tc>
      </w:tr>
      <w:tr w:rsidR="00845B6C" w14:paraId="5A842338"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54A88B"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D29E96"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Essilor</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61A9BE9"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11</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DC208F"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0,0643</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8D9E71C"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0,5322</w:t>
            </w:r>
          </w:p>
        </w:tc>
      </w:tr>
      <w:tr w:rsidR="00845B6C" w14:paraId="66367550"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A47F389"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C4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56A097"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Entreprise</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75BA82E"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Nombre</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24FD90F"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Pourcentage</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C46E11A"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Pourcentage cumulé</w:t>
            </w:r>
          </w:p>
        </w:tc>
      </w:tr>
      <w:tr w:rsidR="00845B6C" w14:paraId="7383AD02"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23F7A38"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8408F5B"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Valeo</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FC88E2C"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10</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C02E7FB"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0,0877</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68A524A"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0,0877</w:t>
            </w:r>
          </w:p>
        </w:tc>
      </w:tr>
      <w:tr w:rsidR="00845B6C" w14:paraId="744F0F6A"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D91148C"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1CE0B36"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Sodexo</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890F3FB"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9</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BECA419"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0,0789</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0602A99"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0,1666</w:t>
            </w:r>
          </w:p>
        </w:tc>
      </w:tr>
      <w:tr w:rsidR="00845B6C" w14:paraId="380C6EE3"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80F3B90"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B6CC613"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Airbus</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6F79AAC"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7</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3F5952B"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0,0614</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F6886EA"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0,2281</w:t>
            </w:r>
          </w:p>
        </w:tc>
      </w:tr>
      <w:tr w:rsidR="00845B6C" w14:paraId="7896EEF0"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06D6ED"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170217C"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Technip</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5C14E4A"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7</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3E54838"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0,0614</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10764B"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0,2894</w:t>
            </w:r>
          </w:p>
        </w:tc>
      </w:tr>
      <w:tr w:rsidR="00845B6C" w14:paraId="66081EA8"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1596945"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E284E1C"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Total</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B498468"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7</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E69438C"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0,0614</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75153C9"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0,3508</w:t>
            </w:r>
          </w:p>
        </w:tc>
      </w:tr>
      <w:tr w:rsidR="00845B6C" w14:paraId="6880E242"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08D0EA9"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C5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785E5C"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Entreprise</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AC8B7A8"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Nombre</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13A5F67"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Pourcentage</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76AD52C"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Pourcentage cumulé</w:t>
            </w:r>
          </w:p>
        </w:tc>
      </w:tr>
      <w:tr w:rsidR="00845B6C" w14:paraId="4204AEAB"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74DFAF"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lastRenderedPageBreak/>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B61105"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Technip</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4B7BB7D"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6</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A09FF9"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0,0870</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825ED12"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0,0870</w:t>
            </w:r>
          </w:p>
        </w:tc>
      </w:tr>
      <w:tr w:rsidR="00845B6C" w14:paraId="3A1811DF"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8ADBBE0"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C0D4D7A"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LVMH</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56217A4"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5</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F31ABA6"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0,0725</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F92B433"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0,1594</w:t>
            </w:r>
          </w:p>
        </w:tc>
      </w:tr>
      <w:tr w:rsidR="00845B6C" w14:paraId="5CB4A842"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8726FE7"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3BCD3A"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Total</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63D21E2"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4</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2499F96"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0,0580</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D7C1815"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0,2174</w:t>
            </w:r>
          </w:p>
        </w:tc>
      </w:tr>
      <w:tr w:rsidR="00845B6C" w14:paraId="666E139C"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9A7C285"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3DE3A49"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Carrefour</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F6EF7C9"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4</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F2497C3"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0,0580</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9DEE118"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0,2754</w:t>
            </w:r>
          </w:p>
        </w:tc>
      </w:tr>
      <w:tr w:rsidR="00845B6C" w14:paraId="0748E39A"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F322DD"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58D2DEF"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STM</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42805C4"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4</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E71DED0"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0,0580</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17D844A"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0,3333</w:t>
            </w:r>
          </w:p>
        </w:tc>
      </w:tr>
      <w:tr w:rsidR="00845B6C" w14:paraId="25AD6BFF"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25040D2"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C6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BD382C5"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Entreprise</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C4C882B"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Nombre</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F10DA33"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Pourcentage</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48FA4AD"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Pourcentage cumulé</w:t>
            </w:r>
          </w:p>
        </w:tc>
      </w:tr>
      <w:tr w:rsidR="00845B6C" w14:paraId="240E9F48"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914E5BD"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BE3DCF"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Valeo</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A55DFE0"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17</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B7A7EA0"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0,09827</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558A069"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0,0983</w:t>
            </w:r>
          </w:p>
        </w:tc>
      </w:tr>
      <w:tr w:rsidR="00845B6C" w14:paraId="537C1F0E"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0015D67"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F6926DD"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Atos</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004BC15"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15</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0B05CA1"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0,08671</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8DE4EA7"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0,185</w:t>
            </w:r>
          </w:p>
        </w:tc>
      </w:tr>
      <w:tr w:rsidR="00845B6C" w14:paraId="0750FE50"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BC03EE1"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9391759"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Saint Gobain</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41BAD4"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13</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AA9167B"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0,07514</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D040C1"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0,2601</w:t>
            </w:r>
          </w:p>
        </w:tc>
      </w:tr>
      <w:tr w:rsidR="00845B6C" w14:paraId="35124D52"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9390081"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AD52C9B"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Orange</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F1D04AF"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13</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498744"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0,07514</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AD6FF70"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0,3352</w:t>
            </w:r>
          </w:p>
        </w:tc>
      </w:tr>
      <w:tr w:rsidR="00845B6C" w14:paraId="66AA927E"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A2D1044"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DD5D380"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Arcelor Mittal</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1FA454"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12</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BEFE14A"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0,06936</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CA2A541"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0,4046</w:t>
            </w:r>
          </w:p>
        </w:tc>
      </w:tr>
      <w:tr w:rsidR="00845B6C" w14:paraId="02793046"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8C2CA7C"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C7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DEC14E"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Entreprise</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AA810A"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Nombre</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F251CD9"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Pourcentage</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DD07DDC"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Pourcentage cumulé</w:t>
            </w:r>
          </w:p>
        </w:tc>
      </w:tr>
      <w:tr w:rsidR="00845B6C" w14:paraId="79E24DE9"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E3DAE9D"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60BE4B"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Valeo</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D70F406"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13</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14E6D89"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0,10078</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8CCF510"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0,1008</w:t>
            </w:r>
          </w:p>
        </w:tc>
      </w:tr>
      <w:tr w:rsidR="00845B6C" w14:paraId="357C0B77"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9D3E172"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7CD1B7"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Arcelor Mittal</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F864AB2"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9</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DEC7A1D"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0,06977</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4157025"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0,1705</w:t>
            </w:r>
          </w:p>
        </w:tc>
      </w:tr>
      <w:tr w:rsidR="00845B6C" w14:paraId="2F9DE873"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2D0ADC4"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AA73ABA"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Atos</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84DB99"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9</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FE930E1"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0,06977</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0051FB4"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0,2403</w:t>
            </w:r>
          </w:p>
        </w:tc>
      </w:tr>
      <w:tr w:rsidR="00845B6C" w14:paraId="00BCCF66"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7EB561F"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A53D500"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Technip</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D1F56DC"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7</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6542B7C"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0,05426</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6150DBC"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0,2946</w:t>
            </w:r>
          </w:p>
        </w:tc>
      </w:tr>
      <w:tr w:rsidR="00845B6C" w14:paraId="17EFF335"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66D3752"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6F038A2"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Legrand</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8B956BF"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7</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941CA90"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0,05426</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C049C60"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0,3488</w:t>
            </w:r>
          </w:p>
        </w:tc>
      </w:tr>
      <w:tr w:rsidR="00845B6C" w14:paraId="7D0DD804"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B51F40B"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C8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0C4840"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Entreprise</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C3C9BA2"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Nombre</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C2B94A1"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Pourcentage</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EF1CB37" w14:textId="77777777" w:rsidR="00845B6C" w:rsidRPr="009B2F58" w:rsidRDefault="009B2F58">
            <w:pPr>
              <w:spacing w:after="0" w:line="240" w:lineRule="auto"/>
              <w:jc w:val="center"/>
              <w:rPr>
                <w:rFonts w:ascii="Times New Roman" w:hAnsi="Times New Roman"/>
                <w:b/>
                <w:sz w:val="20"/>
                <w:szCs w:val="20"/>
              </w:rPr>
            </w:pPr>
            <w:r w:rsidRPr="009B2F58">
              <w:rPr>
                <w:rFonts w:ascii="Times New Roman" w:hAnsi="Times New Roman"/>
                <w:b/>
                <w:sz w:val="20"/>
                <w:szCs w:val="20"/>
              </w:rPr>
              <w:t>Pourcentage cumulé</w:t>
            </w:r>
          </w:p>
        </w:tc>
      </w:tr>
      <w:tr w:rsidR="00845B6C" w14:paraId="55D1CC42"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72505E5"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25FE029"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Total</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2740B0"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15</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E977D6"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0,1304</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EA6F355"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0,1304</w:t>
            </w:r>
          </w:p>
        </w:tc>
      </w:tr>
      <w:tr w:rsidR="00845B6C" w14:paraId="5C2C4B4D"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C95EBA5"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E7E19D1"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Sodexo</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6B150F3"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8</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B7B54F0"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0,0696</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5767325"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0,2000</w:t>
            </w:r>
          </w:p>
        </w:tc>
      </w:tr>
      <w:tr w:rsidR="00845B6C" w14:paraId="457ADE21"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A51A25D"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8CE9803"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LVMH</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8AA76D8"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8</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E9E0872"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0,0696</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B6DE4C"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0,2696</w:t>
            </w:r>
          </w:p>
        </w:tc>
      </w:tr>
      <w:tr w:rsidR="00845B6C" w14:paraId="67E4CD66"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5A86DA2"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982AAED"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Valeo</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4E44674"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7</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46F8975"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0,0609</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F94BFC"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0,3304</w:t>
            </w:r>
          </w:p>
        </w:tc>
      </w:tr>
      <w:tr w:rsidR="00845B6C" w14:paraId="7F75DF05" w14:textId="77777777">
        <w:trPr>
          <w:trHeight w:val="30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FA8AD80"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514F37A" w14:textId="77777777" w:rsidR="00845B6C" w:rsidRPr="009B2F58" w:rsidRDefault="009B2F58">
            <w:pPr>
              <w:spacing w:after="0" w:line="240" w:lineRule="auto"/>
              <w:jc w:val="center"/>
              <w:rPr>
                <w:rFonts w:ascii="Times New Roman" w:hAnsi="Times New Roman"/>
                <w:sz w:val="20"/>
                <w:szCs w:val="20"/>
              </w:rPr>
            </w:pPr>
            <w:r w:rsidRPr="009B2F58">
              <w:rPr>
                <w:rFonts w:ascii="Times New Roman" w:hAnsi="Times New Roman"/>
                <w:sz w:val="20"/>
                <w:szCs w:val="20"/>
              </w:rPr>
              <w:t>Saint Gobain</w:t>
            </w:r>
          </w:p>
        </w:tc>
        <w:tc>
          <w:tcPr>
            <w:tcW w:w="1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FCD38FB"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5</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F0FCEB9"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0,0435</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C7A6B5E" w14:textId="77777777" w:rsidR="00845B6C" w:rsidRPr="009B2F58" w:rsidRDefault="009B2F58">
            <w:pPr>
              <w:spacing w:after="0" w:line="240" w:lineRule="auto"/>
              <w:ind w:left="720"/>
              <w:jc w:val="center"/>
              <w:rPr>
                <w:rFonts w:ascii="Times New Roman" w:hAnsi="Times New Roman"/>
                <w:sz w:val="20"/>
                <w:szCs w:val="20"/>
              </w:rPr>
            </w:pPr>
            <w:r w:rsidRPr="009B2F58">
              <w:rPr>
                <w:rFonts w:ascii="Times New Roman" w:hAnsi="Times New Roman"/>
                <w:sz w:val="20"/>
                <w:szCs w:val="20"/>
              </w:rPr>
              <w:t>0,3739</w:t>
            </w:r>
          </w:p>
        </w:tc>
      </w:tr>
    </w:tbl>
    <w:p w14:paraId="67F9B5FB" w14:textId="77777777" w:rsidR="00845B6C" w:rsidRDefault="00845B6C">
      <w:pPr>
        <w:spacing w:line="240" w:lineRule="auto"/>
        <w:ind w:left="708"/>
        <w:jc w:val="both"/>
        <w:rPr>
          <w:sz w:val="26"/>
          <w:szCs w:val="26"/>
        </w:rPr>
      </w:pPr>
    </w:p>
    <w:p w14:paraId="71C73F10" w14:textId="232ED21C" w:rsidR="00845B6C" w:rsidRPr="00F1479A" w:rsidRDefault="009B2F58">
      <w:pPr>
        <w:spacing w:line="240" w:lineRule="auto"/>
        <w:ind w:left="708"/>
        <w:jc w:val="both"/>
        <w:rPr>
          <w:rFonts w:ascii="Times New Roman" w:hAnsi="Times New Roman"/>
          <w:b/>
          <w:bCs/>
          <w:u w:val="single"/>
        </w:rPr>
      </w:pPr>
      <w:r w:rsidRPr="00F1479A">
        <w:rPr>
          <w:rFonts w:ascii="Times New Roman" w:hAnsi="Times New Roman"/>
          <w:b/>
          <w:bCs/>
          <w:u w:val="single"/>
        </w:rPr>
        <w:t>Tableau 3 :</w:t>
      </w:r>
      <w:r w:rsidR="003B3BAE" w:rsidRPr="00F1479A">
        <w:rPr>
          <w:rFonts w:ascii="Times New Roman" w:hAnsi="Times New Roman"/>
          <w:b/>
          <w:bCs/>
          <w:u w:val="single"/>
        </w:rPr>
        <w:t xml:space="preserve"> trading et importance de l’entreprise dans le CAC 40</w:t>
      </w:r>
      <w:r w:rsidRPr="00F1479A">
        <w:rPr>
          <w:rFonts w:ascii="Times New Roman" w:hAnsi="Times New Roman"/>
          <w:b/>
          <w:bCs/>
          <w:u w:val="single"/>
        </w:rPr>
        <w:t xml:space="preserve"> </w:t>
      </w:r>
    </w:p>
    <w:tbl>
      <w:tblPr>
        <w:tblW w:w="9918" w:type="dxa"/>
        <w:tblCellMar>
          <w:left w:w="10" w:type="dxa"/>
          <w:right w:w="10" w:type="dxa"/>
        </w:tblCellMar>
        <w:tblLook w:val="04A0" w:firstRow="1" w:lastRow="0" w:firstColumn="1" w:lastColumn="0" w:noHBand="0" w:noVBand="1"/>
      </w:tblPr>
      <w:tblGrid>
        <w:gridCol w:w="1174"/>
        <w:gridCol w:w="2795"/>
        <w:gridCol w:w="1718"/>
        <w:gridCol w:w="1174"/>
        <w:gridCol w:w="1350"/>
        <w:gridCol w:w="1707"/>
      </w:tblGrid>
      <w:tr w:rsidR="00845B6C" w14:paraId="32531EAC" w14:textId="77777777">
        <w:trPr>
          <w:trHeight w:val="300"/>
        </w:trPr>
        <w:tc>
          <w:tcPr>
            <w:tcW w:w="11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CB43B3"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C1</w:t>
            </w:r>
          </w:p>
        </w:tc>
        <w:tc>
          <w:tcPr>
            <w:tcW w:w="27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F0D94F" w14:textId="77777777" w:rsidR="00845B6C" w:rsidRPr="003B3BAE" w:rsidRDefault="009B2F58">
            <w:pPr>
              <w:spacing w:after="0" w:line="240" w:lineRule="auto"/>
              <w:jc w:val="center"/>
              <w:rPr>
                <w:rFonts w:ascii="Times New Roman" w:hAnsi="Times New Roman"/>
                <w:sz w:val="20"/>
                <w:szCs w:val="20"/>
              </w:rPr>
            </w:pPr>
            <w:r w:rsidRPr="003B3BAE">
              <w:rPr>
                <w:rFonts w:ascii="Times New Roman" w:hAnsi="Times New Roman"/>
                <w:sz w:val="20"/>
                <w:szCs w:val="20"/>
              </w:rPr>
              <w:t>Position dans le CAC40</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D76C7" w14:textId="77777777" w:rsidR="00845B6C" w:rsidRPr="003B3BAE" w:rsidRDefault="009B2F58">
            <w:pPr>
              <w:spacing w:after="0" w:line="240" w:lineRule="auto"/>
              <w:jc w:val="center"/>
              <w:rPr>
                <w:rFonts w:ascii="Times New Roman" w:hAnsi="Times New Roman"/>
                <w:sz w:val="20"/>
                <w:szCs w:val="20"/>
              </w:rPr>
            </w:pPr>
            <w:r w:rsidRPr="003B3BAE">
              <w:rPr>
                <w:rFonts w:ascii="Times New Roman" w:hAnsi="Times New Roman"/>
                <w:sz w:val="20"/>
                <w:szCs w:val="20"/>
              </w:rPr>
              <w:t>Anormalité des volumes</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28A49"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C2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8FCBC4" w14:textId="77777777" w:rsidR="00845B6C" w:rsidRPr="003B3BAE" w:rsidRDefault="009B2F58">
            <w:pPr>
              <w:spacing w:after="0" w:line="240" w:lineRule="auto"/>
              <w:jc w:val="center"/>
              <w:rPr>
                <w:rFonts w:ascii="Times New Roman" w:hAnsi="Times New Roman"/>
                <w:sz w:val="20"/>
                <w:szCs w:val="20"/>
              </w:rPr>
            </w:pPr>
            <w:r w:rsidRPr="003B3BAE">
              <w:rPr>
                <w:rFonts w:ascii="Times New Roman" w:hAnsi="Times New Roman"/>
                <w:sz w:val="20"/>
                <w:szCs w:val="20"/>
              </w:rPr>
              <w:t>Position dans le CAC40</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8EF5A" w14:textId="77777777" w:rsidR="00845B6C" w:rsidRPr="003B3BAE" w:rsidRDefault="009B2F58">
            <w:pPr>
              <w:spacing w:after="0" w:line="240" w:lineRule="auto"/>
              <w:jc w:val="center"/>
              <w:rPr>
                <w:rFonts w:ascii="Times New Roman" w:hAnsi="Times New Roman"/>
                <w:sz w:val="20"/>
                <w:szCs w:val="20"/>
              </w:rPr>
            </w:pPr>
            <w:r w:rsidRPr="003B3BAE">
              <w:rPr>
                <w:rFonts w:ascii="Times New Roman" w:hAnsi="Times New Roman"/>
                <w:sz w:val="20"/>
                <w:szCs w:val="20"/>
              </w:rPr>
              <w:t>Anormalité des volumes</w:t>
            </w:r>
          </w:p>
        </w:tc>
      </w:tr>
      <w:tr w:rsidR="00845B6C" w14:paraId="01072A46" w14:textId="77777777">
        <w:trPr>
          <w:trHeight w:val="300"/>
        </w:trPr>
        <w:tc>
          <w:tcPr>
            <w:tcW w:w="11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9CC7132"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1</w:t>
            </w:r>
          </w:p>
        </w:tc>
        <w:tc>
          <w:tcPr>
            <w:tcW w:w="27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31F544B"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5</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1A5E1" w14:textId="77777777" w:rsidR="00845B6C" w:rsidRPr="003B3BAE" w:rsidRDefault="009B2F58">
            <w:pPr>
              <w:spacing w:after="0" w:line="240" w:lineRule="auto"/>
              <w:jc w:val="center"/>
              <w:rPr>
                <w:rFonts w:ascii="Times New Roman" w:hAnsi="Times New Roman"/>
                <w:sz w:val="20"/>
                <w:szCs w:val="20"/>
              </w:rPr>
            </w:pPr>
            <w:r w:rsidRPr="003B3BAE">
              <w:rPr>
                <w:rFonts w:ascii="Times New Roman" w:hAnsi="Times New Roman"/>
                <w:sz w:val="20"/>
                <w:szCs w:val="20"/>
              </w:rPr>
              <w:t>0,0321</w:t>
            </w:r>
          </w:p>
          <w:p w14:paraId="38755A1E" w14:textId="77777777" w:rsidR="00845B6C" w:rsidRPr="003B3BAE" w:rsidRDefault="00845B6C">
            <w:pPr>
              <w:spacing w:after="0" w:line="240" w:lineRule="auto"/>
              <w:jc w:val="center"/>
              <w:rPr>
                <w:rFonts w:ascii="Times New Roman" w:hAnsi="Times New Roman"/>
                <w:sz w:val="20"/>
                <w:szCs w:val="20"/>
              </w:rPr>
            </w:pP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0EFF47"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3FA1F"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38</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F3AFF" w14:textId="77777777" w:rsidR="00845B6C" w:rsidRPr="003B3BAE" w:rsidRDefault="009B2F58">
            <w:pPr>
              <w:spacing w:after="0" w:line="240" w:lineRule="auto"/>
              <w:ind w:left="720"/>
              <w:jc w:val="center"/>
              <w:rPr>
                <w:rFonts w:ascii="Times New Roman" w:hAnsi="Times New Roman"/>
                <w:sz w:val="20"/>
                <w:szCs w:val="20"/>
              </w:rPr>
            </w:pPr>
            <w:r w:rsidRPr="003B3BAE">
              <w:rPr>
                <w:rFonts w:ascii="Times New Roman" w:hAnsi="Times New Roman"/>
                <w:sz w:val="20"/>
                <w:szCs w:val="20"/>
              </w:rPr>
              <w:t>0,6011</w:t>
            </w:r>
          </w:p>
        </w:tc>
      </w:tr>
      <w:tr w:rsidR="00845B6C" w14:paraId="26C67095" w14:textId="77777777">
        <w:trPr>
          <w:trHeight w:val="300"/>
        </w:trPr>
        <w:tc>
          <w:tcPr>
            <w:tcW w:w="11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AED668C"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2</w:t>
            </w:r>
          </w:p>
        </w:tc>
        <w:tc>
          <w:tcPr>
            <w:tcW w:w="27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83B54B"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29</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ED892" w14:textId="77777777" w:rsidR="00845B6C" w:rsidRPr="003B3BAE" w:rsidRDefault="009B2F58">
            <w:pPr>
              <w:spacing w:after="0" w:line="240" w:lineRule="auto"/>
              <w:jc w:val="center"/>
              <w:rPr>
                <w:rFonts w:ascii="Times New Roman" w:hAnsi="Times New Roman"/>
                <w:sz w:val="20"/>
                <w:szCs w:val="20"/>
              </w:rPr>
            </w:pPr>
            <w:r w:rsidRPr="003B3BAE">
              <w:rPr>
                <w:rFonts w:ascii="Times New Roman" w:hAnsi="Times New Roman"/>
                <w:sz w:val="20"/>
                <w:szCs w:val="20"/>
              </w:rPr>
              <w:t>-0,0246</w:t>
            </w:r>
          </w:p>
          <w:p w14:paraId="055744CA" w14:textId="77777777" w:rsidR="00845B6C" w:rsidRPr="003B3BAE" w:rsidRDefault="00845B6C">
            <w:pPr>
              <w:spacing w:after="0" w:line="240" w:lineRule="auto"/>
              <w:jc w:val="center"/>
              <w:rPr>
                <w:rFonts w:ascii="Times New Roman" w:hAnsi="Times New Roman"/>
                <w:sz w:val="20"/>
                <w:szCs w:val="20"/>
              </w:rPr>
            </w:pP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6B47F"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777867"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33</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2E275" w14:textId="77777777" w:rsidR="00845B6C" w:rsidRPr="003B3BAE" w:rsidRDefault="009B2F58">
            <w:pPr>
              <w:spacing w:after="0" w:line="240" w:lineRule="auto"/>
              <w:ind w:left="720"/>
              <w:jc w:val="center"/>
              <w:rPr>
                <w:rFonts w:ascii="Times New Roman" w:hAnsi="Times New Roman"/>
                <w:sz w:val="20"/>
                <w:szCs w:val="20"/>
              </w:rPr>
            </w:pPr>
            <w:r w:rsidRPr="003B3BAE">
              <w:rPr>
                <w:rFonts w:ascii="Times New Roman" w:hAnsi="Times New Roman"/>
                <w:sz w:val="20"/>
                <w:szCs w:val="20"/>
              </w:rPr>
              <w:t>-0,0124</w:t>
            </w:r>
          </w:p>
        </w:tc>
      </w:tr>
      <w:tr w:rsidR="00845B6C" w14:paraId="03FA7BB4" w14:textId="77777777">
        <w:trPr>
          <w:trHeight w:val="300"/>
        </w:trPr>
        <w:tc>
          <w:tcPr>
            <w:tcW w:w="11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D9C1F2"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3</w:t>
            </w:r>
          </w:p>
        </w:tc>
        <w:tc>
          <w:tcPr>
            <w:tcW w:w="27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DF23523"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35</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D397C" w14:textId="77777777" w:rsidR="00845B6C" w:rsidRPr="003B3BAE" w:rsidRDefault="009B2F58">
            <w:pPr>
              <w:spacing w:after="0" w:line="240" w:lineRule="auto"/>
              <w:jc w:val="center"/>
              <w:rPr>
                <w:rFonts w:ascii="Times New Roman" w:hAnsi="Times New Roman"/>
                <w:sz w:val="20"/>
                <w:szCs w:val="20"/>
              </w:rPr>
            </w:pPr>
            <w:r w:rsidRPr="003B3BAE">
              <w:rPr>
                <w:rFonts w:ascii="Times New Roman" w:hAnsi="Times New Roman"/>
                <w:sz w:val="20"/>
                <w:szCs w:val="20"/>
              </w:rPr>
              <w:t>-0,4229</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C3259D"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6AA29"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1</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AD496" w14:textId="77777777" w:rsidR="00845B6C" w:rsidRPr="003B3BAE" w:rsidRDefault="009B2F58">
            <w:pPr>
              <w:spacing w:after="0" w:line="240" w:lineRule="auto"/>
              <w:ind w:left="720"/>
              <w:jc w:val="center"/>
              <w:rPr>
                <w:rFonts w:ascii="Times New Roman" w:hAnsi="Times New Roman"/>
                <w:sz w:val="20"/>
                <w:szCs w:val="20"/>
              </w:rPr>
            </w:pPr>
            <w:r w:rsidRPr="003B3BAE">
              <w:rPr>
                <w:rFonts w:ascii="Times New Roman" w:hAnsi="Times New Roman"/>
                <w:sz w:val="20"/>
                <w:szCs w:val="20"/>
              </w:rPr>
              <w:t>0,396</w:t>
            </w:r>
          </w:p>
        </w:tc>
      </w:tr>
      <w:tr w:rsidR="00845B6C" w14:paraId="1637523C" w14:textId="77777777">
        <w:trPr>
          <w:trHeight w:val="300"/>
        </w:trPr>
        <w:tc>
          <w:tcPr>
            <w:tcW w:w="11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B684996"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4</w:t>
            </w:r>
          </w:p>
        </w:tc>
        <w:tc>
          <w:tcPr>
            <w:tcW w:w="27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ADBC4E1"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32</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CA6DB" w14:textId="77777777" w:rsidR="00845B6C" w:rsidRPr="003B3BAE" w:rsidRDefault="009B2F58">
            <w:pPr>
              <w:spacing w:after="0" w:line="240" w:lineRule="auto"/>
              <w:jc w:val="center"/>
              <w:rPr>
                <w:rFonts w:ascii="Times New Roman" w:hAnsi="Times New Roman"/>
                <w:sz w:val="20"/>
                <w:szCs w:val="20"/>
              </w:rPr>
            </w:pPr>
            <w:r w:rsidRPr="003B3BAE">
              <w:rPr>
                <w:rFonts w:ascii="Times New Roman" w:hAnsi="Times New Roman"/>
                <w:sz w:val="20"/>
                <w:szCs w:val="20"/>
              </w:rPr>
              <w:t>-0,1249</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3A0577"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05AE9"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39</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C445C" w14:textId="77777777" w:rsidR="00845B6C" w:rsidRPr="003B3BAE" w:rsidRDefault="009B2F58">
            <w:pPr>
              <w:spacing w:after="0" w:line="240" w:lineRule="auto"/>
              <w:ind w:left="720"/>
              <w:jc w:val="center"/>
              <w:rPr>
                <w:rFonts w:ascii="Times New Roman" w:hAnsi="Times New Roman"/>
                <w:sz w:val="20"/>
                <w:szCs w:val="20"/>
              </w:rPr>
            </w:pPr>
            <w:r w:rsidRPr="003B3BAE">
              <w:rPr>
                <w:rFonts w:ascii="Times New Roman" w:hAnsi="Times New Roman"/>
                <w:sz w:val="20"/>
                <w:szCs w:val="20"/>
              </w:rPr>
              <w:t>-0,3511</w:t>
            </w:r>
          </w:p>
        </w:tc>
      </w:tr>
      <w:tr w:rsidR="00845B6C" w14:paraId="10440362" w14:textId="77777777">
        <w:trPr>
          <w:trHeight w:val="300"/>
        </w:trPr>
        <w:tc>
          <w:tcPr>
            <w:tcW w:w="11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35A83AA"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5</w:t>
            </w:r>
          </w:p>
        </w:tc>
        <w:tc>
          <w:tcPr>
            <w:tcW w:w="27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279EF9F"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3</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A5897" w14:textId="77777777" w:rsidR="00845B6C" w:rsidRPr="003B3BAE" w:rsidRDefault="009B2F58">
            <w:pPr>
              <w:spacing w:after="0" w:line="240" w:lineRule="auto"/>
              <w:jc w:val="center"/>
              <w:rPr>
                <w:rFonts w:ascii="Times New Roman" w:hAnsi="Times New Roman"/>
                <w:sz w:val="20"/>
                <w:szCs w:val="20"/>
              </w:rPr>
            </w:pPr>
            <w:r w:rsidRPr="003B3BAE">
              <w:rPr>
                <w:rFonts w:ascii="Times New Roman" w:hAnsi="Times New Roman"/>
                <w:sz w:val="20"/>
                <w:szCs w:val="20"/>
              </w:rPr>
              <w:t>-0,1291</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56AAD"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A562D"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10</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8C256" w14:textId="77777777" w:rsidR="00845B6C" w:rsidRPr="003B3BAE" w:rsidRDefault="009B2F58">
            <w:pPr>
              <w:spacing w:after="0" w:line="240" w:lineRule="auto"/>
              <w:ind w:left="720"/>
              <w:jc w:val="center"/>
              <w:rPr>
                <w:rFonts w:ascii="Times New Roman" w:hAnsi="Times New Roman"/>
                <w:sz w:val="20"/>
                <w:szCs w:val="20"/>
              </w:rPr>
            </w:pPr>
            <w:r w:rsidRPr="003B3BAE">
              <w:rPr>
                <w:rFonts w:ascii="Times New Roman" w:hAnsi="Times New Roman"/>
                <w:sz w:val="20"/>
                <w:szCs w:val="20"/>
              </w:rPr>
              <w:t>-0,2127</w:t>
            </w:r>
          </w:p>
        </w:tc>
      </w:tr>
      <w:tr w:rsidR="00845B6C" w14:paraId="420E8214" w14:textId="77777777">
        <w:trPr>
          <w:trHeight w:val="300"/>
        </w:trPr>
        <w:tc>
          <w:tcPr>
            <w:tcW w:w="11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C428B8A"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C3</w:t>
            </w:r>
          </w:p>
        </w:tc>
        <w:tc>
          <w:tcPr>
            <w:tcW w:w="27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EFE4CE" w14:textId="77777777" w:rsidR="00845B6C" w:rsidRPr="003B3BAE" w:rsidRDefault="009B2F58">
            <w:pPr>
              <w:spacing w:after="0" w:line="240" w:lineRule="auto"/>
              <w:jc w:val="center"/>
              <w:rPr>
                <w:rFonts w:ascii="Times New Roman" w:hAnsi="Times New Roman"/>
                <w:sz w:val="20"/>
                <w:szCs w:val="20"/>
              </w:rPr>
            </w:pPr>
            <w:r w:rsidRPr="003B3BAE">
              <w:rPr>
                <w:rFonts w:ascii="Times New Roman" w:hAnsi="Times New Roman"/>
                <w:sz w:val="20"/>
                <w:szCs w:val="20"/>
              </w:rPr>
              <w:t>Position dans le CAC40</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98B19" w14:textId="77777777" w:rsidR="00845B6C" w:rsidRPr="003B3BAE" w:rsidRDefault="009B2F58">
            <w:pPr>
              <w:spacing w:after="0" w:line="240" w:lineRule="auto"/>
              <w:jc w:val="center"/>
              <w:rPr>
                <w:rFonts w:ascii="Times New Roman" w:hAnsi="Times New Roman"/>
                <w:sz w:val="20"/>
                <w:szCs w:val="20"/>
              </w:rPr>
            </w:pPr>
            <w:r w:rsidRPr="003B3BAE">
              <w:rPr>
                <w:rFonts w:ascii="Times New Roman" w:hAnsi="Times New Roman"/>
                <w:sz w:val="20"/>
                <w:szCs w:val="20"/>
              </w:rPr>
              <w:t>Anormalité des volumes</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CA3D3C"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C4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C0A14" w14:textId="77777777" w:rsidR="00845B6C" w:rsidRPr="003B3BAE" w:rsidRDefault="009B2F58">
            <w:pPr>
              <w:spacing w:after="0" w:line="240" w:lineRule="auto"/>
              <w:jc w:val="center"/>
              <w:rPr>
                <w:rFonts w:ascii="Times New Roman" w:hAnsi="Times New Roman"/>
                <w:sz w:val="20"/>
                <w:szCs w:val="20"/>
              </w:rPr>
            </w:pPr>
            <w:r w:rsidRPr="003B3BAE">
              <w:rPr>
                <w:rFonts w:ascii="Times New Roman" w:hAnsi="Times New Roman"/>
                <w:sz w:val="20"/>
                <w:szCs w:val="20"/>
              </w:rPr>
              <w:t>Position dans le CAC40</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B6E97" w14:textId="77777777" w:rsidR="00845B6C" w:rsidRPr="003B3BAE" w:rsidRDefault="009B2F58">
            <w:pPr>
              <w:spacing w:after="0" w:line="240" w:lineRule="auto"/>
              <w:jc w:val="center"/>
              <w:rPr>
                <w:rFonts w:ascii="Times New Roman" w:hAnsi="Times New Roman"/>
                <w:sz w:val="20"/>
                <w:szCs w:val="20"/>
              </w:rPr>
            </w:pPr>
            <w:r w:rsidRPr="003B3BAE">
              <w:rPr>
                <w:rFonts w:ascii="Times New Roman" w:hAnsi="Times New Roman"/>
                <w:sz w:val="20"/>
                <w:szCs w:val="20"/>
              </w:rPr>
              <w:t>Anormalité des volumes</w:t>
            </w:r>
          </w:p>
        </w:tc>
      </w:tr>
      <w:tr w:rsidR="00845B6C" w14:paraId="1B20CFE9" w14:textId="77777777">
        <w:trPr>
          <w:trHeight w:val="300"/>
        </w:trPr>
        <w:tc>
          <w:tcPr>
            <w:tcW w:w="11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1A11055"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1</w:t>
            </w:r>
          </w:p>
        </w:tc>
        <w:tc>
          <w:tcPr>
            <w:tcW w:w="27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AFC6944"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40</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F2E1F" w14:textId="77777777" w:rsidR="00845B6C" w:rsidRPr="003B3BAE" w:rsidRDefault="009B2F58">
            <w:pPr>
              <w:spacing w:after="0" w:line="240" w:lineRule="auto"/>
              <w:ind w:left="720"/>
              <w:jc w:val="center"/>
              <w:rPr>
                <w:rFonts w:ascii="Times New Roman" w:hAnsi="Times New Roman"/>
                <w:sz w:val="20"/>
                <w:szCs w:val="20"/>
              </w:rPr>
            </w:pPr>
            <w:r w:rsidRPr="003B3BAE">
              <w:rPr>
                <w:rFonts w:ascii="Times New Roman" w:hAnsi="Times New Roman"/>
                <w:sz w:val="20"/>
                <w:szCs w:val="20"/>
              </w:rPr>
              <w:t>-0,3</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791B9F"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5A417"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40</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14CD9D" w14:textId="77777777" w:rsidR="00845B6C" w:rsidRPr="003B3BAE" w:rsidRDefault="009B2F58">
            <w:pPr>
              <w:spacing w:after="0" w:line="240" w:lineRule="auto"/>
              <w:ind w:left="720"/>
              <w:jc w:val="center"/>
              <w:rPr>
                <w:rFonts w:ascii="Times New Roman" w:hAnsi="Times New Roman"/>
                <w:sz w:val="20"/>
                <w:szCs w:val="20"/>
              </w:rPr>
            </w:pPr>
            <w:r w:rsidRPr="003B3BAE">
              <w:rPr>
                <w:rFonts w:ascii="Times New Roman" w:hAnsi="Times New Roman"/>
                <w:sz w:val="20"/>
                <w:szCs w:val="20"/>
              </w:rPr>
              <w:t>-0,3</w:t>
            </w:r>
          </w:p>
        </w:tc>
      </w:tr>
      <w:tr w:rsidR="00845B6C" w14:paraId="07B95603" w14:textId="77777777">
        <w:trPr>
          <w:trHeight w:val="300"/>
        </w:trPr>
        <w:tc>
          <w:tcPr>
            <w:tcW w:w="11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4D4E93F"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2</w:t>
            </w:r>
          </w:p>
        </w:tc>
        <w:tc>
          <w:tcPr>
            <w:tcW w:w="27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704FA4B"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38</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2D201" w14:textId="77777777" w:rsidR="00845B6C" w:rsidRPr="003B3BAE" w:rsidRDefault="009B2F58">
            <w:pPr>
              <w:spacing w:after="0" w:line="240" w:lineRule="auto"/>
              <w:ind w:left="720"/>
              <w:jc w:val="center"/>
              <w:rPr>
                <w:rFonts w:ascii="Times New Roman" w:hAnsi="Times New Roman"/>
                <w:sz w:val="20"/>
                <w:szCs w:val="20"/>
              </w:rPr>
            </w:pPr>
            <w:r w:rsidRPr="003B3BAE">
              <w:rPr>
                <w:rFonts w:ascii="Times New Roman" w:hAnsi="Times New Roman"/>
                <w:sz w:val="20"/>
                <w:szCs w:val="20"/>
              </w:rPr>
              <w:t>0,6011</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F6A7F"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566D2"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32</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67A94" w14:textId="77777777" w:rsidR="00845B6C" w:rsidRPr="003B3BAE" w:rsidRDefault="009B2F58">
            <w:pPr>
              <w:spacing w:after="0" w:line="240" w:lineRule="auto"/>
              <w:ind w:left="720"/>
              <w:jc w:val="center"/>
              <w:rPr>
                <w:rFonts w:ascii="Times New Roman" w:hAnsi="Times New Roman"/>
                <w:sz w:val="20"/>
                <w:szCs w:val="20"/>
              </w:rPr>
            </w:pPr>
            <w:r w:rsidRPr="003B3BAE">
              <w:rPr>
                <w:rFonts w:ascii="Times New Roman" w:hAnsi="Times New Roman"/>
                <w:sz w:val="20"/>
                <w:szCs w:val="20"/>
              </w:rPr>
              <w:t>-0,1249</w:t>
            </w:r>
          </w:p>
        </w:tc>
      </w:tr>
      <w:tr w:rsidR="00845B6C" w14:paraId="46481762" w14:textId="77777777">
        <w:trPr>
          <w:trHeight w:val="300"/>
        </w:trPr>
        <w:tc>
          <w:tcPr>
            <w:tcW w:w="11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C256730"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3</w:t>
            </w:r>
          </w:p>
        </w:tc>
        <w:tc>
          <w:tcPr>
            <w:tcW w:w="27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F47BD2"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32</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F09F8" w14:textId="77777777" w:rsidR="00845B6C" w:rsidRPr="003B3BAE" w:rsidRDefault="009B2F58">
            <w:pPr>
              <w:spacing w:after="0" w:line="240" w:lineRule="auto"/>
              <w:ind w:left="720"/>
              <w:jc w:val="center"/>
              <w:rPr>
                <w:rFonts w:ascii="Times New Roman" w:hAnsi="Times New Roman"/>
                <w:sz w:val="20"/>
                <w:szCs w:val="20"/>
              </w:rPr>
            </w:pPr>
            <w:r w:rsidRPr="003B3BAE">
              <w:rPr>
                <w:rFonts w:ascii="Times New Roman" w:hAnsi="Times New Roman"/>
                <w:sz w:val="20"/>
                <w:szCs w:val="20"/>
              </w:rPr>
              <w:t>-0,1249</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E5179"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87BC1"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5</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06B0F" w14:textId="77777777" w:rsidR="00845B6C" w:rsidRPr="003B3BAE" w:rsidRDefault="009B2F58">
            <w:pPr>
              <w:spacing w:after="0" w:line="240" w:lineRule="auto"/>
              <w:ind w:left="720"/>
              <w:jc w:val="center"/>
              <w:rPr>
                <w:rFonts w:ascii="Times New Roman" w:hAnsi="Times New Roman"/>
                <w:sz w:val="20"/>
                <w:szCs w:val="20"/>
              </w:rPr>
            </w:pPr>
            <w:r w:rsidRPr="003B3BAE">
              <w:rPr>
                <w:rFonts w:ascii="Times New Roman" w:hAnsi="Times New Roman"/>
                <w:sz w:val="20"/>
                <w:szCs w:val="20"/>
              </w:rPr>
              <w:t>0,0321</w:t>
            </w:r>
          </w:p>
        </w:tc>
      </w:tr>
      <w:tr w:rsidR="00845B6C" w14:paraId="770934DF" w14:textId="77777777">
        <w:trPr>
          <w:trHeight w:val="300"/>
        </w:trPr>
        <w:tc>
          <w:tcPr>
            <w:tcW w:w="11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6B5EB09"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4</w:t>
            </w:r>
          </w:p>
        </w:tc>
        <w:tc>
          <w:tcPr>
            <w:tcW w:w="27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C068958"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3</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FBCFA" w14:textId="77777777" w:rsidR="00845B6C" w:rsidRPr="003B3BAE" w:rsidRDefault="009B2F58">
            <w:pPr>
              <w:spacing w:after="0" w:line="240" w:lineRule="auto"/>
              <w:ind w:left="720"/>
              <w:jc w:val="center"/>
              <w:rPr>
                <w:rFonts w:ascii="Times New Roman" w:hAnsi="Times New Roman"/>
                <w:sz w:val="20"/>
                <w:szCs w:val="20"/>
              </w:rPr>
            </w:pPr>
            <w:r w:rsidRPr="003B3BAE">
              <w:rPr>
                <w:rFonts w:ascii="Times New Roman" w:hAnsi="Times New Roman"/>
                <w:sz w:val="20"/>
                <w:szCs w:val="20"/>
              </w:rPr>
              <w:t>-0,1291</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18BA6"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A74E6C"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39</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86D63" w14:textId="77777777" w:rsidR="00845B6C" w:rsidRPr="003B3BAE" w:rsidRDefault="009B2F58">
            <w:pPr>
              <w:spacing w:after="0" w:line="240" w:lineRule="auto"/>
              <w:ind w:left="720"/>
              <w:jc w:val="center"/>
              <w:rPr>
                <w:rFonts w:ascii="Times New Roman" w:hAnsi="Times New Roman"/>
                <w:sz w:val="20"/>
                <w:szCs w:val="20"/>
              </w:rPr>
            </w:pPr>
            <w:r w:rsidRPr="003B3BAE">
              <w:rPr>
                <w:rFonts w:ascii="Times New Roman" w:hAnsi="Times New Roman"/>
                <w:sz w:val="20"/>
                <w:szCs w:val="20"/>
              </w:rPr>
              <w:t>-0,3511</w:t>
            </w:r>
          </w:p>
        </w:tc>
      </w:tr>
      <w:tr w:rsidR="00845B6C" w14:paraId="61E10AD5" w14:textId="77777777">
        <w:trPr>
          <w:trHeight w:val="300"/>
        </w:trPr>
        <w:tc>
          <w:tcPr>
            <w:tcW w:w="11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73E3AE9"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5</w:t>
            </w:r>
          </w:p>
        </w:tc>
        <w:tc>
          <w:tcPr>
            <w:tcW w:w="27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66C5B3"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10</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B41B1" w14:textId="77777777" w:rsidR="00845B6C" w:rsidRPr="003B3BAE" w:rsidRDefault="009B2F58">
            <w:pPr>
              <w:spacing w:after="0" w:line="240" w:lineRule="auto"/>
              <w:ind w:left="720"/>
              <w:jc w:val="center"/>
              <w:rPr>
                <w:rFonts w:ascii="Times New Roman" w:hAnsi="Times New Roman"/>
                <w:sz w:val="20"/>
                <w:szCs w:val="20"/>
              </w:rPr>
            </w:pPr>
            <w:r w:rsidRPr="003B3BAE">
              <w:rPr>
                <w:rFonts w:ascii="Times New Roman" w:hAnsi="Times New Roman"/>
                <w:sz w:val="20"/>
                <w:szCs w:val="20"/>
              </w:rPr>
              <w:t>-0,2127</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D3D8B9"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E1E99"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3</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8DB46" w14:textId="77777777" w:rsidR="00845B6C" w:rsidRPr="003B3BAE" w:rsidRDefault="009B2F58">
            <w:pPr>
              <w:spacing w:after="0" w:line="240" w:lineRule="auto"/>
              <w:ind w:left="720"/>
              <w:jc w:val="center"/>
              <w:rPr>
                <w:rFonts w:ascii="Times New Roman" w:hAnsi="Times New Roman"/>
                <w:sz w:val="20"/>
                <w:szCs w:val="20"/>
              </w:rPr>
            </w:pPr>
            <w:r w:rsidRPr="003B3BAE">
              <w:rPr>
                <w:rFonts w:ascii="Times New Roman" w:hAnsi="Times New Roman"/>
                <w:sz w:val="20"/>
                <w:szCs w:val="20"/>
              </w:rPr>
              <w:t>-0,1291</w:t>
            </w:r>
          </w:p>
        </w:tc>
      </w:tr>
      <w:tr w:rsidR="00845B6C" w14:paraId="08E8BEB3" w14:textId="77777777">
        <w:trPr>
          <w:trHeight w:val="300"/>
        </w:trPr>
        <w:tc>
          <w:tcPr>
            <w:tcW w:w="11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16977B5"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C5</w:t>
            </w:r>
          </w:p>
        </w:tc>
        <w:tc>
          <w:tcPr>
            <w:tcW w:w="27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6220491" w14:textId="77777777" w:rsidR="00845B6C" w:rsidRPr="003B3BAE" w:rsidRDefault="009B2F58">
            <w:pPr>
              <w:spacing w:after="0" w:line="240" w:lineRule="auto"/>
              <w:jc w:val="center"/>
              <w:rPr>
                <w:rFonts w:ascii="Times New Roman" w:hAnsi="Times New Roman"/>
                <w:sz w:val="20"/>
                <w:szCs w:val="20"/>
              </w:rPr>
            </w:pPr>
            <w:r w:rsidRPr="003B3BAE">
              <w:rPr>
                <w:rFonts w:ascii="Times New Roman" w:hAnsi="Times New Roman"/>
                <w:sz w:val="20"/>
                <w:szCs w:val="20"/>
              </w:rPr>
              <w:t>Position dans le CAC40</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15EFCA" w14:textId="77777777" w:rsidR="00845B6C" w:rsidRPr="003B3BAE" w:rsidRDefault="009B2F58">
            <w:pPr>
              <w:spacing w:after="0" w:line="240" w:lineRule="auto"/>
              <w:jc w:val="center"/>
              <w:rPr>
                <w:rFonts w:ascii="Times New Roman" w:hAnsi="Times New Roman"/>
                <w:sz w:val="20"/>
                <w:szCs w:val="20"/>
              </w:rPr>
            </w:pPr>
            <w:r w:rsidRPr="003B3BAE">
              <w:rPr>
                <w:rFonts w:ascii="Times New Roman" w:hAnsi="Times New Roman"/>
                <w:sz w:val="20"/>
                <w:szCs w:val="20"/>
              </w:rPr>
              <w:t>Anormalité des volumes</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CEC4E" w14:textId="77777777" w:rsidR="00845B6C" w:rsidRPr="003B3BAE" w:rsidRDefault="009B2F58">
            <w:pPr>
              <w:spacing w:after="0" w:line="240" w:lineRule="auto"/>
              <w:jc w:val="center"/>
              <w:rPr>
                <w:rFonts w:ascii="Times New Roman" w:hAnsi="Times New Roman"/>
                <w:sz w:val="20"/>
                <w:szCs w:val="20"/>
              </w:rPr>
            </w:pPr>
            <w:r w:rsidRPr="003B3BAE">
              <w:rPr>
                <w:rFonts w:ascii="Times New Roman" w:hAnsi="Times New Roman"/>
                <w:sz w:val="20"/>
                <w:szCs w:val="20"/>
              </w:rPr>
              <w:t>C6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223099" w14:textId="77777777" w:rsidR="00845B6C" w:rsidRPr="003B3BAE" w:rsidRDefault="009B2F58">
            <w:pPr>
              <w:spacing w:after="0" w:line="240" w:lineRule="auto"/>
              <w:jc w:val="center"/>
              <w:rPr>
                <w:rFonts w:ascii="Times New Roman" w:hAnsi="Times New Roman"/>
                <w:sz w:val="20"/>
                <w:szCs w:val="20"/>
              </w:rPr>
            </w:pPr>
            <w:r w:rsidRPr="003B3BAE">
              <w:rPr>
                <w:rFonts w:ascii="Times New Roman" w:hAnsi="Times New Roman"/>
                <w:sz w:val="20"/>
                <w:szCs w:val="20"/>
              </w:rPr>
              <w:t>Position dans le CAC40</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F2343" w14:textId="77777777" w:rsidR="00845B6C" w:rsidRPr="003B3BAE" w:rsidRDefault="009B2F58">
            <w:pPr>
              <w:spacing w:after="0" w:line="240" w:lineRule="auto"/>
              <w:jc w:val="center"/>
              <w:rPr>
                <w:rFonts w:ascii="Times New Roman" w:hAnsi="Times New Roman"/>
                <w:sz w:val="20"/>
                <w:szCs w:val="20"/>
              </w:rPr>
            </w:pPr>
            <w:r w:rsidRPr="003B3BAE">
              <w:rPr>
                <w:rFonts w:ascii="Times New Roman" w:hAnsi="Times New Roman"/>
                <w:sz w:val="20"/>
                <w:szCs w:val="20"/>
              </w:rPr>
              <w:t>Anormalité des volumes</w:t>
            </w:r>
          </w:p>
        </w:tc>
      </w:tr>
      <w:tr w:rsidR="00845B6C" w14:paraId="480307E2" w14:textId="77777777">
        <w:trPr>
          <w:trHeight w:val="300"/>
        </w:trPr>
        <w:tc>
          <w:tcPr>
            <w:tcW w:w="11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3E88828"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1</w:t>
            </w:r>
          </w:p>
        </w:tc>
        <w:tc>
          <w:tcPr>
            <w:tcW w:w="27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ABC4A09"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39</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11D80" w14:textId="77777777" w:rsidR="00845B6C" w:rsidRPr="003B3BAE" w:rsidRDefault="009B2F58">
            <w:pPr>
              <w:spacing w:after="0" w:line="240" w:lineRule="auto"/>
              <w:ind w:left="720"/>
              <w:jc w:val="center"/>
              <w:rPr>
                <w:rFonts w:ascii="Times New Roman" w:hAnsi="Times New Roman"/>
                <w:sz w:val="20"/>
                <w:szCs w:val="20"/>
              </w:rPr>
            </w:pPr>
            <w:r w:rsidRPr="003B3BAE">
              <w:rPr>
                <w:rFonts w:ascii="Times New Roman" w:hAnsi="Times New Roman"/>
                <w:sz w:val="20"/>
                <w:szCs w:val="20"/>
              </w:rPr>
              <w:t>-0,3511</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5965D"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61F9D"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40</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79BDA" w14:textId="77777777" w:rsidR="00845B6C" w:rsidRPr="003B3BAE" w:rsidRDefault="009B2F58">
            <w:pPr>
              <w:spacing w:after="0" w:line="240" w:lineRule="auto"/>
              <w:ind w:left="720"/>
              <w:jc w:val="center"/>
              <w:rPr>
                <w:rFonts w:ascii="Times New Roman" w:hAnsi="Times New Roman"/>
                <w:sz w:val="20"/>
                <w:szCs w:val="20"/>
              </w:rPr>
            </w:pPr>
            <w:r w:rsidRPr="003B3BAE">
              <w:rPr>
                <w:rFonts w:ascii="Times New Roman" w:hAnsi="Times New Roman"/>
                <w:sz w:val="20"/>
                <w:szCs w:val="20"/>
              </w:rPr>
              <w:t>-0,3</w:t>
            </w:r>
          </w:p>
        </w:tc>
      </w:tr>
      <w:tr w:rsidR="00845B6C" w14:paraId="6A21422D" w14:textId="77777777">
        <w:trPr>
          <w:trHeight w:val="300"/>
        </w:trPr>
        <w:tc>
          <w:tcPr>
            <w:tcW w:w="11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7525586"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2</w:t>
            </w:r>
          </w:p>
        </w:tc>
        <w:tc>
          <w:tcPr>
            <w:tcW w:w="27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CA7C926"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1</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DC9DFA" w14:textId="77777777" w:rsidR="00845B6C" w:rsidRPr="003B3BAE" w:rsidRDefault="009B2F58">
            <w:pPr>
              <w:spacing w:after="0" w:line="240" w:lineRule="auto"/>
              <w:ind w:left="720"/>
              <w:jc w:val="center"/>
              <w:rPr>
                <w:rFonts w:ascii="Times New Roman" w:hAnsi="Times New Roman"/>
                <w:sz w:val="20"/>
                <w:szCs w:val="20"/>
              </w:rPr>
            </w:pPr>
            <w:r w:rsidRPr="003B3BAE">
              <w:rPr>
                <w:rFonts w:ascii="Times New Roman" w:hAnsi="Times New Roman"/>
                <w:sz w:val="20"/>
                <w:szCs w:val="20"/>
              </w:rPr>
              <w:t>0,396</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584AB"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F6FE9"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38</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504AD" w14:textId="77777777" w:rsidR="00845B6C" w:rsidRPr="003B3BAE" w:rsidRDefault="009B2F58">
            <w:pPr>
              <w:spacing w:after="0" w:line="240" w:lineRule="auto"/>
              <w:ind w:left="720"/>
              <w:jc w:val="center"/>
              <w:rPr>
                <w:rFonts w:ascii="Times New Roman" w:hAnsi="Times New Roman"/>
                <w:sz w:val="20"/>
                <w:szCs w:val="20"/>
              </w:rPr>
            </w:pPr>
            <w:r w:rsidRPr="003B3BAE">
              <w:rPr>
                <w:rFonts w:ascii="Times New Roman" w:hAnsi="Times New Roman"/>
                <w:sz w:val="20"/>
                <w:szCs w:val="20"/>
              </w:rPr>
              <w:t>0,6011</w:t>
            </w:r>
          </w:p>
        </w:tc>
      </w:tr>
      <w:tr w:rsidR="00845B6C" w14:paraId="29E5DA28" w14:textId="77777777">
        <w:trPr>
          <w:trHeight w:val="300"/>
        </w:trPr>
        <w:tc>
          <w:tcPr>
            <w:tcW w:w="11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8F4B6AE"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3</w:t>
            </w:r>
          </w:p>
        </w:tc>
        <w:tc>
          <w:tcPr>
            <w:tcW w:w="27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F10EE20"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3</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C3550" w14:textId="77777777" w:rsidR="00845B6C" w:rsidRPr="003B3BAE" w:rsidRDefault="009B2F58">
            <w:pPr>
              <w:spacing w:after="0" w:line="240" w:lineRule="auto"/>
              <w:ind w:left="720"/>
              <w:jc w:val="center"/>
              <w:rPr>
                <w:rFonts w:ascii="Times New Roman" w:hAnsi="Times New Roman"/>
                <w:sz w:val="20"/>
                <w:szCs w:val="20"/>
              </w:rPr>
            </w:pPr>
            <w:r w:rsidRPr="003B3BAE">
              <w:rPr>
                <w:rFonts w:ascii="Times New Roman" w:hAnsi="Times New Roman"/>
                <w:sz w:val="20"/>
                <w:szCs w:val="20"/>
              </w:rPr>
              <w:t>-0,1291</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E62948"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AAC96"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28</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4BD2E1" w14:textId="77777777" w:rsidR="00845B6C" w:rsidRPr="003B3BAE" w:rsidRDefault="009B2F58">
            <w:pPr>
              <w:spacing w:after="0" w:line="240" w:lineRule="auto"/>
              <w:ind w:left="720"/>
              <w:jc w:val="center"/>
              <w:rPr>
                <w:rFonts w:ascii="Times New Roman" w:hAnsi="Times New Roman"/>
                <w:sz w:val="20"/>
                <w:szCs w:val="20"/>
              </w:rPr>
            </w:pPr>
            <w:r w:rsidRPr="003B3BAE">
              <w:rPr>
                <w:rFonts w:ascii="Times New Roman" w:hAnsi="Times New Roman"/>
                <w:sz w:val="20"/>
                <w:szCs w:val="20"/>
              </w:rPr>
              <w:t>-0,1936</w:t>
            </w:r>
          </w:p>
        </w:tc>
      </w:tr>
      <w:tr w:rsidR="00845B6C" w14:paraId="34F7C5B1" w14:textId="77777777">
        <w:trPr>
          <w:trHeight w:val="300"/>
        </w:trPr>
        <w:tc>
          <w:tcPr>
            <w:tcW w:w="11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EEF0E4"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lastRenderedPageBreak/>
              <w:t>4</w:t>
            </w:r>
          </w:p>
        </w:tc>
        <w:tc>
          <w:tcPr>
            <w:tcW w:w="27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69C5C27"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35</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831C9" w14:textId="77777777" w:rsidR="00845B6C" w:rsidRPr="003B3BAE" w:rsidRDefault="009B2F58">
            <w:pPr>
              <w:spacing w:after="0" w:line="240" w:lineRule="auto"/>
              <w:ind w:left="720"/>
              <w:jc w:val="center"/>
              <w:rPr>
                <w:rFonts w:ascii="Times New Roman" w:hAnsi="Times New Roman"/>
                <w:sz w:val="20"/>
                <w:szCs w:val="20"/>
              </w:rPr>
            </w:pPr>
            <w:r w:rsidRPr="003B3BAE">
              <w:rPr>
                <w:rFonts w:ascii="Times New Roman" w:hAnsi="Times New Roman"/>
                <w:sz w:val="20"/>
                <w:szCs w:val="20"/>
              </w:rPr>
              <w:t>-0,4229</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AE254"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9A973"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20</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E68135" w14:textId="77777777" w:rsidR="00845B6C" w:rsidRPr="003B3BAE" w:rsidRDefault="009B2F58">
            <w:pPr>
              <w:spacing w:after="0" w:line="240" w:lineRule="auto"/>
              <w:ind w:left="720"/>
              <w:jc w:val="center"/>
              <w:rPr>
                <w:rFonts w:ascii="Times New Roman" w:hAnsi="Times New Roman"/>
                <w:sz w:val="20"/>
                <w:szCs w:val="20"/>
              </w:rPr>
            </w:pPr>
            <w:r w:rsidRPr="003B3BAE">
              <w:rPr>
                <w:rFonts w:ascii="Times New Roman" w:hAnsi="Times New Roman"/>
                <w:sz w:val="20"/>
                <w:szCs w:val="20"/>
              </w:rPr>
              <w:t>-0,1797</w:t>
            </w:r>
          </w:p>
        </w:tc>
      </w:tr>
      <w:tr w:rsidR="00845B6C" w14:paraId="54503000" w14:textId="77777777">
        <w:trPr>
          <w:trHeight w:val="300"/>
        </w:trPr>
        <w:tc>
          <w:tcPr>
            <w:tcW w:w="11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067DF4F"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5</w:t>
            </w:r>
          </w:p>
        </w:tc>
        <w:tc>
          <w:tcPr>
            <w:tcW w:w="27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BEEA287"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23</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E042A" w14:textId="77777777" w:rsidR="00845B6C" w:rsidRPr="003B3BAE" w:rsidRDefault="009B2F58">
            <w:pPr>
              <w:spacing w:after="0" w:line="240" w:lineRule="auto"/>
              <w:ind w:left="720"/>
              <w:jc w:val="center"/>
              <w:rPr>
                <w:rFonts w:ascii="Times New Roman" w:hAnsi="Times New Roman"/>
                <w:sz w:val="20"/>
                <w:szCs w:val="20"/>
              </w:rPr>
            </w:pPr>
            <w:r w:rsidRPr="003B3BAE">
              <w:rPr>
                <w:rFonts w:ascii="Times New Roman" w:hAnsi="Times New Roman"/>
                <w:sz w:val="20"/>
                <w:szCs w:val="20"/>
              </w:rPr>
              <w:t>-0,025</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2810C"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D6F44"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33</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26F99" w14:textId="77777777" w:rsidR="00845B6C" w:rsidRPr="003B3BAE" w:rsidRDefault="009B2F58">
            <w:pPr>
              <w:spacing w:after="0" w:line="240" w:lineRule="auto"/>
              <w:ind w:left="720"/>
              <w:jc w:val="center"/>
              <w:rPr>
                <w:rFonts w:ascii="Times New Roman" w:hAnsi="Times New Roman"/>
                <w:sz w:val="20"/>
                <w:szCs w:val="20"/>
              </w:rPr>
            </w:pPr>
            <w:r w:rsidRPr="003B3BAE">
              <w:rPr>
                <w:rFonts w:ascii="Times New Roman" w:hAnsi="Times New Roman"/>
                <w:sz w:val="20"/>
                <w:szCs w:val="20"/>
              </w:rPr>
              <w:t>-0,0124</w:t>
            </w:r>
          </w:p>
        </w:tc>
      </w:tr>
      <w:tr w:rsidR="00845B6C" w14:paraId="6B60F645" w14:textId="77777777">
        <w:trPr>
          <w:trHeight w:val="300"/>
        </w:trPr>
        <w:tc>
          <w:tcPr>
            <w:tcW w:w="11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4E4DBD" w14:textId="77777777" w:rsidR="00845B6C" w:rsidRPr="003B3BAE" w:rsidRDefault="009B2F58">
            <w:pPr>
              <w:spacing w:after="0" w:line="240" w:lineRule="auto"/>
              <w:jc w:val="center"/>
              <w:rPr>
                <w:rFonts w:ascii="Times New Roman" w:hAnsi="Times New Roman"/>
                <w:sz w:val="20"/>
                <w:szCs w:val="20"/>
              </w:rPr>
            </w:pPr>
            <w:r w:rsidRPr="003B3BAE">
              <w:rPr>
                <w:rFonts w:ascii="Times New Roman" w:hAnsi="Times New Roman"/>
                <w:sz w:val="20"/>
                <w:szCs w:val="20"/>
              </w:rPr>
              <w:t>C7</w:t>
            </w:r>
          </w:p>
        </w:tc>
        <w:tc>
          <w:tcPr>
            <w:tcW w:w="27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E09080E" w14:textId="77777777" w:rsidR="00845B6C" w:rsidRPr="003B3BAE" w:rsidRDefault="009B2F58">
            <w:pPr>
              <w:spacing w:after="0" w:line="240" w:lineRule="auto"/>
              <w:jc w:val="center"/>
              <w:rPr>
                <w:rFonts w:ascii="Times New Roman" w:hAnsi="Times New Roman"/>
                <w:sz w:val="20"/>
                <w:szCs w:val="20"/>
              </w:rPr>
            </w:pPr>
            <w:r w:rsidRPr="003B3BAE">
              <w:rPr>
                <w:rFonts w:ascii="Times New Roman" w:hAnsi="Times New Roman"/>
                <w:sz w:val="20"/>
                <w:szCs w:val="20"/>
              </w:rPr>
              <w:t>Position dans le CAC40</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6C400" w14:textId="77777777" w:rsidR="00845B6C" w:rsidRPr="003B3BAE" w:rsidRDefault="009B2F58">
            <w:pPr>
              <w:spacing w:after="0" w:line="240" w:lineRule="auto"/>
              <w:jc w:val="center"/>
              <w:rPr>
                <w:rFonts w:ascii="Times New Roman" w:hAnsi="Times New Roman"/>
                <w:sz w:val="20"/>
                <w:szCs w:val="20"/>
              </w:rPr>
            </w:pPr>
            <w:r w:rsidRPr="003B3BAE">
              <w:rPr>
                <w:rFonts w:ascii="Times New Roman" w:hAnsi="Times New Roman"/>
                <w:sz w:val="20"/>
                <w:szCs w:val="20"/>
              </w:rPr>
              <w:t>Anormalité des volumes</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9EF58" w14:textId="77777777" w:rsidR="00845B6C" w:rsidRPr="003B3BAE" w:rsidRDefault="009B2F58">
            <w:pPr>
              <w:spacing w:after="0" w:line="240" w:lineRule="auto"/>
              <w:jc w:val="center"/>
              <w:rPr>
                <w:rFonts w:ascii="Times New Roman" w:hAnsi="Times New Roman"/>
                <w:sz w:val="20"/>
                <w:szCs w:val="20"/>
              </w:rPr>
            </w:pPr>
            <w:r w:rsidRPr="003B3BAE">
              <w:rPr>
                <w:rFonts w:ascii="Times New Roman" w:hAnsi="Times New Roman"/>
                <w:sz w:val="20"/>
                <w:szCs w:val="20"/>
              </w:rPr>
              <w:t>C8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FD76A" w14:textId="77777777" w:rsidR="00845B6C" w:rsidRPr="003B3BAE" w:rsidRDefault="009B2F58">
            <w:pPr>
              <w:spacing w:after="0" w:line="240" w:lineRule="auto"/>
              <w:jc w:val="center"/>
              <w:rPr>
                <w:rFonts w:ascii="Times New Roman" w:hAnsi="Times New Roman"/>
                <w:sz w:val="20"/>
                <w:szCs w:val="20"/>
              </w:rPr>
            </w:pPr>
            <w:r w:rsidRPr="003B3BAE">
              <w:rPr>
                <w:rFonts w:ascii="Times New Roman" w:hAnsi="Times New Roman"/>
                <w:sz w:val="20"/>
                <w:szCs w:val="20"/>
              </w:rPr>
              <w:t>Position dans le CAC40</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7CC30" w14:textId="77777777" w:rsidR="00845B6C" w:rsidRPr="003B3BAE" w:rsidRDefault="009B2F58">
            <w:pPr>
              <w:spacing w:after="0" w:line="240" w:lineRule="auto"/>
              <w:jc w:val="center"/>
              <w:rPr>
                <w:rFonts w:ascii="Times New Roman" w:hAnsi="Times New Roman"/>
                <w:sz w:val="20"/>
                <w:szCs w:val="20"/>
              </w:rPr>
            </w:pPr>
            <w:r w:rsidRPr="003B3BAE">
              <w:rPr>
                <w:rFonts w:ascii="Times New Roman" w:hAnsi="Times New Roman"/>
                <w:sz w:val="20"/>
                <w:szCs w:val="20"/>
              </w:rPr>
              <w:t>Anormalité des volumes</w:t>
            </w:r>
          </w:p>
        </w:tc>
      </w:tr>
      <w:tr w:rsidR="00845B6C" w14:paraId="58FFB9C5" w14:textId="77777777">
        <w:trPr>
          <w:trHeight w:val="300"/>
        </w:trPr>
        <w:tc>
          <w:tcPr>
            <w:tcW w:w="11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D4B50C"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1</w:t>
            </w:r>
          </w:p>
        </w:tc>
        <w:tc>
          <w:tcPr>
            <w:tcW w:w="27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8324A20"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40</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529362" w14:textId="77777777" w:rsidR="00845B6C" w:rsidRPr="003B3BAE" w:rsidRDefault="009B2F58">
            <w:pPr>
              <w:spacing w:after="0" w:line="240" w:lineRule="auto"/>
              <w:ind w:left="720"/>
              <w:jc w:val="center"/>
              <w:rPr>
                <w:rFonts w:ascii="Times New Roman" w:hAnsi="Times New Roman"/>
                <w:sz w:val="20"/>
                <w:szCs w:val="20"/>
              </w:rPr>
            </w:pPr>
            <w:r w:rsidRPr="003B3BAE">
              <w:rPr>
                <w:rFonts w:ascii="Times New Roman" w:hAnsi="Times New Roman"/>
                <w:sz w:val="20"/>
                <w:szCs w:val="20"/>
              </w:rPr>
              <w:t>-0,3</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CD458"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B0138"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3</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8AA599" w14:textId="77777777" w:rsidR="00845B6C" w:rsidRPr="003B3BAE" w:rsidRDefault="009B2F58">
            <w:pPr>
              <w:spacing w:after="0" w:line="240" w:lineRule="auto"/>
              <w:ind w:left="720"/>
              <w:jc w:val="center"/>
              <w:rPr>
                <w:rFonts w:ascii="Times New Roman" w:hAnsi="Times New Roman"/>
                <w:sz w:val="20"/>
                <w:szCs w:val="20"/>
              </w:rPr>
            </w:pPr>
            <w:r w:rsidRPr="003B3BAE">
              <w:rPr>
                <w:rFonts w:ascii="Times New Roman" w:hAnsi="Times New Roman"/>
                <w:sz w:val="20"/>
                <w:szCs w:val="20"/>
              </w:rPr>
              <w:t>-0,1291</w:t>
            </w:r>
          </w:p>
        </w:tc>
      </w:tr>
      <w:tr w:rsidR="00845B6C" w14:paraId="60866B49" w14:textId="77777777">
        <w:trPr>
          <w:trHeight w:val="300"/>
        </w:trPr>
        <w:tc>
          <w:tcPr>
            <w:tcW w:w="11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5869694"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2</w:t>
            </w:r>
          </w:p>
        </w:tc>
        <w:tc>
          <w:tcPr>
            <w:tcW w:w="27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74B87B3"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33</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1D95C" w14:textId="77777777" w:rsidR="00845B6C" w:rsidRPr="003B3BAE" w:rsidRDefault="009B2F58">
            <w:pPr>
              <w:spacing w:after="0" w:line="240" w:lineRule="auto"/>
              <w:ind w:left="720"/>
              <w:jc w:val="center"/>
              <w:rPr>
                <w:rFonts w:ascii="Times New Roman" w:hAnsi="Times New Roman"/>
                <w:sz w:val="20"/>
                <w:szCs w:val="20"/>
              </w:rPr>
            </w:pPr>
            <w:r w:rsidRPr="003B3BAE">
              <w:rPr>
                <w:rFonts w:ascii="Times New Roman" w:hAnsi="Times New Roman"/>
                <w:sz w:val="20"/>
                <w:szCs w:val="20"/>
              </w:rPr>
              <w:t>-0,0124</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1C77AA"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7750B"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32</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2215C" w14:textId="77777777" w:rsidR="00845B6C" w:rsidRPr="003B3BAE" w:rsidRDefault="009B2F58">
            <w:pPr>
              <w:spacing w:after="0" w:line="240" w:lineRule="auto"/>
              <w:ind w:left="720"/>
              <w:jc w:val="center"/>
              <w:rPr>
                <w:rFonts w:ascii="Times New Roman" w:hAnsi="Times New Roman"/>
                <w:sz w:val="20"/>
                <w:szCs w:val="20"/>
              </w:rPr>
            </w:pPr>
            <w:r w:rsidRPr="003B3BAE">
              <w:rPr>
                <w:rFonts w:ascii="Times New Roman" w:hAnsi="Times New Roman"/>
                <w:sz w:val="20"/>
                <w:szCs w:val="20"/>
              </w:rPr>
              <w:t>-0,1249</w:t>
            </w:r>
          </w:p>
        </w:tc>
      </w:tr>
      <w:tr w:rsidR="00845B6C" w14:paraId="60A56F44" w14:textId="77777777">
        <w:trPr>
          <w:trHeight w:val="300"/>
        </w:trPr>
        <w:tc>
          <w:tcPr>
            <w:tcW w:w="11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CEB773"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3</w:t>
            </w:r>
          </w:p>
        </w:tc>
        <w:tc>
          <w:tcPr>
            <w:tcW w:w="27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86067C7"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38</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A358F" w14:textId="77777777" w:rsidR="00845B6C" w:rsidRPr="003B3BAE" w:rsidRDefault="009B2F58">
            <w:pPr>
              <w:spacing w:after="0" w:line="240" w:lineRule="auto"/>
              <w:ind w:left="720"/>
              <w:jc w:val="center"/>
              <w:rPr>
                <w:rFonts w:ascii="Times New Roman" w:hAnsi="Times New Roman"/>
                <w:sz w:val="20"/>
                <w:szCs w:val="20"/>
              </w:rPr>
            </w:pPr>
            <w:r w:rsidRPr="003B3BAE">
              <w:rPr>
                <w:rFonts w:ascii="Times New Roman" w:hAnsi="Times New Roman"/>
                <w:sz w:val="20"/>
                <w:szCs w:val="20"/>
              </w:rPr>
              <w:t>0,6011</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655085"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EC02E"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1</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AF7197" w14:textId="77777777" w:rsidR="00845B6C" w:rsidRPr="003B3BAE" w:rsidRDefault="009B2F58">
            <w:pPr>
              <w:spacing w:after="0" w:line="240" w:lineRule="auto"/>
              <w:ind w:left="720"/>
              <w:jc w:val="center"/>
              <w:rPr>
                <w:rFonts w:ascii="Times New Roman" w:hAnsi="Times New Roman"/>
                <w:sz w:val="20"/>
                <w:szCs w:val="20"/>
              </w:rPr>
            </w:pPr>
            <w:r w:rsidRPr="003B3BAE">
              <w:rPr>
                <w:rFonts w:ascii="Times New Roman" w:hAnsi="Times New Roman"/>
                <w:sz w:val="20"/>
                <w:szCs w:val="20"/>
              </w:rPr>
              <w:t>0,396</w:t>
            </w:r>
          </w:p>
        </w:tc>
      </w:tr>
      <w:tr w:rsidR="00845B6C" w14:paraId="216E0814" w14:textId="77777777">
        <w:trPr>
          <w:trHeight w:val="300"/>
        </w:trPr>
        <w:tc>
          <w:tcPr>
            <w:tcW w:w="11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5AA737F"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4</w:t>
            </w:r>
          </w:p>
        </w:tc>
        <w:tc>
          <w:tcPr>
            <w:tcW w:w="27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71DA947"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39</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3CFFB" w14:textId="77777777" w:rsidR="00845B6C" w:rsidRPr="003B3BAE" w:rsidRDefault="009B2F58">
            <w:pPr>
              <w:spacing w:after="0" w:line="240" w:lineRule="auto"/>
              <w:ind w:left="720"/>
              <w:jc w:val="center"/>
              <w:rPr>
                <w:rFonts w:ascii="Times New Roman" w:hAnsi="Times New Roman"/>
                <w:sz w:val="20"/>
                <w:szCs w:val="20"/>
              </w:rPr>
            </w:pPr>
            <w:r w:rsidRPr="003B3BAE">
              <w:rPr>
                <w:rFonts w:ascii="Times New Roman" w:hAnsi="Times New Roman"/>
                <w:sz w:val="20"/>
                <w:szCs w:val="20"/>
              </w:rPr>
              <w:t>-0,3511</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E72BA"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4194C"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40</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B3647" w14:textId="77777777" w:rsidR="00845B6C" w:rsidRPr="003B3BAE" w:rsidRDefault="009B2F58">
            <w:pPr>
              <w:spacing w:after="0" w:line="240" w:lineRule="auto"/>
              <w:ind w:left="720"/>
              <w:jc w:val="center"/>
              <w:rPr>
                <w:rFonts w:ascii="Times New Roman" w:hAnsi="Times New Roman"/>
                <w:sz w:val="20"/>
                <w:szCs w:val="20"/>
              </w:rPr>
            </w:pPr>
            <w:r w:rsidRPr="003B3BAE">
              <w:rPr>
                <w:rFonts w:ascii="Times New Roman" w:hAnsi="Times New Roman"/>
                <w:sz w:val="20"/>
                <w:szCs w:val="20"/>
              </w:rPr>
              <w:t>-0,3</w:t>
            </w:r>
          </w:p>
        </w:tc>
      </w:tr>
      <w:tr w:rsidR="00845B6C" w14:paraId="4E8702A3" w14:textId="77777777">
        <w:trPr>
          <w:trHeight w:val="300"/>
        </w:trPr>
        <w:tc>
          <w:tcPr>
            <w:tcW w:w="11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538A948"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5</w:t>
            </w:r>
          </w:p>
        </w:tc>
        <w:tc>
          <w:tcPr>
            <w:tcW w:w="27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9C2E39B"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25</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290D9" w14:textId="77777777" w:rsidR="00845B6C" w:rsidRPr="003B3BAE" w:rsidRDefault="009B2F58">
            <w:pPr>
              <w:spacing w:after="0" w:line="240" w:lineRule="auto"/>
              <w:ind w:left="720"/>
              <w:jc w:val="center"/>
              <w:rPr>
                <w:rFonts w:ascii="Times New Roman" w:hAnsi="Times New Roman"/>
                <w:sz w:val="20"/>
                <w:szCs w:val="20"/>
              </w:rPr>
            </w:pPr>
            <w:r w:rsidRPr="003B3BAE">
              <w:rPr>
                <w:rFonts w:ascii="Times New Roman" w:hAnsi="Times New Roman"/>
                <w:sz w:val="20"/>
                <w:szCs w:val="20"/>
              </w:rPr>
              <w:t>-0,2992</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9B78A5"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04B66" w14:textId="77777777" w:rsidR="00845B6C" w:rsidRPr="003B3BAE" w:rsidRDefault="009B2F58">
            <w:pPr>
              <w:spacing w:after="0" w:line="240" w:lineRule="auto"/>
              <w:ind w:left="708"/>
              <w:jc w:val="center"/>
              <w:rPr>
                <w:rFonts w:ascii="Times New Roman" w:hAnsi="Times New Roman"/>
                <w:sz w:val="20"/>
                <w:szCs w:val="20"/>
              </w:rPr>
            </w:pPr>
            <w:r w:rsidRPr="003B3BAE">
              <w:rPr>
                <w:rFonts w:ascii="Times New Roman" w:hAnsi="Times New Roman"/>
                <w:sz w:val="20"/>
                <w:szCs w:val="20"/>
              </w:rPr>
              <w:t>28</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972D3" w14:textId="77777777" w:rsidR="00845B6C" w:rsidRPr="003B3BAE" w:rsidRDefault="009B2F58">
            <w:pPr>
              <w:spacing w:after="0" w:line="240" w:lineRule="auto"/>
              <w:ind w:left="720"/>
              <w:jc w:val="center"/>
              <w:rPr>
                <w:rFonts w:ascii="Times New Roman" w:hAnsi="Times New Roman"/>
                <w:sz w:val="20"/>
                <w:szCs w:val="20"/>
              </w:rPr>
            </w:pPr>
            <w:r w:rsidRPr="003B3BAE">
              <w:rPr>
                <w:rFonts w:ascii="Times New Roman" w:hAnsi="Times New Roman"/>
                <w:sz w:val="20"/>
                <w:szCs w:val="20"/>
              </w:rPr>
              <w:t>-0,1936</w:t>
            </w:r>
          </w:p>
        </w:tc>
      </w:tr>
    </w:tbl>
    <w:p w14:paraId="2C7CF5F7" w14:textId="77777777" w:rsidR="00845B6C" w:rsidRDefault="00845B6C">
      <w:pPr>
        <w:spacing w:line="240" w:lineRule="auto"/>
        <w:ind w:left="708"/>
        <w:jc w:val="both"/>
        <w:rPr>
          <w:sz w:val="26"/>
          <w:szCs w:val="26"/>
        </w:rPr>
      </w:pPr>
    </w:p>
    <w:p w14:paraId="50F4DAE6" w14:textId="77777777" w:rsidR="00845B6C" w:rsidRPr="00ED72B8" w:rsidRDefault="009B2F58">
      <w:pPr>
        <w:spacing w:line="240" w:lineRule="auto"/>
        <w:jc w:val="both"/>
        <w:rPr>
          <w:rFonts w:ascii="Times New Roman" w:hAnsi="Times New Roman"/>
          <w:b/>
          <w:bCs/>
          <w:u w:val="single"/>
        </w:rPr>
      </w:pPr>
      <w:r w:rsidRPr="00ED72B8">
        <w:rPr>
          <w:rFonts w:ascii="Times New Roman" w:hAnsi="Times New Roman"/>
          <w:b/>
          <w:bCs/>
          <w:u w:val="single"/>
        </w:rPr>
        <w:t>Annexe 2 : valorisation des portefeuilles en fin d’expérimentation</w:t>
      </w:r>
    </w:p>
    <w:tbl>
      <w:tblPr>
        <w:tblW w:w="10060" w:type="dxa"/>
        <w:tblCellMar>
          <w:left w:w="10" w:type="dxa"/>
          <w:right w:w="10" w:type="dxa"/>
        </w:tblCellMar>
        <w:tblLook w:val="04A0" w:firstRow="1" w:lastRow="0" w:firstColumn="1" w:lastColumn="0" w:noHBand="0" w:noVBand="1"/>
      </w:tblPr>
      <w:tblGrid>
        <w:gridCol w:w="487"/>
        <w:gridCol w:w="1336"/>
        <w:gridCol w:w="1540"/>
        <w:gridCol w:w="1580"/>
        <w:gridCol w:w="1860"/>
        <w:gridCol w:w="1720"/>
        <w:gridCol w:w="1537"/>
      </w:tblGrid>
      <w:tr w:rsidR="00845B6C" w14:paraId="5F70C985" w14:textId="77777777">
        <w:trPr>
          <w:trHeight w:val="300"/>
        </w:trPr>
        <w:tc>
          <w:tcPr>
            <w:tcW w:w="4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C7E7F0C" w14:textId="77777777" w:rsidR="00845B6C" w:rsidRPr="003B3BAE" w:rsidRDefault="00845B6C">
            <w:pPr>
              <w:spacing w:line="240" w:lineRule="auto"/>
              <w:jc w:val="both"/>
              <w:rPr>
                <w:rFonts w:ascii="Times New Roman" w:hAnsi="Times New Roman"/>
                <w:sz w:val="20"/>
                <w:szCs w:val="20"/>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BDCD2DC" w14:textId="77777777" w:rsidR="00845B6C" w:rsidRPr="003B3BAE" w:rsidRDefault="009B2F58">
            <w:pPr>
              <w:spacing w:line="240" w:lineRule="auto"/>
              <w:jc w:val="both"/>
              <w:rPr>
                <w:rFonts w:ascii="Times New Roman" w:hAnsi="Times New Roman"/>
                <w:sz w:val="20"/>
                <w:szCs w:val="20"/>
              </w:rPr>
            </w:pPr>
            <w:proofErr w:type="gramStart"/>
            <w:r w:rsidRPr="003B3BAE">
              <w:rPr>
                <w:rFonts w:ascii="Times New Roman" w:hAnsi="Times New Roman"/>
                <w:sz w:val="20"/>
                <w:szCs w:val="20"/>
              </w:rPr>
              <w:t>valeur</w:t>
            </w:r>
            <w:proofErr w:type="gramEnd"/>
            <w:r w:rsidRPr="003B3BAE">
              <w:rPr>
                <w:rFonts w:ascii="Times New Roman" w:hAnsi="Times New Roman"/>
                <w:sz w:val="20"/>
                <w:szCs w:val="20"/>
              </w:rPr>
              <w:t xml:space="preserve"> finale</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1924A84" w14:textId="77777777" w:rsidR="00845B6C" w:rsidRPr="003B3BAE" w:rsidRDefault="009B2F58">
            <w:pPr>
              <w:spacing w:line="240" w:lineRule="auto"/>
              <w:jc w:val="both"/>
              <w:rPr>
                <w:rFonts w:ascii="Times New Roman" w:hAnsi="Times New Roman"/>
                <w:sz w:val="20"/>
                <w:szCs w:val="20"/>
              </w:rPr>
            </w:pPr>
            <w:proofErr w:type="gramStart"/>
            <w:r w:rsidRPr="003B3BAE">
              <w:rPr>
                <w:rFonts w:ascii="Times New Roman" w:hAnsi="Times New Roman"/>
                <w:sz w:val="20"/>
                <w:szCs w:val="20"/>
              </w:rPr>
              <w:t>variation</w:t>
            </w:r>
            <w:proofErr w:type="gramEnd"/>
            <w:r w:rsidRPr="003B3BAE">
              <w:rPr>
                <w:rFonts w:ascii="Times New Roman" w:hAnsi="Times New Roman"/>
                <w:sz w:val="20"/>
                <w:szCs w:val="20"/>
              </w:rPr>
              <w:t xml:space="preserve"> valeur</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44188E3" w14:textId="77777777" w:rsidR="00845B6C" w:rsidRPr="003B3BAE" w:rsidRDefault="009B2F58">
            <w:pPr>
              <w:spacing w:line="240" w:lineRule="auto"/>
              <w:jc w:val="both"/>
              <w:rPr>
                <w:rFonts w:ascii="Times New Roman" w:hAnsi="Times New Roman"/>
                <w:sz w:val="20"/>
                <w:szCs w:val="20"/>
              </w:rPr>
            </w:pPr>
            <w:proofErr w:type="gramStart"/>
            <w:r w:rsidRPr="003B3BAE">
              <w:rPr>
                <w:rFonts w:ascii="Times New Roman" w:hAnsi="Times New Roman"/>
                <w:sz w:val="20"/>
                <w:szCs w:val="20"/>
              </w:rPr>
              <w:t>variation</w:t>
            </w:r>
            <w:proofErr w:type="gramEnd"/>
            <w:r w:rsidRPr="003B3BAE">
              <w:rPr>
                <w:rFonts w:ascii="Times New Roman" w:hAnsi="Times New Roman"/>
                <w:sz w:val="20"/>
                <w:szCs w:val="20"/>
              </w:rPr>
              <w:t xml:space="preserve"> CAC 40</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12D4BA0" w14:textId="77777777" w:rsidR="00845B6C" w:rsidRPr="003B3BAE" w:rsidRDefault="009B2F58">
            <w:pPr>
              <w:spacing w:line="240" w:lineRule="auto"/>
              <w:jc w:val="both"/>
              <w:rPr>
                <w:rFonts w:ascii="Times New Roman" w:hAnsi="Times New Roman"/>
                <w:sz w:val="20"/>
                <w:szCs w:val="20"/>
              </w:rPr>
            </w:pPr>
            <w:proofErr w:type="gramStart"/>
            <w:r w:rsidRPr="003B3BAE">
              <w:rPr>
                <w:rFonts w:ascii="Times New Roman" w:hAnsi="Times New Roman"/>
                <w:sz w:val="20"/>
                <w:szCs w:val="20"/>
              </w:rPr>
              <w:t>variation</w:t>
            </w:r>
            <w:proofErr w:type="gramEnd"/>
            <w:r w:rsidRPr="003B3BAE">
              <w:rPr>
                <w:rFonts w:ascii="Times New Roman" w:hAnsi="Times New Roman"/>
                <w:sz w:val="20"/>
                <w:szCs w:val="20"/>
              </w:rPr>
              <w:t xml:space="preserve"> PTF initial</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1BB06D3"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Gain net / indice</w:t>
            </w:r>
          </w:p>
        </w:tc>
        <w:tc>
          <w:tcPr>
            <w:tcW w:w="15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F01B45A"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Gain net/ PTF initial</w:t>
            </w:r>
          </w:p>
        </w:tc>
      </w:tr>
      <w:tr w:rsidR="00845B6C" w14:paraId="0DFAAC73" w14:textId="77777777">
        <w:trPr>
          <w:trHeight w:val="300"/>
        </w:trPr>
        <w:tc>
          <w:tcPr>
            <w:tcW w:w="4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4EFD195"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C1</w:t>
            </w:r>
          </w:p>
        </w:tc>
        <w:tc>
          <w:tcPr>
            <w:tcW w:w="13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F47E192"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106260,64</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3A590D5"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0,0626</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1B1F959"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0,0189</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3B78720"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0,0027</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2C7AE84"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0,0437</w:t>
            </w:r>
          </w:p>
        </w:tc>
        <w:tc>
          <w:tcPr>
            <w:tcW w:w="15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17EF144"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0,0599</w:t>
            </w:r>
          </w:p>
        </w:tc>
      </w:tr>
      <w:tr w:rsidR="00845B6C" w14:paraId="3A12CC70" w14:textId="77777777">
        <w:trPr>
          <w:trHeight w:val="300"/>
        </w:trPr>
        <w:tc>
          <w:tcPr>
            <w:tcW w:w="4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4B67D16"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C2</w:t>
            </w:r>
          </w:p>
        </w:tc>
        <w:tc>
          <w:tcPr>
            <w:tcW w:w="13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7E98F81"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104193,38</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63331E3"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0,0419</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50DAC21"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0,0189</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8913F97"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0,0027</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7412FEA"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0,0230</w:t>
            </w:r>
          </w:p>
        </w:tc>
        <w:tc>
          <w:tcPr>
            <w:tcW w:w="15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AD7F65B"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0,0392</w:t>
            </w:r>
          </w:p>
        </w:tc>
      </w:tr>
      <w:tr w:rsidR="00845B6C" w14:paraId="74AC6F4F" w14:textId="77777777">
        <w:trPr>
          <w:trHeight w:val="300"/>
        </w:trPr>
        <w:tc>
          <w:tcPr>
            <w:tcW w:w="4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E39B42F" w14:textId="77777777" w:rsidR="00845B6C" w:rsidRPr="003B3BAE" w:rsidRDefault="009B2F58">
            <w:pPr>
              <w:spacing w:line="240" w:lineRule="auto"/>
              <w:jc w:val="both"/>
              <w:rPr>
                <w:rFonts w:ascii="Times New Roman" w:hAnsi="Times New Roman"/>
                <w:b/>
                <w:sz w:val="20"/>
                <w:szCs w:val="20"/>
              </w:rPr>
            </w:pPr>
            <w:r w:rsidRPr="003B3BAE">
              <w:rPr>
                <w:rFonts w:ascii="Times New Roman" w:hAnsi="Times New Roman"/>
                <w:b/>
                <w:sz w:val="20"/>
                <w:szCs w:val="20"/>
              </w:rPr>
              <w:t>C3</w:t>
            </w:r>
          </w:p>
        </w:tc>
        <w:tc>
          <w:tcPr>
            <w:tcW w:w="13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6C26491" w14:textId="77777777" w:rsidR="00845B6C" w:rsidRPr="003B3BAE" w:rsidRDefault="009B2F58">
            <w:pPr>
              <w:spacing w:line="240" w:lineRule="auto"/>
              <w:jc w:val="both"/>
              <w:rPr>
                <w:rFonts w:ascii="Times New Roman" w:hAnsi="Times New Roman"/>
                <w:b/>
                <w:sz w:val="20"/>
                <w:szCs w:val="20"/>
              </w:rPr>
            </w:pPr>
            <w:r w:rsidRPr="003B3BAE">
              <w:rPr>
                <w:rFonts w:ascii="Times New Roman" w:hAnsi="Times New Roman"/>
                <w:b/>
                <w:sz w:val="20"/>
                <w:szCs w:val="20"/>
              </w:rPr>
              <w:t>107714,76</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A98BAF5" w14:textId="77777777" w:rsidR="00845B6C" w:rsidRPr="003B3BAE" w:rsidRDefault="009B2F58">
            <w:pPr>
              <w:spacing w:line="240" w:lineRule="auto"/>
              <w:jc w:val="both"/>
              <w:rPr>
                <w:rFonts w:ascii="Times New Roman" w:hAnsi="Times New Roman"/>
                <w:b/>
                <w:sz w:val="20"/>
                <w:szCs w:val="20"/>
              </w:rPr>
            </w:pPr>
            <w:r w:rsidRPr="003B3BAE">
              <w:rPr>
                <w:rFonts w:ascii="Times New Roman" w:hAnsi="Times New Roman"/>
                <w:b/>
                <w:sz w:val="20"/>
                <w:szCs w:val="20"/>
              </w:rPr>
              <w:t>0,0771</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0493042" w14:textId="77777777" w:rsidR="00845B6C" w:rsidRPr="003B3BAE" w:rsidRDefault="009B2F58">
            <w:pPr>
              <w:spacing w:line="240" w:lineRule="auto"/>
              <w:jc w:val="both"/>
              <w:rPr>
                <w:rFonts w:ascii="Times New Roman" w:hAnsi="Times New Roman"/>
                <w:b/>
                <w:sz w:val="20"/>
                <w:szCs w:val="20"/>
              </w:rPr>
            </w:pPr>
            <w:r w:rsidRPr="003B3BAE">
              <w:rPr>
                <w:rFonts w:ascii="Times New Roman" w:hAnsi="Times New Roman"/>
                <w:b/>
                <w:sz w:val="20"/>
                <w:szCs w:val="20"/>
              </w:rPr>
              <w:t>0,0189</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2CD12FF" w14:textId="77777777" w:rsidR="00845B6C" w:rsidRPr="003B3BAE" w:rsidRDefault="009B2F58">
            <w:pPr>
              <w:spacing w:line="240" w:lineRule="auto"/>
              <w:jc w:val="both"/>
              <w:rPr>
                <w:rFonts w:ascii="Times New Roman" w:hAnsi="Times New Roman"/>
                <w:b/>
                <w:sz w:val="20"/>
                <w:szCs w:val="20"/>
              </w:rPr>
            </w:pPr>
            <w:r w:rsidRPr="003B3BAE">
              <w:rPr>
                <w:rFonts w:ascii="Times New Roman" w:hAnsi="Times New Roman"/>
                <w:b/>
                <w:sz w:val="20"/>
                <w:szCs w:val="20"/>
              </w:rPr>
              <w:t>0,0027</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05E6AE5" w14:textId="77777777" w:rsidR="00845B6C" w:rsidRPr="003B3BAE" w:rsidRDefault="009B2F58">
            <w:pPr>
              <w:spacing w:line="240" w:lineRule="auto"/>
              <w:jc w:val="both"/>
              <w:rPr>
                <w:rFonts w:ascii="Times New Roman" w:hAnsi="Times New Roman"/>
                <w:b/>
                <w:sz w:val="20"/>
                <w:szCs w:val="20"/>
              </w:rPr>
            </w:pPr>
            <w:r w:rsidRPr="003B3BAE">
              <w:rPr>
                <w:rFonts w:ascii="Times New Roman" w:hAnsi="Times New Roman"/>
                <w:b/>
                <w:sz w:val="20"/>
                <w:szCs w:val="20"/>
              </w:rPr>
              <w:t>0,0582</w:t>
            </w:r>
          </w:p>
        </w:tc>
        <w:tc>
          <w:tcPr>
            <w:tcW w:w="15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137CC7C" w14:textId="77777777" w:rsidR="00845B6C" w:rsidRPr="003B3BAE" w:rsidRDefault="009B2F58">
            <w:pPr>
              <w:spacing w:line="240" w:lineRule="auto"/>
              <w:jc w:val="both"/>
              <w:rPr>
                <w:rFonts w:ascii="Times New Roman" w:hAnsi="Times New Roman"/>
                <w:b/>
                <w:sz w:val="20"/>
                <w:szCs w:val="20"/>
              </w:rPr>
            </w:pPr>
            <w:r w:rsidRPr="003B3BAE">
              <w:rPr>
                <w:rFonts w:ascii="Times New Roman" w:hAnsi="Times New Roman"/>
                <w:b/>
                <w:sz w:val="20"/>
                <w:szCs w:val="20"/>
              </w:rPr>
              <w:t>0,0744</w:t>
            </w:r>
          </w:p>
        </w:tc>
      </w:tr>
      <w:tr w:rsidR="00845B6C" w14:paraId="1A47D00C" w14:textId="77777777">
        <w:trPr>
          <w:trHeight w:val="300"/>
        </w:trPr>
        <w:tc>
          <w:tcPr>
            <w:tcW w:w="4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63727BB"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C4</w:t>
            </w:r>
          </w:p>
        </w:tc>
        <w:tc>
          <w:tcPr>
            <w:tcW w:w="13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CFBF87D"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103003,63</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978BF28"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0,0300</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84A4304"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0,0189</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3F9AFFF"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0,0027</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CE17E4F"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0,0111</w:t>
            </w:r>
          </w:p>
        </w:tc>
        <w:tc>
          <w:tcPr>
            <w:tcW w:w="15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1B79124"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0,0273</w:t>
            </w:r>
          </w:p>
        </w:tc>
      </w:tr>
      <w:tr w:rsidR="00845B6C" w14:paraId="37097E6D" w14:textId="77777777">
        <w:trPr>
          <w:trHeight w:val="300"/>
        </w:trPr>
        <w:tc>
          <w:tcPr>
            <w:tcW w:w="4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0051827"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C5</w:t>
            </w:r>
          </w:p>
        </w:tc>
        <w:tc>
          <w:tcPr>
            <w:tcW w:w="13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E7C680E"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103523,17</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5B0E3C3"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0,0352</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E1E8149"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0,0189</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352B85E"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0,0027</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777C8BD"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0,0163</w:t>
            </w:r>
          </w:p>
        </w:tc>
        <w:tc>
          <w:tcPr>
            <w:tcW w:w="15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95CC54A"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0,0325</w:t>
            </w:r>
          </w:p>
        </w:tc>
      </w:tr>
      <w:tr w:rsidR="00845B6C" w14:paraId="6AACF374" w14:textId="77777777">
        <w:trPr>
          <w:trHeight w:val="300"/>
        </w:trPr>
        <w:tc>
          <w:tcPr>
            <w:tcW w:w="4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243ED93"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C6</w:t>
            </w:r>
          </w:p>
        </w:tc>
        <w:tc>
          <w:tcPr>
            <w:tcW w:w="13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2FDC8F1"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104144,77</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D12834B"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0,0414</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A43B87F"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0,0189</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309B3B0"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0,0027</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63F085C"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0,0225</w:t>
            </w:r>
          </w:p>
        </w:tc>
        <w:tc>
          <w:tcPr>
            <w:tcW w:w="15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B306559"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0,0387</w:t>
            </w:r>
          </w:p>
        </w:tc>
      </w:tr>
      <w:tr w:rsidR="00845B6C" w14:paraId="14255B8D" w14:textId="77777777">
        <w:trPr>
          <w:trHeight w:val="300"/>
        </w:trPr>
        <w:tc>
          <w:tcPr>
            <w:tcW w:w="4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804871B"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C7</w:t>
            </w:r>
          </w:p>
        </w:tc>
        <w:tc>
          <w:tcPr>
            <w:tcW w:w="13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0BFC1BE"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101360,40</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77872EF"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0,0136</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2DE1DA7"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0,0189</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E247FE9"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0,0027</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94BEB61"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-0,0053</w:t>
            </w:r>
          </w:p>
        </w:tc>
        <w:tc>
          <w:tcPr>
            <w:tcW w:w="15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091CAFF"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0,0109</w:t>
            </w:r>
          </w:p>
        </w:tc>
      </w:tr>
      <w:tr w:rsidR="00845B6C" w14:paraId="6DF447EB" w14:textId="77777777">
        <w:trPr>
          <w:trHeight w:val="300"/>
        </w:trPr>
        <w:tc>
          <w:tcPr>
            <w:tcW w:w="4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835EB90"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C8</w:t>
            </w:r>
          </w:p>
        </w:tc>
        <w:tc>
          <w:tcPr>
            <w:tcW w:w="13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79AEE1F"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101913,38</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DADEA04"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0,0191</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3F74B42"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0,0189</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10EF879"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0,0027</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65EF71A"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0,0002</w:t>
            </w:r>
          </w:p>
        </w:tc>
        <w:tc>
          <w:tcPr>
            <w:tcW w:w="15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3A5C51" w14:textId="77777777" w:rsidR="00845B6C" w:rsidRPr="003B3BAE" w:rsidRDefault="009B2F58">
            <w:pPr>
              <w:spacing w:line="240" w:lineRule="auto"/>
              <w:jc w:val="both"/>
              <w:rPr>
                <w:rFonts w:ascii="Times New Roman" w:hAnsi="Times New Roman"/>
                <w:sz w:val="20"/>
                <w:szCs w:val="20"/>
              </w:rPr>
            </w:pPr>
            <w:r w:rsidRPr="003B3BAE">
              <w:rPr>
                <w:rFonts w:ascii="Times New Roman" w:hAnsi="Times New Roman"/>
                <w:sz w:val="20"/>
                <w:szCs w:val="20"/>
              </w:rPr>
              <w:t>0,0164</w:t>
            </w:r>
          </w:p>
        </w:tc>
      </w:tr>
    </w:tbl>
    <w:p w14:paraId="4F7800ED" w14:textId="77777777" w:rsidR="00845B6C" w:rsidRDefault="00845B6C">
      <w:pPr>
        <w:spacing w:line="240" w:lineRule="auto"/>
        <w:jc w:val="both"/>
        <w:rPr>
          <w:sz w:val="26"/>
          <w:szCs w:val="26"/>
        </w:rPr>
      </w:pPr>
    </w:p>
    <w:p w14:paraId="49C855FE" w14:textId="77777777" w:rsidR="00845B6C" w:rsidRDefault="00845B6C">
      <w:pPr>
        <w:spacing w:line="240" w:lineRule="auto"/>
        <w:ind w:left="708"/>
        <w:jc w:val="both"/>
        <w:rPr>
          <w:sz w:val="26"/>
          <w:szCs w:val="26"/>
        </w:rPr>
      </w:pPr>
    </w:p>
    <w:p w14:paraId="2597DF92" w14:textId="77777777" w:rsidR="00845B6C" w:rsidRDefault="00845B6C">
      <w:pPr>
        <w:spacing w:line="240" w:lineRule="auto"/>
        <w:ind w:left="708"/>
        <w:jc w:val="both"/>
        <w:rPr>
          <w:sz w:val="26"/>
          <w:szCs w:val="26"/>
        </w:rPr>
      </w:pPr>
    </w:p>
    <w:sectPr w:rsidR="00845B6C">
      <w:footerReference w:type="default" r:id="rId7"/>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138C5" w14:textId="77777777" w:rsidR="00B400A3" w:rsidRDefault="00B400A3">
      <w:pPr>
        <w:spacing w:after="0" w:line="240" w:lineRule="auto"/>
      </w:pPr>
      <w:r>
        <w:separator/>
      </w:r>
    </w:p>
  </w:endnote>
  <w:endnote w:type="continuationSeparator" w:id="0">
    <w:p w14:paraId="6FAA8105" w14:textId="77777777" w:rsidR="00B400A3" w:rsidRDefault="00B40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9C79F" w14:textId="77777777" w:rsidR="009B2F58" w:rsidRDefault="009B2F58">
    <w:pPr>
      <w:pStyle w:val="Pieddepage"/>
      <w:jc w:val="right"/>
    </w:pPr>
    <w:r>
      <w:rPr>
        <w:lang w:val="fr-FR"/>
      </w:rPr>
      <w:fldChar w:fldCharType="begin"/>
    </w:r>
    <w:r>
      <w:rPr>
        <w:lang w:val="fr-FR"/>
      </w:rPr>
      <w:instrText xml:space="preserve"> PAGE </w:instrText>
    </w:r>
    <w:r>
      <w:rPr>
        <w:lang w:val="fr-FR"/>
      </w:rPr>
      <w:fldChar w:fldCharType="separate"/>
    </w:r>
    <w:r>
      <w:rPr>
        <w:lang w:val="fr-FR"/>
      </w:rPr>
      <w:t>1</w:t>
    </w:r>
    <w:r>
      <w:rPr>
        <w:lang w:val="fr-FR"/>
      </w:rPr>
      <w:fldChar w:fldCharType="end"/>
    </w:r>
  </w:p>
  <w:p w14:paraId="7FAC0B67" w14:textId="77777777" w:rsidR="009B2F58" w:rsidRDefault="009B2F5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3EDCE3" w14:textId="77777777" w:rsidR="00B400A3" w:rsidRDefault="00B400A3">
      <w:pPr>
        <w:spacing w:after="0" w:line="240" w:lineRule="auto"/>
      </w:pPr>
      <w:r>
        <w:rPr>
          <w:color w:val="000000"/>
        </w:rPr>
        <w:separator/>
      </w:r>
    </w:p>
  </w:footnote>
  <w:footnote w:type="continuationSeparator" w:id="0">
    <w:p w14:paraId="02482FA9" w14:textId="77777777" w:rsidR="00B400A3" w:rsidRDefault="00B400A3">
      <w:pPr>
        <w:spacing w:after="0" w:line="240" w:lineRule="auto"/>
      </w:pPr>
      <w:r>
        <w:continuationSeparator/>
      </w:r>
    </w:p>
  </w:footnote>
  <w:footnote w:id="1">
    <w:p w14:paraId="6611BD27" w14:textId="77777777" w:rsidR="009B2F58" w:rsidRPr="003B3BAE" w:rsidRDefault="009B2F58" w:rsidP="003B3BAE">
      <w:pPr>
        <w:pStyle w:val="Notedebasdepage"/>
        <w:jc w:val="both"/>
        <w:rPr>
          <w:rFonts w:ascii="Times New Roman" w:hAnsi="Times New Roman"/>
          <w:sz w:val="16"/>
          <w:szCs w:val="16"/>
        </w:rPr>
      </w:pPr>
      <w:r>
        <w:rPr>
          <w:rStyle w:val="Appelnotedebasdep"/>
        </w:rPr>
        <w:footnoteRef/>
      </w:r>
      <w:r>
        <w:t xml:space="preserve"> </w:t>
      </w:r>
      <w:r w:rsidRPr="003B3BAE">
        <w:rPr>
          <w:rFonts w:ascii="Times New Roman" w:hAnsi="Times New Roman"/>
          <w:sz w:val="16"/>
          <w:szCs w:val="16"/>
        </w:rPr>
        <w:t>Dans les deux mois qui ont précédé l’expérience, le CAC40 a ainsi perdu 1,63%</w:t>
      </w:r>
    </w:p>
  </w:footnote>
  <w:footnote w:id="2">
    <w:p w14:paraId="51926E56" w14:textId="454BC1A0" w:rsidR="009B2F58" w:rsidRPr="003B3BAE" w:rsidRDefault="009B2F58" w:rsidP="003B3BAE">
      <w:pPr>
        <w:pStyle w:val="Notedebasdepage"/>
        <w:jc w:val="both"/>
        <w:rPr>
          <w:rFonts w:ascii="Times New Roman" w:hAnsi="Times New Roman"/>
          <w:sz w:val="16"/>
          <w:szCs w:val="16"/>
        </w:rPr>
      </w:pPr>
      <w:r>
        <w:rPr>
          <w:rStyle w:val="Appelnotedebasdep"/>
        </w:rPr>
        <w:footnoteRef/>
      </w:r>
      <w:r>
        <w:t xml:space="preserve"> </w:t>
      </w:r>
      <w:r w:rsidRPr="003B3BAE">
        <w:rPr>
          <w:rFonts w:ascii="Times New Roman" w:hAnsi="Times New Roman"/>
          <w:sz w:val="16"/>
          <w:szCs w:val="16"/>
        </w:rPr>
        <w:t xml:space="preserve">Kering et Hermès ont gagné 6,15% sur la semaine, sans que cela ne soit associé à d’importantes transactions </w:t>
      </w:r>
    </w:p>
  </w:footnote>
  <w:footnote w:id="3">
    <w:p w14:paraId="799FCC07" w14:textId="77777777" w:rsidR="009B2F58" w:rsidRPr="003B3BAE" w:rsidRDefault="009B2F58" w:rsidP="003B3BAE">
      <w:pPr>
        <w:pStyle w:val="Notedebasdepage"/>
        <w:jc w:val="both"/>
        <w:rPr>
          <w:rFonts w:ascii="Times New Roman" w:hAnsi="Times New Roman"/>
          <w:sz w:val="16"/>
          <w:szCs w:val="16"/>
        </w:rPr>
      </w:pPr>
      <w:r w:rsidRPr="003B3BAE">
        <w:rPr>
          <w:rStyle w:val="Appelnotedebasdep"/>
          <w:rFonts w:ascii="Times New Roman" w:hAnsi="Times New Roman"/>
          <w:sz w:val="16"/>
          <w:szCs w:val="16"/>
        </w:rPr>
        <w:footnoteRef/>
      </w:r>
      <w:r w:rsidRPr="003B3BAE">
        <w:rPr>
          <w:rFonts w:ascii="Times New Roman" w:hAnsi="Times New Roman"/>
          <w:sz w:val="16"/>
          <w:szCs w:val="16"/>
        </w:rPr>
        <w:t xml:space="preserve"> n.v. pour non vérifié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438B9"/>
    <w:multiLevelType w:val="multilevel"/>
    <w:tmpl w:val="945E7E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E3A1869"/>
    <w:multiLevelType w:val="multilevel"/>
    <w:tmpl w:val="6D92E4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5567519"/>
    <w:multiLevelType w:val="multilevel"/>
    <w:tmpl w:val="3110BE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AD254D"/>
    <w:multiLevelType w:val="multilevel"/>
    <w:tmpl w:val="796C98CC"/>
    <w:lvl w:ilvl="0">
      <w:start w:val="3"/>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2792DAB"/>
    <w:multiLevelType w:val="multilevel"/>
    <w:tmpl w:val="4F5E46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C87553B"/>
    <w:multiLevelType w:val="multilevel"/>
    <w:tmpl w:val="F0163B2A"/>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B6C"/>
    <w:rsid w:val="00006EFB"/>
    <w:rsid w:val="00021B15"/>
    <w:rsid w:val="00057E54"/>
    <w:rsid w:val="000633E2"/>
    <w:rsid w:val="000B2BAE"/>
    <w:rsid w:val="000C480E"/>
    <w:rsid w:val="000D38CE"/>
    <w:rsid w:val="000D615C"/>
    <w:rsid w:val="00117556"/>
    <w:rsid w:val="0012348A"/>
    <w:rsid w:val="0012545E"/>
    <w:rsid w:val="001323F2"/>
    <w:rsid w:val="00136CD2"/>
    <w:rsid w:val="001636C8"/>
    <w:rsid w:val="00180B18"/>
    <w:rsid w:val="001861F9"/>
    <w:rsid w:val="001A784C"/>
    <w:rsid w:val="001C1F0F"/>
    <w:rsid w:val="001E00F2"/>
    <w:rsid w:val="001E3BFB"/>
    <w:rsid w:val="00200ED1"/>
    <w:rsid w:val="00243D6B"/>
    <w:rsid w:val="00243DA9"/>
    <w:rsid w:val="00255855"/>
    <w:rsid w:val="00263D90"/>
    <w:rsid w:val="00265B7D"/>
    <w:rsid w:val="00267E44"/>
    <w:rsid w:val="002713A3"/>
    <w:rsid w:val="00290278"/>
    <w:rsid w:val="002907C3"/>
    <w:rsid w:val="0029660F"/>
    <w:rsid w:val="00296EF7"/>
    <w:rsid w:val="002A002F"/>
    <w:rsid w:val="002E025A"/>
    <w:rsid w:val="002E24CD"/>
    <w:rsid w:val="00307398"/>
    <w:rsid w:val="0031377F"/>
    <w:rsid w:val="00344F1F"/>
    <w:rsid w:val="00345BDB"/>
    <w:rsid w:val="00350420"/>
    <w:rsid w:val="0037454D"/>
    <w:rsid w:val="00377339"/>
    <w:rsid w:val="0038070E"/>
    <w:rsid w:val="00381DA8"/>
    <w:rsid w:val="00386027"/>
    <w:rsid w:val="003A6E88"/>
    <w:rsid w:val="003B3BAE"/>
    <w:rsid w:val="003D4B2F"/>
    <w:rsid w:val="003F074C"/>
    <w:rsid w:val="003F1EC0"/>
    <w:rsid w:val="00407182"/>
    <w:rsid w:val="00430AC5"/>
    <w:rsid w:val="00457F5D"/>
    <w:rsid w:val="004C63E6"/>
    <w:rsid w:val="004D1312"/>
    <w:rsid w:val="004E0AFB"/>
    <w:rsid w:val="00516E55"/>
    <w:rsid w:val="00536950"/>
    <w:rsid w:val="005610D9"/>
    <w:rsid w:val="005754CF"/>
    <w:rsid w:val="005C23FF"/>
    <w:rsid w:val="005C563B"/>
    <w:rsid w:val="005D6B12"/>
    <w:rsid w:val="005E5A05"/>
    <w:rsid w:val="00611C1A"/>
    <w:rsid w:val="006324FE"/>
    <w:rsid w:val="00636AB2"/>
    <w:rsid w:val="00656097"/>
    <w:rsid w:val="00657B48"/>
    <w:rsid w:val="00660CEE"/>
    <w:rsid w:val="00663215"/>
    <w:rsid w:val="00664879"/>
    <w:rsid w:val="0069119B"/>
    <w:rsid w:val="00692B90"/>
    <w:rsid w:val="006C4BA8"/>
    <w:rsid w:val="006D7144"/>
    <w:rsid w:val="006E50A1"/>
    <w:rsid w:val="006F0C2E"/>
    <w:rsid w:val="00715407"/>
    <w:rsid w:val="007236BF"/>
    <w:rsid w:val="007310B8"/>
    <w:rsid w:val="007343CC"/>
    <w:rsid w:val="00735B4A"/>
    <w:rsid w:val="00744A6D"/>
    <w:rsid w:val="00760027"/>
    <w:rsid w:val="007740E9"/>
    <w:rsid w:val="0078612F"/>
    <w:rsid w:val="00793FF2"/>
    <w:rsid w:val="007A2488"/>
    <w:rsid w:val="007D393D"/>
    <w:rsid w:val="007E3CBF"/>
    <w:rsid w:val="0081624A"/>
    <w:rsid w:val="00820B5A"/>
    <w:rsid w:val="00835DDB"/>
    <w:rsid w:val="0083635D"/>
    <w:rsid w:val="00845B6C"/>
    <w:rsid w:val="00862E11"/>
    <w:rsid w:val="00864A3B"/>
    <w:rsid w:val="00876AFD"/>
    <w:rsid w:val="00884E1C"/>
    <w:rsid w:val="008A0C13"/>
    <w:rsid w:val="008A5512"/>
    <w:rsid w:val="008A7FE9"/>
    <w:rsid w:val="008B6A2D"/>
    <w:rsid w:val="008B7BB6"/>
    <w:rsid w:val="008C7B5E"/>
    <w:rsid w:val="008D0EFB"/>
    <w:rsid w:val="008E25C9"/>
    <w:rsid w:val="008F0876"/>
    <w:rsid w:val="008F6806"/>
    <w:rsid w:val="00900130"/>
    <w:rsid w:val="00911EFF"/>
    <w:rsid w:val="00914151"/>
    <w:rsid w:val="0092391C"/>
    <w:rsid w:val="00935182"/>
    <w:rsid w:val="009442F4"/>
    <w:rsid w:val="009828EC"/>
    <w:rsid w:val="009A62F8"/>
    <w:rsid w:val="009B2F58"/>
    <w:rsid w:val="009B6AA5"/>
    <w:rsid w:val="009C5D7A"/>
    <w:rsid w:val="009D75D1"/>
    <w:rsid w:val="009E4FB1"/>
    <w:rsid w:val="009F0D3D"/>
    <w:rsid w:val="00A1094E"/>
    <w:rsid w:val="00A1509A"/>
    <w:rsid w:val="00A265A8"/>
    <w:rsid w:val="00A41442"/>
    <w:rsid w:val="00A51F43"/>
    <w:rsid w:val="00A52778"/>
    <w:rsid w:val="00A809CB"/>
    <w:rsid w:val="00A8261F"/>
    <w:rsid w:val="00A87FDE"/>
    <w:rsid w:val="00AA4C2C"/>
    <w:rsid w:val="00AB123F"/>
    <w:rsid w:val="00AB30C1"/>
    <w:rsid w:val="00AC37F0"/>
    <w:rsid w:val="00AD640C"/>
    <w:rsid w:val="00AD7A8E"/>
    <w:rsid w:val="00AF2E0A"/>
    <w:rsid w:val="00AF785A"/>
    <w:rsid w:val="00B11935"/>
    <w:rsid w:val="00B14179"/>
    <w:rsid w:val="00B278C6"/>
    <w:rsid w:val="00B375D4"/>
    <w:rsid w:val="00B400A3"/>
    <w:rsid w:val="00B40323"/>
    <w:rsid w:val="00B667BA"/>
    <w:rsid w:val="00B7016A"/>
    <w:rsid w:val="00B70265"/>
    <w:rsid w:val="00B84971"/>
    <w:rsid w:val="00BB3FB1"/>
    <w:rsid w:val="00BB761A"/>
    <w:rsid w:val="00BD05FD"/>
    <w:rsid w:val="00BF7BE5"/>
    <w:rsid w:val="00C03BB2"/>
    <w:rsid w:val="00C04076"/>
    <w:rsid w:val="00C1674E"/>
    <w:rsid w:val="00C17C97"/>
    <w:rsid w:val="00C214FA"/>
    <w:rsid w:val="00C327B9"/>
    <w:rsid w:val="00C32A36"/>
    <w:rsid w:val="00C34450"/>
    <w:rsid w:val="00C50403"/>
    <w:rsid w:val="00C51531"/>
    <w:rsid w:val="00C60F74"/>
    <w:rsid w:val="00C65E8D"/>
    <w:rsid w:val="00C76DF1"/>
    <w:rsid w:val="00C96052"/>
    <w:rsid w:val="00CA226A"/>
    <w:rsid w:val="00CB0B70"/>
    <w:rsid w:val="00CC12A1"/>
    <w:rsid w:val="00CD4702"/>
    <w:rsid w:val="00CF1D9D"/>
    <w:rsid w:val="00D05125"/>
    <w:rsid w:val="00D24421"/>
    <w:rsid w:val="00D427C1"/>
    <w:rsid w:val="00D44106"/>
    <w:rsid w:val="00D605E3"/>
    <w:rsid w:val="00D9438F"/>
    <w:rsid w:val="00D95CD7"/>
    <w:rsid w:val="00DA1341"/>
    <w:rsid w:val="00DE7B38"/>
    <w:rsid w:val="00E00666"/>
    <w:rsid w:val="00E1123E"/>
    <w:rsid w:val="00E335BE"/>
    <w:rsid w:val="00E670C7"/>
    <w:rsid w:val="00E87308"/>
    <w:rsid w:val="00EA3984"/>
    <w:rsid w:val="00EA6D7A"/>
    <w:rsid w:val="00EB695B"/>
    <w:rsid w:val="00EC16C3"/>
    <w:rsid w:val="00EC7193"/>
    <w:rsid w:val="00ED24CA"/>
    <w:rsid w:val="00ED72B8"/>
    <w:rsid w:val="00F00782"/>
    <w:rsid w:val="00F1479A"/>
    <w:rsid w:val="00F153CA"/>
    <w:rsid w:val="00F51D42"/>
    <w:rsid w:val="00F52616"/>
    <w:rsid w:val="00F860FD"/>
    <w:rsid w:val="00FC03DC"/>
    <w:rsid w:val="00FD3236"/>
    <w:rsid w:val="00FD6C7B"/>
    <w:rsid w:val="00FF536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A5667"/>
  <w15:docId w15:val="{903232A7-010B-4E9E-AE4E-8AB14022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fr-BE"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uiPriority w:val="9"/>
    <w:qFormat/>
    <w:pPr>
      <w:spacing w:before="100" w:after="100" w:line="240" w:lineRule="auto"/>
      <w:outlineLvl w:val="0"/>
    </w:pPr>
    <w:rPr>
      <w:rFonts w:ascii="Times New Roman" w:eastAsia="Times New Roman" w:hAnsi="Times New Roman"/>
      <w:b/>
      <w:bCs/>
      <w:kern w:val="3"/>
      <w:sz w:val="48"/>
      <w:szCs w:val="4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pPr>
      <w:ind w:left="720"/>
    </w:pPr>
  </w:style>
  <w:style w:type="character" w:customStyle="1" w:styleId="Titre1Car">
    <w:name w:val="Titre 1 Car"/>
    <w:basedOn w:val="Policepardfaut"/>
    <w:rPr>
      <w:rFonts w:ascii="Times New Roman" w:eastAsia="Times New Roman" w:hAnsi="Times New Roman" w:cs="Times New Roman"/>
      <w:b/>
      <w:bCs/>
      <w:kern w:val="3"/>
      <w:sz w:val="48"/>
      <w:szCs w:val="48"/>
      <w:lang w:eastAsia="fr-BE"/>
    </w:rPr>
  </w:style>
  <w:style w:type="paragraph" w:styleId="En-tte">
    <w:name w:val="header"/>
    <w:basedOn w:val="Normal"/>
    <w:pPr>
      <w:tabs>
        <w:tab w:val="center" w:pos="4536"/>
        <w:tab w:val="right" w:pos="9072"/>
      </w:tabs>
      <w:spacing w:after="0" w:line="240" w:lineRule="auto"/>
    </w:pPr>
  </w:style>
  <w:style w:type="character" w:customStyle="1" w:styleId="En-tteCar">
    <w:name w:val="En-tête Car"/>
    <w:basedOn w:val="Policepardfaut"/>
  </w:style>
  <w:style w:type="paragraph" w:styleId="Pieddepage">
    <w:name w:val="footer"/>
    <w:basedOn w:val="Normal"/>
    <w:pPr>
      <w:tabs>
        <w:tab w:val="center" w:pos="4536"/>
        <w:tab w:val="right" w:pos="9072"/>
      </w:tabs>
      <w:spacing w:after="0" w:line="240" w:lineRule="auto"/>
    </w:pPr>
  </w:style>
  <w:style w:type="character" w:customStyle="1" w:styleId="PieddepageCar">
    <w:name w:val="Pied de page Car"/>
    <w:basedOn w:val="Policepardfaut"/>
  </w:style>
  <w:style w:type="paragraph" w:styleId="Notedebasdepage">
    <w:name w:val="footnote text"/>
    <w:basedOn w:val="Normal"/>
    <w:pPr>
      <w:spacing w:after="0" w:line="240" w:lineRule="auto"/>
    </w:pPr>
    <w:rPr>
      <w:sz w:val="20"/>
      <w:szCs w:val="20"/>
    </w:rPr>
  </w:style>
  <w:style w:type="character" w:customStyle="1" w:styleId="NotedebasdepageCar">
    <w:name w:val="Note de bas de page Car"/>
    <w:basedOn w:val="Policepardfaut"/>
    <w:rPr>
      <w:sz w:val="20"/>
      <w:szCs w:val="20"/>
    </w:rPr>
  </w:style>
  <w:style w:type="character" w:styleId="Appelnotedebasdep">
    <w:name w:val="footnote reference"/>
    <w:basedOn w:val="Policepardfaut"/>
    <w:rPr>
      <w:position w:val="0"/>
      <w:vertAlign w:val="superscript"/>
    </w:rPr>
  </w:style>
  <w:style w:type="paragraph" w:styleId="NormalWeb">
    <w:name w:val="Normal (Web)"/>
    <w:basedOn w:val="Normal"/>
    <w:pPr>
      <w:spacing w:before="100" w:after="100" w:line="240" w:lineRule="auto"/>
    </w:pPr>
    <w:rPr>
      <w:rFonts w:ascii="Times New Roman" w:eastAsia="Times New Roman" w:hAnsi="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16</Pages>
  <Words>8773</Words>
  <Characters>48252</Characters>
  <Application>Microsoft Office Word</Application>
  <DocSecurity>0</DocSecurity>
  <Lines>402</Lines>
  <Paragraphs>113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FINET</dc:creator>
  <dc:description/>
  <cp:lastModifiedBy>Alain FINET</cp:lastModifiedBy>
  <cp:revision>184</cp:revision>
  <dcterms:created xsi:type="dcterms:W3CDTF">2020-10-22T16:31:00Z</dcterms:created>
  <dcterms:modified xsi:type="dcterms:W3CDTF">2020-10-24T16:21:00Z</dcterms:modified>
</cp:coreProperties>
</file>