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77C76" w14:textId="77777777" w:rsidR="004349E0" w:rsidRPr="000A7438" w:rsidRDefault="004349E0" w:rsidP="000A7438">
      <w:pPr>
        <w:jc w:val="center"/>
        <w:rPr>
          <w:b/>
          <w:bCs/>
          <w:sz w:val="36"/>
          <w:szCs w:val="36"/>
        </w:rPr>
      </w:pPr>
      <w:bookmarkStart w:id="0" w:name="_Toc8061889"/>
      <w:bookmarkStart w:id="1" w:name="_Toc8153887"/>
      <w:bookmarkStart w:id="2" w:name="_Toc19721931"/>
      <w:r w:rsidRPr="000A7438">
        <w:rPr>
          <w:b/>
          <w:bCs/>
          <w:sz w:val="36"/>
          <w:szCs w:val="36"/>
        </w:rPr>
        <w:t>Carbon Pricing and Competitiveness: Are they at Odds?</w:t>
      </w:r>
    </w:p>
    <w:p w14:paraId="23DE7AA2" w14:textId="77777777" w:rsidR="004349E0" w:rsidRDefault="004349E0" w:rsidP="004D61AD"/>
    <w:p w14:paraId="2913626F" w14:textId="77777777" w:rsidR="000F334D" w:rsidRDefault="000F334D" w:rsidP="004D61AD"/>
    <w:p w14:paraId="67B3FE09" w14:textId="77777777" w:rsidR="004349E0" w:rsidRDefault="004349E0" w:rsidP="004D61AD">
      <w:r w:rsidRPr="004349E0">
        <w:t>Jane Ellis</w:t>
      </w:r>
      <w:r>
        <w:t xml:space="preserve"> (1)</w:t>
      </w:r>
      <w:r w:rsidRPr="004349E0">
        <w:t xml:space="preserve"> and Daniel </w:t>
      </w:r>
      <w:proofErr w:type="spellStart"/>
      <w:r w:rsidRPr="004349E0">
        <w:t>Nachtigall</w:t>
      </w:r>
      <w:proofErr w:type="spellEnd"/>
      <w:r w:rsidRPr="004349E0">
        <w:t xml:space="preserve"> (1), Frank Venmans (2)</w:t>
      </w:r>
    </w:p>
    <w:p w14:paraId="7F258492" w14:textId="77777777" w:rsidR="004349E0" w:rsidRDefault="004349E0" w:rsidP="004D61AD"/>
    <w:p w14:paraId="5D5BC50E" w14:textId="77777777" w:rsidR="004349E0" w:rsidRDefault="004349E0" w:rsidP="004349E0">
      <w:pPr>
        <w:pStyle w:val="Paragraphedeliste"/>
        <w:numPr>
          <w:ilvl w:val="0"/>
          <w:numId w:val="38"/>
        </w:numPr>
      </w:pPr>
      <w:r>
        <w:t>OECD</w:t>
      </w:r>
    </w:p>
    <w:p w14:paraId="24A39935" w14:textId="77777777" w:rsidR="004349E0" w:rsidRDefault="004349E0" w:rsidP="004349E0">
      <w:pPr>
        <w:pStyle w:val="Paragraphedeliste"/>
        <w:numPr>
          <w:ilvl w:val="0"/>
          <w:numId w:val="38"/>
        </w:numPr>
      </w:pPr>
      <w:r>
        <w:t>University of Mons</w:t>
      </w:r>
    </w:p>
    <w:p w14:paraId="3339480B" w14:textId="77777777" w:rsidR="004349E0" w:rsidRDefault="004349E0" w:rsidP="004D61AD"/>
    <w:p w14:paraId="378D93E8" w14:textId="77777777" w:rsidR="000F334D" w:rsidRDefault="000F334D" w:rsidP="004D61AD"/>
    <w:p w14:paraId="4D6FF0D0" w14:textId="77777777" w:rsidR="004D6EB5" w:rsidRDefault="00CF2EC3" w:rsidP="004D61AD">
      <w:r>
        <w:t>Acknowledgements</w:t>
      </w:r>
    </w:p>
    <w:p w14:paraId="5A764AFB" w14:textId="02EF4B2A" w:rsidR="00CF2EC3" w:rsidRDefault="004D6EB5" w:rsidP="004D61AD">
      <w:r>
        <w:rPr>
          <w:rFonts w:ascii="Arial" w:hAnsi="Arial" w:cs="Arial"/>
          <w:color w:val="2E2E2E"/>
          <w:sz w:val="20"/>
        </w:rPr>
        <w:t xml:space="preserve">This paper is based on an earlier version available as OECD Environment Working Paper No. 152 </w:t>
      </w:r>
      <w:r w:rsidRPr="00512445">
        <w:rPr>
          <w:rFonts w:asciiTheme="minorHAnsi" w:hAnsiTheme="minorHAnsi" w:cstheme="minorHAnsi"/>
          <w:color w:val="2E2E2E"/>
          <w:sz w:val="20"/>
        </w:rPr>
        <w:t>(</w:t>
      </w:r>
      <w:hyperlink r:id="rId14" w:history="1">
        <w:r w:rsidRPr="00512445">
          <w:rPr>
            <w:rStyle w:val="Lienhypertexte"/>
            <w:rFonts w:asciiTheme="minorHAnsi" w:hAnsiTheme="minorHAnsi" w:cstheme="minorHAnsi"/>
            <w:lang w:val="en"/>
          </w:rPr>
          <w:t>https://doi.org/10.1787/f79a75ab-en</w:t>
        </w:r>
      </w:hyperlink>
      <w:r>
        <w:rPr>
          <w:rFonts w:ascii="Arial" w:hAnsi="Arial" w:cs="Arial"/>
          <w:color w:val="2E2E2E"/>
          <w:sz w:val="20"/>
        </w:rPr>
        <w:t>). It should not be reported as representing the official views of the OECD or of its member countries.</w:t>
      </w:r>
    </w:p>
    <w:p w14:paraId="0C21A642" w14:textId="704DA1EF" w:rsidR="004D6EB5" w:rsidRDefault="004D6EB5" w:rsidP="004D61AD"/>
    <w:p w14:paraId="01F3F903" w14:textId="6F2E1B3C" w:rsidR="00CF2EC3" w:rsidRDefault="00CF2EC3" w:rsidP="004D61AD">
      <w:r>
        <w:t>The authors are grateful for the substantive input and the valuable guidance from Simon Buckle in the preparation of this paper, and for the feedback from</w:t>
      </w:r>
      <w:r w:rsidR="00C95A22">
        <w:t xml:space="preserve"> two anonymous referees as well as from</w:t>
      </w:r>
      <w:r>
        <w:t xml:space="preserve"> participants of the 4th Strategic Dialogue of the Carbon Market Platform</w:t>
      </w:r>
      <w:r w:rsidR="00C73F17">
        <w:t xml:space="preserve"> on 15-16 May 2019 in Paris</w:t>
      </w:r>
      <w:r>
        <w:t>. All errors and inconsistencies remain the responsibility of the authors.</w:t>
      </w:r>
    </w:p>
    <w:p w14:paraId="07A4A310" w14:textId="77777777" w:rsidR="004349E0" w:rsidRDefault="004349E0" w:rsidP="004349E0">
      <w:pPr>
        <w:pStyle w:val="Titre"/>
        <w:rPr>
          <w:lang w:val="en-US"/>
        </w:rPr>
      </w:pPr>
      <w:bookmarkStart w:id="3" w:name="_Toc19721927"/>
      <w:r>
        <w:rPr>
          <w:lang w:val="en-US"/>
        </w:rPr>
        <w:lastRenderedPageBreak/>
        <w:t>Abstract</w:t>
      </w:r>
      <w:bookmarkEnd w:id="3"/>
    </w:p>
    <w:p w14:paraId="52104E6B" w14:textId="1CC6A6BF" w:rsidR="004349E0" w:rsidRDefault="004349E0" w:rsidP="004349E0">
      <w:pPr>
        <w:pStyle w:val="Para0"/>
      </w:pPr>
      <w:r w:rsidRPr="009514F9">
        <w:t>This paper reviews ex-post empirical assessments on the impact of carbon pricing on competitiveness in OECD and G20 countries</w:t>
      </w:r>
      <w:r w:rsidR="00C95A22">
        <w:t xml:space="preserve">, primarily </w:t>
      </w:r>
      <w:r w:rsidR="00311CDD">
        <w:t xml:space="preserve">in the </w:t>
      </w:r>
      <w:r w:rsidR="00C95A22">
        <w:t xml:space="preserve">European Union, </w:t>
      </w:r>
      <w:r w:rsidRPr="009514F9">
        <w:t>in the electricity and industrial sectors. Most of these assessments find no statistically significant effects of carbon pricing or energy prices on different dimensions of competitiveness, including net imports, foreign direct investments, turnover, value added, employment, profits, productivity, and innovation. When statistically significant results have been found, the magnitude of such effects tends to be small - either positive or negative. Thus, concerns about negative short-term effects of carbon pricing on firms’ or sectors’ international competitiveness have not come to pass, at least to date. These findings are in part because carbon price levels have been low and because of exemptions to carbon taxes for industry, or generous levels of free allowances to firms covered by emissions trading schemes.</w:t>
      </w:r>
      <w:r>
        <w:t xml:space="preserve"> </w:t>
      </w:r>
    </w:p>
    <w:p w14:paraId="569D32C8" w14:textId="0BF7B16D" w:rsidR="004349E0" w:rsidRDefault="00B500D6" w:rsidP="004349E0">
      <w:pPr>
        <w:pStyle w:val="Para0"/>
      </w:pPr>
      <w:r>
        <w:t>Key policy insights</w:t>
      </w:r>
    </w:p>
    <w:p w14:paraId="3269E339" w14:textId="353B1257" w:rsidR="004349E0" w:rsidRDefault="004349E0" w:rsidP="004349E0">
      <w:pPr>
        <w:numPr>
          <w:ilvl w:val="0"/>
          <w:numId w:val="37"/>
        </w:numPr>
        <w:tabs>
          <w:tab w:val="clear" w:pos="850"/>
          <w:tab w:val="clear" w:pos="1191"/>
          <w:tab w:val="clear" w:pos="1531"/>
        </w:tabs>
        <w:ind w:left="1080"/>
        <w:jc w:val="left"/>
        <w:textAlignment w:val="center"/>
        <w:rPr>
          <w:lang w:eastAsia="en-GB"/>
        </w:rPr>
      </w:pPr>
      <w:r w:rsidRPr="00512445">
        <w:rPr>
          <w:lang w:eastAsia="en-GB"/>
        </w:rPr>
        <w:t>Most of the studies</w:t>
      </w:r>
      <w:r w:rsidR="00B500D6">
        <w:rPr>
          <w:lang w:eastAsia="en-GB"/>
        </w:rPr>
        <w:t xml:space="preserve"> reviewed in this paper</w:t>
      </w:r>
      <w:r w:rsidRPr="00512445">
        <w:rPr>
          <w:lang w:eastAsia="en-GB"/>
        </w:rPr>
        <w:t xml:space="preserve"> find no statistically significant effects of carbon pricing</w:t>
      </w:r>
      <w:r w:rsidR="00C851CB" w:rsidRPr="00512445">
        <w:rPr>
          <w:lang w:eastAsia="en-GB"/>
        </w:rPr>
        <w:t xml:space="preserve"> or energy price fluctuations</w:t>
      </w:r>
      <w:r w:rsidRPr="00512445">
        <w:rPr>
          <w:lang w:eastAsia="en-GB"/>
        </w:rPr>
        <w:t xml:space="preserve"> on different dimensions of competitiveness (employment, profits, net imports)</w:t>
      </w:r>
      <w:r w:rsidR="00B500D6">
        <w:rPr>
          <w:lang w:eastAsia="en-GB"/>
        </w:rPr>
        <w:t>.</w:t>
      </w:r>
    </w:p>
    <w:p w14:paraId="65B08EBD" w14:textId="77777777" w:rsidR="00B500D6" w:rsidRPr="00005AC6" w:rsidRDefault="00B500D6" w:rsidP="00B500D6">
      <w:pPr>
        <w:tabs>
          <w:tab w:val="clear" w:pos="850"/>
          <w:tab w:val="clear" w:pos="1191"/>
          <w:tab w:val="clear" w:pos="1531"/>
        </w:tabs>
        <w:ind w:left="1080"/>
        <w:jc w:val="left"/>
        <w:textAlignment w:val="center"/>
        <w:rPr>
          <w:lang w:eastAsia="en-GB"/>
        </w:rPr>
      </w:pPr>
    </w:p>
    <w:p w14:paraId="3C8DA623" w14:textId="20C8A141" w:rsidR="006E7FF8" w:rsidRDefault="004349E0" w:rsidP="004349E0">
      <w:pPr>
        <w:numPr>
          <w:ilvl w:val="0"/>
          <w:numId w:val="37"/>
        </w:numPr>
        <w:tabs>
          <w:tab w:val="clear" w:pos="850"/>
          <w:tab w:val="clear" w:pos="1191"/>
          <w:tab w:val="clear" w:pos="1531"/>
        </w:tabs>
        <w:ind w:left="1080"/>
        <w:jc w:val="left"/>
        <w:textAlignment w:val="center"/>
        <w:rPr>
          <w:lang w:eastAsia="en-GB"/>
        </w:rPr>
      </w:pPr>
      <w:r w:rsidRPr="00512445">
        <w:rPr>
          <w:lang w:eastAsia="en-GB"/>
        </w:rPr>
        <w:t>When statistically</w:t>
      </w:r>
      <w:r w:rsidR="0058374A">
        <w:rPr>
          <w:lang w:eastAsia="en-GB"/>
        </w:rPr>
        <w:t xml:space="preserve"> </w:t>
      </w:r>
      <w:r w:rsidRPr="00512445">
        <w:rPr>
          <w:lang w:eastAsia="en-GB"/>
        </w:rPr>
        <w:t>significant results have been found, the magnitude of such effects is small. This is not surprising</w:t>
      </w:r>
      <w:r w:rsidR="00B500D6">
        <w:rPr>
          <w:lang w:eastAsia="en-GB"/>
        </w:rPr>
        <w:t>,</w:t>
      </w:r>
      <w:r w:rsidRPr="00512445">
        <w:rPr>
          <w:lang w:eastAsia="en-GB"/>
        </w:rPr>
        <w:t xml:space="preserve"> because </w:t>
      </w:r>
      <w:r w:rsidR="00C851CB" w:rsidRPr="00512445">
        <w:rPr>
          <w:lang w:eastAsia="en-GB"/>
        </w:rPr>
        <w:t>long term trends in overall</w:t>
      </w:r>
      <w:r w:rsidR="006D0316" w:rsidRPr="00512445">
        <w:rPr>
          <w:lang w:eastAsia="en-GB"/>
        </w:rPr>
        <w:t xml:space="preserve"> </w:t>
      </w:r>
      <w:r w:rsidRPr="00512445">
        <w:rPr>
          <w:lang w:eastAsia="en-GB"/>
        </w:rPr>
        <w:t>energy</w:t>
      </w:r>
      <w:r w:rsidR="00C851CB" w:rsidRPr="00512445">
        <w:rPr>
          <w:lang w:eastAsia="en-GB"/>
        </w:rPr>
        <w:t xml:space="preserve"> costs have a small effect</w:t>
      </w:r>
      <w:r w:rsidRPr="00512445">
        <w:rPr>
          <w:lang w:eastAsia="en-GB"/>
        </w:rPr>
        <w:t xml:space="preserve"> compared to other trends.</w:t>
      </w:r>
      <w:r w:rsidR="00C851CB" w:rsidRPr="00512445">
        <w:rPr>
          <w:lang w:eastAsia="en-GB"/>
        </w:rPr>
        <w:t xml:space="preserve"> Moreover, carbon </w:t>
      </w:r>
      <w:r w:rsidR="0058374A">
        <w:rPr>
          <w:lang w:eastAsia="en-GB"/>
        </w:rPr>
        <w:t>costs</w:t>
      </w:r>
      <w:r w:rsidR="00C851CB" w:rsidRPr="00512445">
        <w:rPr>
          <w:lang w:eastAsia="en-GB"/>
        </w:rPr>
        <w:t xml:space="preserve"> levied on industry have been low, either because of carbon tax breaks or free allowances to firms.</w:t>
      </w:r>
    </w:p>
    <w:p w14:paraId="4BDEEC5E" w14:textId="77777777" w:rsidR="00B500D6" w:rsidRPr="00005AC6" w:rsidRDefault="00B500D6" w:rsidP="00B500D6">
      <w:pPr>
        <w:tabs>
          <w:tab w:val="clear" w:pos="850"/>
          <w:tab w:val="clear" w:pos="1191"/>
          <w:tab w:val="clear" w:pos="1531"/>
        </w:tabs>
        <w:jc w:val="left"/>
        <w:textAlignment w:val="center"/>
        <w:rPr>
          <w:lang w:eastAsia="en-GB"/>
        </w:rPr>
      </w:pPr>
    </w:p>
    <w:p w14:paraId="212B5EC3" w14:textId="6C149CF4" w:rsidR="00174FE5" w:rsidRDefault="004349E0" w:rsidP="00005AC6">
      <w:pPr>
        <w:numPr>
          <w:ilvl w:val="0"/>
          <w:numId w:val="37"/>
        </w:numPr>
        <w:tabs>
          <w:tab w:val="clear" w:pos="850"/>
          <w:tab w:val="clear" w:pos="1191"/>
          <w:tab w:val="clear" w:pos="1531"/>
        </w:tabs>
        <w:ind w:left="1080"/>
        <w:jc w:val="left"/>
        <w:textAlignment w:val="center"/>
        <w:rPr>
          <w:lang w:eastAsia="en-GB"/>
        </w:rPr>
      </w:pPr>
      <w:r w:rsidRPr="00512445">
        <w:rPr>
          <w:lang w:eastAsia="en-GB"/>
        </w:rPr>
        <w:t>Carbon pricing has a small and positive effect on productivity and innovation.</w:t>
      </w:r>
      <w:r w:rsidR="006E7FF8">
        <w:rPr>
          <w:lang w:eastAsia="en-GB"/>
        </w:rPr>
        <w:t xml:space="preserve"> </w:t>
      </w:r>
      <w:proofErr w:type="gramStart"/>
      <w:r w:rsidR="008F3F9E">
        <w:rPr>
          <w:lang w:eastAsia="en-GB"/>
        </w:rPr>
        <w:t xml:space="preserve">In particular, </w:t>
      </w:r>
      <w:r w:rsidR="008F3F9E" w:rsidRPr="00FC2112">
        <w:t>all</w:t>
      </w:r>
      <w:proofErr w:type="gramEnd"/>
      <w:r w:rsidR="008F3F9E" w:rsidRPr="00FC2112">
        <w:t xml:space="preserve"> studies report </w:t>
      </w:r>
      <w:r w:rsidR="008F3F9E">
        <w:t xml:space="preserve">statistically </w:t>
      </w:r>
      <w:r w:rsidR="008F3F9E" w:rsidRPr="00FC2112">
        <w:t>significant increases in patenting</w:t>
      </w:r>
      <w:r w:rsidR="008F3F9E">
        <w:t>.</w:t>
      </w:r>
    </w:p>
    <w:p w14:paraId="00A3A564" w14:textId="77777777" w:rsidR="00B500D6" w:rsidRDefault="00B500D6" w:rsidP="00B500D6">
      <w:pPr>
        <w:tabs>
          <w:tab w:val="clear" w:pos="850"/>
          <w:tab w:val="clear" w:pos="1191"/>
          <w:tab w:val="clear" w:pos="1531"/>
        </w:tabs>
        <w:jc w:val="left"/>
        <w:textAlignment w:val="center"/>
        <w:rPr>
          <w:lang w:eastAsia="en-GB"/>
        </w:rPr>
      </w:pPr>
    </w:p>
    <w:p w14:paraId="68F5E3BC" w14:textId="385E5360" w:rsidR="0058374A" w:rsidRDefault="006D0316">
      <w:pPr>
        <w:numPr>
          <w:ilvl w:val="0"/>
          <w:numId w:val="37"/>
        </w:numPr>
        <w:tabs>
          <w:tab w:val="clear" w:pos="850"/>
          <w:tab w:val="clear" w:pos="1191"/>
          <w:tab w:val="clear" w:pos="1531"/>
        </w:tabs>
        <w:ind w:left="1080"/>
        <w:jc w:val="left"/>
        <w:textAlignment w:val="center"/>
        <w:rPr>
          <w:lang w:eastAsia="en-GB"/>
        </w:rPr>
      </w:pPr>
      <w:r w:rsidRPr="00512445">
        <w:rPr>
          <w:lang w:eastAsia="en-GB"/>
        </w:rPr>
        <w:t xml:space="preserve">On the contrary, </w:t>
      </w:r>
      <w:r w:rsidR="00174FE5">
        <w:rPr>
          <w:lang w:eastAsia="en-GB"/>
        </w:rPr>
        <w:t xml:space="preserve">studies that find small negative competitiveness effects tend to focus on </w:t>
      </w:r>
      <w:r w:rsidRPr="00512445">
        <w:rPr>
          <w:lang w:eastAsia="en-GB"/>
        </w:rPr>
        <w:t xml:space="preserve">net imports and </w:t>
      </w:r>
      <w:r w:rsidR="006E7FF8">
        <w:rPr>
          <w:lang w:eastAsia="en-GB"/>
        </w:rPr>
        <w:t xml:space="preserve">outward </w:t>
      </w:r>
      <w:r w:rsidRPr="00512445">
        <w:rPr>
          <w:lang w:eastAsia="en-GB"/>
        </w:rPr>
        <w:t>foreign direct investment</w:t>
      </w:r>
      <w:r w:rsidR="0058374A">
        <w:rPr>
          <w:lang w:eastAsia="en-GB"/>
        </w:rPr>
        <w:t>.</w:t>
      </w:r>
    </w:p>
    <w:p w14:paraId="5C83813F" w14:textId="77777777" w:rsidR="00B500D6" w:rsidRPr="00005AC6" w:rsidRDefault="00B500D6" w:rsidP="00B500D6">
      <w:pPr>
        <w:tabs>
          <w:tab w:val="clear" w:pos="850"/>
          <w:tab w:val="clear" w:pos="1191"/>
          <w:tab w:val="clear" w:pos="1531"/>
        </w:tabs>
        <w:ind w:left="1080"/>
        <w:jc w:val="left"/>
        <w:textAlignment w:val="center"/>
        <w:rPr>
          <w:lang w:eastAsia="en-GB"/>
        </w:rPr>
      </w:pPr>
    </w:p>
    <w:p w14:paraId="3C2E9749" w14:textId="52B844BA" w:rsidR="004349E0" w:rsidRDefault="0058374A">
      <w:pPr>
        <w:numPr>
          <w:ilvl w:val="0"/>
          <w:numId w:val="37"/>
        </w:numPr>
        <w:tabs>
          <w:tab w:val="clear" w:pos="850"/>
          <w:tab w:val="clear" w:pos="1191"/>
          <w:tab w:val="clear" w:pos="1531"/>
        </w:tabs>
        <w:ind w:left="1080"/>
        <w:jc w:val="left"/>
        <w:textAlignment w:val="center"/>
        <w:rPr>
          <w:lang w:eastAsia="en-GB"/>
        </w:rPr>
      </w:pPr>
      <w:r w:rsidRPr="00512445">
        <w:rPr>
          <w:lang w:eastAsia="en-GB"/>
        </w:rPr>
        <w:t xml:space="preserve">Establishing a positive and stable carbon price (even if initially at a low level) will provide a clear signal of policy directions for participating firms. This may </w:t>
      </w:r>
      <w:proofErr w:type="gramStart"/>
      <w:r w:rsidRPr="00512445">
        <w:rPr>
          <w:lang w:eastAsia="en-GB"/>
        </w:rPr>
        <w:t>actually reduce</w:t>
      </w:r>
      <w:proofErr w:type="gramEnd"/>
      <w:r w:rsidRPr="00512445">
        <w:rPr>
          <w:lang w:eastAsia="en-GB"/>
        </w:rPr>
        <w:t xml:space="preserve"> risks to competitiveness </w:t>
      </w:r>
      <w:r w:rsidRPr="0096259C">
        <w:rPr>
          <w:lang w:eastAsia="en-GB"/>
        </w:rPr>
        <w:t xml:space="preserve">in the longer-term if </w:t>
      </w:r>
      <w:r w:rsidR="00C95A22">
        <w:rPr>
          <w:lang w:eastAsia="en-GB"/>
        </w:rPr>
        <w:t>it incentivises firms to adopt advanced pollution abatement technologies in an increasingly carbon-constraint global economy.</w:t>
      </w:r>
      <w:r w:rsidRPr="0096259C">
        <w:rPr>
          <w:lang w:eastAsia="en-GB"/>
        </w:rPr>
        <w:t xml:space="preserve"> </w:t>
      </w:r>
    </w:p>
    <w:p w14:paraId="626EAC40" w14:textId="77777777" w:rsidR="004349E0" w:rsidRDefault="004349E0" w:rsidP="00512445">
      <w:pPr>
        <w:pStyle w:val="Para0"/>
        <w:ind w:left="0" w:firstLine="284"/>
      </w:pPr>
      <w:r w:rsidRPr="00512445">
        <w:rPr>
          <w:rFonts w:eastAsiaTheme="minorEastAsia"/>
          <w:lang w:eastAsia="ko-KR"/>
        </w:rPr>
        <w:t>Keywords:  Environmental</w:t>
      </w:r>
      <w:r w:rsidRPr="00317F4A">
        <w:t xml:space="preserve"> regulation; Carbon pricing; Competitiveness; Carbon Markets</w:t>
      </w:r>
    </w:p>
    <w:p w14:paraId="4AD30032" w14:textId="77777777" w:rsidR="004349E0" w:rsidRPr="00C73F17" w:rsidRDefault="00C73F17" w:rsidP="004349E0">
      <w:pPr>
        <w:pStyle w:val="Para0"/>
        <w:rPr>
          <w:lang w:val="fr-BE"/>
        </w:rPr>
      </w:pPr>
      <w:r w:rsidRPr="00F96D49">
        <w:rPr>
          <w:rFonts w:eastAsiaTheme="minorEastAsia"/>
          <w:lang w:val="fr-FR" w:eastAsia="ko-KR"/>
        </w:rPr>
        <w:t xml:space="preserve">JEL </w:t>
      </w:r>
      <w:proofErr w:type="gramStart"/>
      <w:r w:rsidRPr="00F96D49">
        <w:rPr>
          <w:rFonts w:eastAsiaTheme="minorEastAsia"/>
          <w:lang w:val="fr-FR" w:eastAsia="ko-KR"/>
        </w:rPr>
        <w:t>Classification:</w:t>
      </w:r>
      <w:proofErr w:type="gramEnd"/>
      <w:r w:rsidRPr="00F96D49">
        <w:rPr>
          <w:rFonts w:eastAsiaTheme="minorEastAsia"/>
          <w:lang w:val="fr-FR" w:eastAsia="ko-KR"/>
        </w:rPr>
        <w:t xml:space="preserve"> H23, Q54, Q56, Q58</w:t>
      </w:r>
    </w:p>
    <w:p w14:paraId="1BBB5C0D" w14:textId="77777777" w:rsidR="004349E0" w:rsidRPr="00C73F17" w:rsidRDefault="004349E0" w:rsidP="004D61AD">
      <w:pPr>
        <w:rPr>
          <w:lang w:val="fr-BE"/>
        </w:rPr>
      </w:pPr>
    </w:p>
    <w:p w14:paraId="7DC7290C" w14:textId="77777777" w:rsidR="004D61AD" w:rsidRPr="00B94B2C" w:rsidRDefault="004D61AD" w:rsidP="004D61AD">
      <w:pPr>
        <w:pStyle w:val="Titre1"/>
        <w:rPr>
          <w:lang w:val="en-US"/>
        </w:rPr>
      </w:pPr>
      <w:r w:rsidRPr="00B94B2C">
        <w:rPr>
          <w:lang w:val="en-US"/>
        </w:rPr>
        <w:t>Introduction</w:t>
      </w:r>
      <w:bookmarkEnd w:id="0"/>
      <w:bookmarkEnd w:id="1"/>
      <w:bookmarkEnd w:id="2"/>
      <w:r w:rsidRPr="00B94B2C">
        <w:rPr>
          <w:lang w:val="en-US"/>
        </w:rPr>
        <w:t xml:space="preserve">  </w:t>
      </w:r>
    </w:p>
    <w:p w14:paraId="5C7EB8C1" w14:textId="6A957637" w:rsidR="00F87F7E" w:rsidRPr="0096259C" w:rsidRDefault="00F87F7E" w:rsidP="00F87F7E">
      <w:pPr>
        <w:pStyle w:val="Para0"/>
      </w:pPr>
    </w:p>
    <w:p w14:paraId="0482A6A6" w14:textId="4F783D46" w:rsidR="004D61AD" w:rsidRPr="007C028E" w:rsidRDefault="004D61AD" w:rsidP="004D61AD">
      <w:pPr>
        <w:pStyle w:val="Para0"/>
      </w:pPr>
      <w:r w:rsidRPr="00FC2112">
        <w:t>Competitiveness refers to the capability of countries’ economic</w:t>
      </w:r>
      <w:r w:rsidRPr="00FC2112" w:rsidDel="00D077C6">
        <w:t xml:space="preserve"> </w:t>
      </w:r>
      <w:r w:rsidRPr="00FC2112">
        <w:t>sectors or firms to maintain market shares, to stay in business and to be profitable</w:t>
      </w:r>
      <w:r w:rsidRPr="007C028E">
        <w:rPr>
          <w:b/>
        </w:rPr>
        <w:t xml:space="preserve"> </w:t>
      </w:r>
      <w:r w:rsidR="00C95A22" w:rsidRPr="0096259C">
        <w:rPr>
          <w:noProof/>
        </w:rPr>
        <w:t>(Berger, 2008</w:t>
      </w:r>
      <w:r w:rsidR="00C95A22" w:rsidRPr="0096259C">
        <w:rPr>
          <w:noProof/>
          <w:vertAlign w:val="subscript"/>
        </w:rPr>
        <w:t>[1]</w:t>
      </w:r>
      <w:r w:rsidR="00C95A22" w:rsidRPr="0096259C">
        <w:rPr>
          <w:noProof/>
        </w:rPr>
        <w:t>)</w:t>
      </w:r>
      <w:r w:rsidRPr="007C028E">
        <w:rPr>
          <w:b/>
        </w:rPr>
        <w:t>.</w:t>
      </w:r>
      <w:r w:rsidRPr="007C028E">
        <w:t xml:space="preserve"> The deep decarbonisation needed in order to reach the temperature goals of the Paris Agreement means that the relative competitiveness of sectors may need to change over time, with low-emission sectors gaining market share and higher-emission sectors losing market share</w:t>
      </w:r>
      <w:r>
        <w:t xml:space="preserve"> or perhaps even ceasing to exist</w:t>
      </w:r>
      <w:r w:rsidRPr="007C028E">
        <w:t>. The environmental impact of changes in relative competi</w:t>
      </w:r>
      <w:r w:rsidR="00D70B82">
        <w:t>ti</w:t>
      </w:r>
      <w:r w:rsidRPr="007C028E">
        <w:t xml:space="preserve">veness can be positive if </w:t>
      </w:r>
      <w:r>
        <w:t xml:space="preserve">these </w:t>
      </w:r>
      <w:r w:rsidRPr="007C028E">
        <w:t>lead to lower-</w:t>
      </w:r>
      <w:r w:rsidRPr="007C028E">
        <w:lastRenderedPageBreak/>
        <w:t>emission products gain</w:t>
      </w:r>
      <w:r>
        <w:t>ing</w:t>
      </w:r>
      <w:r w:rsidRPr="007C028E">
        <w:t xml:space="preserve"> market share. Alternatively, changes in relative competitiveness can lead to negative </w:t>
      </w:r>
      <w:r w:rsidR="00D70B82">
        <w:t>side-</w:t>
      </w:r>
      <w:r w:rsidRPr="007C028E">
        <w:t xml:space="preserve">effects </w:t>
      </w:r>
      <w:r w:rsidR="00E673AE">
        <w:t xml:space="preserve">on greenhouse gas </w:t>
      </w:r>
      <w:r w:rsidR="002942A2">
        <w:t xml:space="preserve">(GHG) </w:t>
      </w:r>
      <w:r w:rsidR="00E673AE">
        <w:t xml:space="preserve">emission levels </w:t>
      </w:r>
      <w:r>
        <w:t>if</w:t>
      </w:r>
      <w:r w:rsidRPr="007C028E">
        <w:t xml:space="preserve"> </w:t>
      </w:r>
      <w:r>
        <w:t>the</w:t>
      </w:r>
      <w:r w:rsidR="00E673AE">
        <w:t xml:space="preserve"> changes</w:t>
      </w:r>
      <w:r>
        <w:t xml:space="preserve"> </w:t>
      </w:r>
      <w:r w:rsidRPr="007C028E">
        <w:t>encourag</w:t>
      </w:r>
      <w:r>
        <w:t>e</w:t>
      </w:r>
      <w:r w:rsidRPr="007C028E">
        <w:t xml:space="preserve"> a shift in the production of goods to areas with lower efficiency</w:t>
      </w:r>
      <w:r>
        <w:t xml:space="preserve"> (i.e. </w:t>
      </w:r>
      <w:r w:rsidR="002942A2">
        <w:t xml:space="preserve">using </w:t>
      </w:r>
      <w:r>
        <w:t>more polluting technologies)</w:t>
      </w:r>
      <w:r w:rsidRPr="007C028E">
        <w:t>. This negative impact is referred to as “carbon leakage”</w:t>
      </w:r>
      <w:r>
        <w:t xml:space="preserve">. Some emissions trading systems </w:t>
      </w:r>
      <w:r w:rsidR="002C4621">
        <w:t xml:space="preserve">(ETS) </w:t>
      </w:r>
      <w:r>
        <w:t xml:space="preserve">are explicitly designed to avoid </w:t>
      </w:r>
      <w:r w:rsidRPr="00174605">
        <w:t xml:space="preserve">carbon leakage </w:t>
      </w:r>
      <w:r w:rsidR="00174605" w:rsidRPr="00997125">
        <w:t>(</w:t>
      </w:r>
      <w:proofErr w:type="spellStart"/>
      <w:r w:rsidR="00174605" w:rsidRPr="00997125">
        <w:t>Nachtigall</w:t>
      </w:r>
      <w:proofErr w:type="spellEnd"/>
      <w:r w:rsidR="00174605" w:rsidRPr="00997125">
        <w:t>, 2019[2])</w:t>
      </w:r>
      <w:r>
        <w:t>.</w:t>
      </w:r>
      <w:r w:rsidR="007B7275">
        <w:rPr>
          <w:rStyle w:val="Appelnotedebasdep"/>
        </w:rPr>
        <w:footnoteReference w:id="1"/>
      </w:r>
    </w:p>
    <w:p w14:paraId="233FDC50" w14:textId="77777777" w:rsidR="004D61AD" w:rsidRPr="00304C22" w:rsidRDefault="004D61AD" w:rsidP="004D61AD">
      <w:pPr>
        <w:pStyle w:val="Para0"/>
        <w:rPr>
          <w:highlight w:val="lightGray"/>
        </w:rPr>
      </w:pPr>
      <w:r w:rsidRPr="00FC2112">
        <w:t xml:space="preserve">There are many aspects to competitiveness: temporal, sectoral, </w:t>
      </w:r>
      <w:proofErr w:type="gramStart"/>
      <w:r w:rsidRPr="00FC2112">
        <w:t>domestic</w:t>
      </w:r>
      <w:proofErr w:type="gramEnd"/>
      <w:r w:rsidRPr="00FC2112">
        <w:t xml:space="preserve"> and international. </w:t>
      </w:r>
      <w:r>
        <w:t xml:space="preserve">Depending on the specific market structure and context, some of the following may be more or less important factors that are internal to a given industry or firm: </w:t>
      </w:r>
      <w:r w:rsidRPr="007C028E">
        <w:t>turnover, total assets, investment, employment,</w:t>
      </w:r>
      <w:r>
        <w:t xml:space="preserve"> technology,</w:t>
      </w:r>
      <w:r w:rsidRPr="007C028E">
        <w:t xml:space="preserve"> productivity and profits, levels of exports</w:t>
      </w:r>
      <w:r>
        <w:t>, levels of</w:t>
      </w:r>
      <w:r w:rsidRPr="007C028E">
        <w:t xml:space="preserve"> foreign direct investment</w:t>
      </w:r>
      <w:r>
        <w:t>, and levels of innovation</w:t>
      </w:r>
      <w:r w:rsidRPr="007C028E">
        <w:t>.</w:t>
      </w:r>
    </w:p>
    <w:p w14:paraId="63F3B0C4" w14:textId="21FC4DA5" w:rsidR="004D61AD" w:rsidRPr="00FC2112" w:rsidRDefault="004D61AD" w:rsidP="004D61AD">
      <w:pPr>
        <w:pStyle w:val="Para0"/>
        <w:rPr>
          <w:highlight w:val="lightGray"/>
        </w:rPr>
      </w:pPr>
      <w:r w:rsidRPr="00FC2112">
        <w:t xml:space="preserve">Competitiveness of a country, sector and/or firm will also be affected by many external factors. These include megatrends, such as increased vehicle electrification, as well as trends in the costs of producing a specific product, such as changes in commodity prices. Carbon pricing is another such external factor. While it is an efficient policy mechanism to reduce </w:t>
      </w:r>
      <w:r w:rsidR="002942A2">
        <w:t xml:space="preserve">GHG </w:t>
      </w:r>
      <w:r w:rsidRPr="00FC2112">
        <w:t xml:space="preserve">emissions </w:t>
      </w:r>
      <w:r w:rsidR="00C95A22" w:rsidRPr="0096259C">
        <w:rPr>
          <w:noProof/>
        </w:rPr>
        <w:t>(OECD, 2018</w:t>
      </w:r>
      <w:r w:rsidR="00C95A22" w:rsidRPr="0096259C">
        <w:rPr>
          <w:noProof/>
          <w:vertAlign w:val="subscript"/>
        </w:rPr>
        <w:t>[3]</w:t>
      </w:r>
      <w:r w:rsidR="00C95A22" w:rsidRPr="0096259C">
        <w:rPr>
          <w:noProof/>
        </w:rPr>
        <w:t>)</w:t>
      </w:r>
      <w:r w:rsidRPr="00FC2112">
        <w:t xml:space="preserve">, carbon pricing can increase production costs both directly, e.g. by imposing a carbon tax or by requiring a firm to purchase emissions allowances, and indirectly, e.g. by increasing the costs of inputs such as electricity. Carbon pricing thus has the potential to impact the relative competitiveness of a country, </w:t>
      </w:r>
      <w:proofErr w:type="gramStart"/>
      <w:r w:rsidRPr="00FC2112">
        <w:t>sector</w:t>
      </w:r>
      <w:proofErr w:type="gramEnd"/>
      <w:r w:rsidRPr="00FC2112">
        <w:t xml:space="preserve"> or firm. This paper uses “carbon pricing” to refer to </w:t>
      </w:r>
      <w:r w:rsidR="002942A2">
        <w:t>GHG</w:t>
      </w:r>
      <w:r w:rsidRPr="00FC2112">
        <w:t xml:space="preserve"> emissions trading schemes (ETS), carbon taxes, or taxes on fossil fuels.</w:t>
      </w:r>
    </w:p>
    <w:p w14:paraId="5CA006E1" w14:textId="6836E761" w:rsidR="004422CC" w:rsidRDefault="004D61AD" w:rsidP="004422CC">
      <w:r w:rsidRPr="00FC2112">
        <w:t xml:space="preserve">This paper reviews the extent of carbon pricing in OECD and G20 </w:t>
      </w:r>
      <w:proofErr w:type="gramStart"/>
      <w:r w:rsidRPr="00FC2112">
        <w:t>countries, and</w:t>
      </w:r>
      <w:proofErr w:type="gramEnd"/>
      <w:r w:rsidRPr="00FC2112">
        <w:t xml:space="preserve"> explores its impact on different dimensions of competitiveness in the electricity and industrial sectors. </w:t>
      </w:r>
      <w:r w:rsidR="00C23ECD">
        <w:t xml:space="preserve">We cover </w:t>
      </w:r>
      <w:r w:rsidR="00DB77A9">
        <w:t>three</w:t>
      </w:r>
      <w:r w:rsidR="00C23ECD">
        <w:t xml:space="preserve"> types of policies</w:t>
      </w:r>
      <w:r w:rsidR="00CE6C72">
        <w:t xml:space="preserve"> which make </w:t>
      </w:r>
      <w:r w:rsidR="00C95A22">
        <w:t xml:space="preserve">emitting GHG </w:t>
      </w:r>
      <w:r w:rsidR="00CE6C72">
        <w:t>more expensive at the margin</w:t>
      </w:r>
      <w:r w:rsidR="00C23ECD">
        <w:t>: emission</w:t>
      </w:r>
      <w:r w:rsidR="002942A2">
        <w:t>s</w:t>
      </w:r>
      <w:r w:rsidR="00C23ECD">
        <w:t xml:space="preserve"> trading</w:t>
      </w:r>
      <w:r w:rsidR="00CE6C72">
        <w:t xml:space="preserve"> schemes</w:t>
      </w:r>
      <w:r w:rsidR="00C23ECD">
        <w:t xml:space="preserve">, carbon taxes and energy taxes. </w:t>
      </w:r>
      <w:r w:rsidR="006A1FDD">
        <w:t>E</w:t>
      </w:r>
      <w:r w:rsidR="00862735">
        <w:t>xisting</w:t>
      </w:r>
      <w:r w:rsidR="006225C9">
        <w:t xml:space="preserve"> studies </w:t>
      </w:r>
      <w:r w:rsidR="006A1FDD">
        <w:t xml:space="preserve">are either ex ante (e.g. </w:t>
      </w:r>
      <w:r w:rsidR="006A1FDD" w:rsidRPr="0096259C">
        <w:rPr>
          <w:noProof/>
        </w:rPr>
        <w:t>Carbone and Rivers</w:t>
      </w:r>
      <w:r w:rsidR="006A1FDD">
        <w:rPr>
          <w:noProof/>
        </w:rPr>
        <w:t>’</w:t>
      </w:r>
      <w:r w:rsidR="006A1FDD" w:rsidRPr="0096259C">
        <w:rPr>
          <w:noProof/>
        </w:rPr>
        <w:t xml:space="preserve"> </w:t>
      </w:r>
      <w:r w:rsidR="006A1FDD">
        <w:rPr>
          <w:noProof/>
        </w:rPr>
        <w:t>(</w:t>
      </w:r>
      <w:r w:rsidR="006A1FDD" w:rsidRPr="0096259C">
        <w:rPr>
          <w:noProof/>
        </w:rPr>
        <w:t>2017</w:t>
      </w:r>
      <w:r w:rsidR="006A1FDD" w:rsidRPr="0096259C">
        <w:rPr>
          <w:noProof/>
          <w:vertAlign w:val="subscript"/>
        </w:rPr>
        <w:t>[17]</w:t>
      </w:r>
      <w:r w:rsidR="006A1FDD" w:rsidRPr="0096259C">
        <w:rPr>
          <w:noProof/>
        </w:rPr>
        <w:t>)</w:t>
      </w:r>
      <w:r w:rsidR="006A1FDD">
        <w:t xml:space="preserve">, </w:t>
      </w:r>
      <w:r w:rsidR="006225C9">
        <w:t xml:space="preserve">have </w:t>
      </w:r>
      <w:r w:rsidR="00C23A0D">
        <w:t>review</w:t>
      </w:r>
      <w:r w:rsidR="006225C9">
        <w:t>ed</w:t>
      </w:r>
      <w:r w:rsidR="00C23A0D">
        <w:t xml:space="preserve"> the literature on </w:t>
      </w:r>
      <w:r w:rsidR="002942A2">
        <w:t xml:space="preserve">the impact of </w:t>
      </w:r>
      <w:r w:rsidR="00862735">
        <w:t xml:space="preserve">a range of </w:t>
      </w:r>
      <w:r w:rsidR="007A428D">
        <w:t>environmental polic</w:t>
      </w:r>
      <w:r w:rsidR="00862735">
        <w:t>ies</w:t>
      </w:r>
      <w:r w:rsidR="00C23A0D">
        <w:t xml:space="preserve"> on competitiveness</w:t>
      </w:r>
      <w:r w:rsidR="00C23ECD">
        <w:t>,</w:t>
      </w:r>
      <w:r w:rsidR="00C23A0D">
        <w:t xml:space="preserve"> </w:t>
      </w:r>
      <w:r w:rsidR="002942A2">
        <w:t>(</w:t>
      </w:r>
      <w:r w:rsidR="006225C9">
        <w:t>e.g.</w:t>
      </w:r>
      <w:r w:rsidR="002942A2" w:rsidRPr="002942A2">
        <w:rPr>
          <w:noProof/>
        </w:rPr>
        <w:t xml:space="preserve"> </w:t>
      </w:r>
      <w:r w:rsidR="002942A2" w:rsidRPr="00512445">
        <w:rPr>
          <w:noProof/>
        </w:rPr>
        <w:t>Dechezleprêtre and Sato, 2017</w:t>
      </w:r>
      <w:r w:rsidR="002942A2">
        <w:rPr>
          <w:noProof/>
        </w:rPr>
        <w:t>)</w:t>
      </w:r>
      <w:r w:rsidR="00C23A0D">
        <w:t>,</w:t>
      </w:r>
      <w:r w:rsidR="00862735">
        <w:t xml:space="preserve"> </w:t>
      </w:r>
      <w:r w:rsidR="006A1FDD">
        <w:t>or</w:t>
      </w:r>
      <w:r w:rsidR="00862735">
        <w:t xml:space="preserve"> have reviewed the impact </w:t>
      </w:r>
      <w:r w:rsidR="00F5512B">
        <w:t xml:space="preserve">on competitiveness </w:t>
      </w:r>
      <w:r w:rsidR="00862735">
        <w:t>of</w:t>
      </w:r>
      <w:r w:rsidR="00F5512B">
        <w:t xml:space="preserve"> the</w:t>
      </w:r>
      <w:r w:rsidR="00862735">
        <w:t xml:space="preserve"> </w:t>
      </w:r>
      <w:r w:rsidR="00C23ECD">
        <w:t>emission</w:t>
      </w:r>
      <w:r w:rsidR="002942A2">
        <w:t>s</w:t>
      </w:r>
      <w:r w:rsidR="00C23ECD">
        <w:t xml:space="preserve"> trading</w:t>
      </w:r>
      <w:r w:rsidR="00F5512B">
        <w:t xml:space="preserve"> scheme</w:t>
      </w:r>
      <w:r w:rsidR="00862735">
        <w:t xml:space="preserve"> in the European Union (EU</w:t>
      </w:r>
      <w:r w:rsidR="00F5512B">
        <w:t xml:space="preserve"> ETS</w:t>
      </w:r>
      <w:r w:rsidR="00862735">
        <w:t xml:space="preserve">), </w:t>
      </w:r>
      <w:r w:rsidR="002942A2">
        <w:t>(</w:t>
      </w:r>
      <w:r w:rsidR="00862735">
        <w:t xml:space="preserve">e.g. </w:t>
      </w:r>
      <w:r w:rsidR="002942A2" w:rsidRPr="00A04D76">
        <w:rPr>
          <w:noProof/>
        </w:rPr>
        <w:t>Martin, Muûls and Wagner</w:t>
      </w:r>
      <w:r w:rsidR="002942A2">
        <w:rPr>
          <w:noProof/>
        </w:rPr>
        <w:t xml:space="preserve"> (</w:t>
      </w:r>
      <w:r w:rsidR="002942A2" w:rsidRPr="00A04D76">
        <w:rPr>
          <w:noProof/>
        </w:rPr>
        <w:t>2016)</w:t>
      </w:r>
      <w:r w:rsidR="00862735">
        <w:t xml:space="preserve"> and Verde (2018)</w:t>
      </w:r>
      <w:r w:rsidR="00C95A22">
        <w:t>,</w:t>
      </w:r>
      <w:r w:rsidR="00950110">
        <w:t xml:space="preserve"> </w:t>
      </w:r>
      <w:proofErr w:type="spellStart"/>
      <w:r w:rsidR="00950110">
        <w:t>Joltreau</w:t>
      </w:r>
      <w:proofErr w:type="spellEnd"/>
      <w:r w:rsidR="00950110">
        <w:t xml:space="preserve"> and Sommerfeld (2019)</w:t>
      </w:r>
      <w:r w:rsidR="002942A2">
        <w:t>)</w:t>
      </w:r>
      <w:r w:rsidR="006225C9">
        <w:t xml:space="preserve">. </w:t>
      </w:r>
      <w:r w:rsidR="00862735">
        <w:t>This paper</w:t>
      </w:r>
      <w:r w:rsidR="00747800">
        <w:t xml:space="preserve"> </w:t>
      </w:r>
      <w:r w:rsidR="007A428D">
        <w:t>focus</w:t>
      </w:r>
      <w:r w:rsidR="00747800">
        <w:t>es</w:t>
      </w:r>
      <w:r w:rsidR="007A428D">
        <w:t xml:space="preserve"> on </w:t>
      </w:r>
      <w:r w:rsidR="00862735">
        <w:t xml:space="preserve">the impact </w:t>
      </w:r>
      <w:r w:rsidR="006A1FDD">
        <w:t xml:space="preserve">– as assessed ex post - </w:t>
      </w:r>
      <w:r w:rsidR="00862735">
        <w:t xml:space="preserve">of </w:t>
      </w:r>
      <w:r w:rsidR="00972FE4">
        <w:t>carbon prices (</w:t>
      </w:r>
      <w:r w:rsidR="00747800">
        <w:t>ETS and taxes, but without non-pricing policies</w:t>
      </w:r>
      <w:r w:rsidR="00972FE4">
        <w:t>)</w:t>
      </w:r>
      <w:r w:rsidR="00862735">
        <w:t>,</w:t>
      </w:r>
      <w:r w:rsidR="006225C9">
        <w:t xml:space="preserve"> </w:t>
      </w:r>
      <w:r w:rsidR="00862735">
        <w:t xml:space="preserve">drawing on experience from </w:t>
      </w:r>
      <w:r w:rsidR="006225C9">
        <w:t xml:space="preserve">a broader </w:t>
      </w:r>
      <w:r w:rsidR="00862735">
        <w:t>set of jurisdictions</w:t>
      </w:r>
      <w:r w:rsidR="00E27F33">
        <w:t>.</w:t>
      </w:r>
      <w:r w:rsidR="00910E49">
        <w:t xml:space="preserve"> </w:t>
      </w:r>
      <w:bookmarkStart w:id="5" w:name="_Hlk38578172"/>
      <w:r w:rsidR="005325D5">
        <w:t xml:space="preserve">Yet, the EU ETS </w:t>
      </w:r>
      <w:r w:rsidR="00C90980">
        <w:t xml:space="preserve">clearly </w:t>
      </w:r>
      <w:r w:rsidR="005325D5">
        <w:t>dominates the literature on carbon pricing, accounting for 27 studies or 65% of reviewed studies in this paper. This is because it is the largest and earliest experience and its design has made causal inference easier. However, to the best of our knowledge, we include all ex-post studies published during the last decade, on carbon taxes, energy taxes and non-EU emission trading systems. We also include the main studies that use energy price as a proxy for carbon pricing.</w:t>
      </w:r>
    </w:p>
    <w:p w14:paraId="16D148E4" w14:textId="0234CA85" w:rsidR="004E33A4" w:rsidRDefault="004E33A4" w:rsidP="004D61AD">
      <w:pPr>
        <w:pStyle w:val="Para0"/>
      </w:pPr>
    </w:p>
    <w:p w14:paraId="73E675C3" w14:textId="77777777" w:rsidR="00C91F12" w:rsidRDefault="00C91F12" w:rsidP="004D61AD">
      <w:pPr>
        <w:pStyle w:val="Para0"/>
      </w:pPr>
    </w:p>
    <w:bookmarkEnd w:id="5"/>
    <w:p w14:paraId="75E605B4" w14:textId="4C7EF9E7" w:rsidR="004D61AD" w:rsidRDefault="004D61AD" w:rsidP="004D61AD">
      <w:pPr>
        <w:pStyle w:val="Para0"/>
      </w:pPr>
    </w:p>
    <w:p w14:paraId="1475B10C" w14:textId="77777777" w:rsidR="004D61AD" w:rsidRPr="000204D8" w:rsidRDefault="004D61AD" w:rsidP="004D61AD">
      <w:pPr>
        <w:pStyle w:val="Titre1"/>
      </w:pPr>
      <w:bookmarkStart w:id="6" w:name="_Toc8061890"/>
      <w:bookmarkStart w:id="7" w:name="_Toc8153888"/>
      <w:bookmarkStart w:id="8" w:name="_Toc19721932"/>
      <w:r>
        <w:lastRenderedPageBreak/>
        <w:t>The extent of carbon pricing in OECD and G20 countries</w:t>
      </w:r>
      <w:bookmarkEnd w:id="6"/>
      <w:bookmarkEnd w:id="7"/>
      <w:bookmarkEnd w:id="8"/>
    </w:p>
    <w:p w14:paraId="0215C725" w14:textId="5B2DBF57" w:rsidR="004D61AD" w:rsidRDefault="004D61AD" w:rsidP="004D61AD">
      <w:pPr>
        <w:pStyle w:val="Para0"/>
        <w:rPr>
          <w:b/>
          <w:bCs/>
          <w:sz w:val="20"/>
        </w:rPr>
      </w:pPr>
      <w:r w:rsidRPr="00FC2112">
        <w:t xml:space="preserve">The extent of carbon pricing has increased over the last few years, and includes some coverage of trade-exposed sectors, see e.g. </w:t>
      </w:r>
      <w:r w:rsidR="0041372E" w:rsidRPr="0096259C">
        <w:rPr>
          <w:noProof/>
        </w:rPr>
        <w:t>(OECD, 2018</w:t>
      </w:r>
      <w:r w:rsidR="0041372E" w:rsidRPr="0096259C">
        <w:rPr>
          <w:noProof/>
          <w:vertAlign w:val="subscript"/>
        </w:rPr>
        <w:t>[3]</w:t>
      </w:r>
      <w:r w:rsidR="0041372E" w:rsidRPr="0096259C">
        <w:rPr>
          <w:noProof/>
        </w:rPr>
        <w:t>; World Bank and Ecofys, 2018</w:t>
      </w:r>
      <w:r w:rsidR="0041372E" w:rsidRPr="0096259C">
        <w:rPr>
          <w:noProof/>
          <w:vertAlign w:val="subscript"/>
        </w:rPr>
        <w:t>[4]</w:t>
      </w:r>
      <w:r w:rsidR="0041372E" w:rsidRPr="0096259C">
        <w:rPr>
          <w:noProof/>
        </w:rPr>
        <w:t>)</w:t>
      </w:r>
      <w:r w:rsidRPr="00FC2112">
        <w:t xml:space="preserve">. </w:t>
      </w:r>
      <w:r w:rsidRPr="00D70125">
        <w:fldChar w:fldCharType="begin"/>
      </w:r>
      <w:r w:rsidRPr="00D70125">
        <w:rPr>
          <w:highlight w:val="yellow"/>
        </w:rPr>
        <w:instrText xml:space="preserve"> REF _Ref7794884 \h  \* MERGEFORMAT </w:instrText>
      </w:r>
      <w:r w:rsidRPr="00D70125">
        <w:fldChar w:fldCharType="separate"/>
      </w:r>
      <w:r w:rsidRPr="00D70125">
        <w:t xml:space="preserve">Figure </w:t>
      </w:r>
      <w:r w:rsidRPr="00D70125">
        <w:rPr>
          <w:noProof/>
        </w:rPr>
        <w:t>1</w:t>
      </w:r>
      <w:r w:rsidRPr="00D70125">
        <w:fldChar w:fldCharType="end"/>
      </w:r>
      <w:r w:rsidR="00E97880">
        <w:t xml:space="preserve"> depicts selected ETS in operation in OECD and G20 countries. It</w:t>
      </w:r>
      <w:r w:rsidRPr="00FC2112">
        <w:t xml:space="preserve"> highlights growth in the number of </w:t>
      </w:r>
      <w:r w:rsidR="002942A2">
        <w:t>ETS</w:t>
      </w:r>
      <w:r w:rsidRPr="00FC2112">
        <w:t>, as well as the difference in their carbon prices at selected points in time</w:t>
      </w:r>
      <w:r w:rsidR="00641E6C">
        <w:t>, which</w:t>
      </w:r>
      <w:r w:rsidRPr="00FC2112">
        <w:t xml:space="preserve"> vary significantly both in absolute and relative terms. For example, prices in the EU ETS were just over 10 USD/t CO</w:t>
      </w:r>
      <w:r w:rsidRPr="00FC2112">
        <w:rPr>
          <w:vertAlign w:val="subscript"/>
        </w:rPr>
        <w:t>2</w:t>
      </w:r>
      <w:r w:rsidRPr="00FC2112">
        <w:t xml:space="preserve"> in November 2012</w:t>
      </w:r>
      <w:r w:rsidRPr="00FC2112">
        <w:rPr>
          <w:rStyle w:val="Appelnotedebasdep"/>
        </w:rPr>
        <w:footnoteReference w:id="2"/>
      </w:r>
      <w:r w:rsidRPr="00FC2112">
        <w:t>, dropped to under 6 USD/t CO</w:t>
      </w:r>
      <w:r w:rsidRPr="00FC2112">
        <w:rPr>
          <w:vertAlign w:val="subscript"/>
        </w:rPr>
        <w:t xml:space="preserve">2 </w:t>
      </w:r>
      <w:r w:rsidRPr="00FC2112">
        <w:t>in 2013, and rose to more than 21 USD/t CO</w:t>
      </w:r>
      <w:r w:rsidRPr="00FC2112">
        <w:rPr>
          <w:vertAlign w:val="subscript"/>
        </w:rPr>
        <w:t>2</w:t>
      </w:r>
      <w:r w:rsidRPr="00FC2112">
        <w:t xml:space="preserve"> in November 2018. In ter</w:t>
      </w:r>
      <w:r>
        <w:t xml:space="preserve">ms of relative carbon prices, EU ETS prices were more than double those of the Guangdong ETS in </w:t>
      </w:r>
      <w:proofErr w:type="gramStart"/>
      <w:r>
        <w:t>November 2014, but</w:t>
      </w:r>
      <w:proofErr w:type="gramEnd"/>
      <w:r>
        <w:t xml:space="preserve"> were almost ten times those of the Guangdong ETS in November 2018.</w:t>
      </w:r>
    </w:p>
    <w:p w14:paraId="1885893F" w14:textId="08BFF6FB" w:rsidR="004D61AD" w:rsidRPr="004835DA" w:rsidRDefault="004D61AD" w:rsidP="004D61AD">
      <w:pPr>
        <w:pStyle w:val="Lgende"/>
      </w:pPr>
      <w:bookmarkStart w:id="9" w:name="_Ref7794884"/>
      <w:bookmarkStart w:id="10" w:name="_Toc8061878"/>
      <w:bookmarkStart w:id="11" w:name="_Toc19721945"/>
      <w:r>
        <w:t xml:space="preserve">Figure </w:t>
      </w:r>
      <w:fldSimple w:instr=" SEQ Figure \* ARABIC ">
        <w:r>
          <w:rPr>
            <w:noProof/>
          </w:rPr>
          <w:t>1</w:t>
        </w:r>
      </w:fldSimple>
      <w:bookmarkEnd w:id="9"/>
      <w:r>
        <w:t xml:space="preserve">: Carbon prices of selected </w:t>
      </w:r>
      <w:r w:rsidR="00E97880">
        <w:t>ETS</w:t>
      </w:r>
      <w:r>
        <w:t xml:space="preserve"> at selected </w:t>
      </w:r>
      <w:r w:rsidR="00E97880">
        <w:t>points in time</w:t>
      </w:r>
      <w:r>
        <w:t xml:space="preserve">    </w:t>
      </w:r>
      <w:proofErr w:type="gramStart"/>
      <w:r>
        <w:t xml:space="preserve">   (</w:t>
      </w:r>
      <w:proofErr w:type="gramEnd"/>
      <w:r>
        <w:t>USD/t CO</w:t>
      </w:r>
      <w:r w:rsidRPr="00EA2DCF">
        <w:rPr>
          <w:vertAlign w:val="subscript"/>
        </w:rPr>
        <w:t>2</w:t>
      </w:r>
      <w:r>
        <w:t>-eq)</w:t>
      </w:r>
      <w:bookmarkEnd w:id="10"/>
      <w:bookmarkEnd w:id="11"/>
    </w:p>
    <w:p w14:paraId="55EEEF35" w14:textId="77777777" w:rsidR="004D61AD" w:rsidRDefault="004D61AD" w:rsidP="004D61AD">
      <w:pPr>
        <w:pStyle w:val="Para"/>
        <w:numPr>
          <w:ilvl w:val="0"/>
          <w:numId w:val="0"/>
        </w:numPr>
        <w:jc w:val="center"/>
        <w:rPr>
          <w:highlight w:val="lightGray"/>
        </w:rPr>
      </w:pPr>
      <w:r w:rsidRPr="00EA2DCF">
        <w:rPr>
          <w:noProof/>
          <w:highlight w:val="lightGray"/>
          <w:lang w:eastAsia="en-GB"/>
        </w:rPr>
        <w:drawing>
          <wp:inline distT="0" distB="0" distL="0" distR="0" wp14:anchorId="73DC5A85" wp14:editId="67899DE5">
            <wp:extent cx="4370199" cy="219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45" t="10819" r="20946" b="23554"/>
                    <a:stretch/>
                  </pic:blipFill>
                  <pic:spPr bwMode="auto">
                    <a:xfrm>
                      <a:off x="0" y="0"/>
                      <a:ext cx="4417041" cy="2219538"/>
                    </a:xfrm>
                    <a:prstGeom prst="rect">
                      <a:avLst/>
                    </a:prstGeom>
                    <a:noFill/>
                    <a:ln>
                      <a:noFill/>
                    </a:ln>
                    <a:extLst>
                      <a:ext uri="{53640926-AAD7-44D8-BBD7-CCE9431645EC}">
                        <a14:shadowObscured xmlns:a14="http://schemas.microsoft.com/office/drawing/2010/main"/>
                      </a:ext>
                    </a:extLst>
                  </pic:spPr>
                </pic:pic>
              </a:graphicData>
            </a:graphic>
          </wp:inline>
        </w:drawing>
      </w:r>
    </w:p>
    <w:p w14:paraId="4A5BB35F" w14:textId="77777777" w:rsidR="004D61AD" w:rsidRPr="00EB2A5C" w:rsidRDefault="004D61AD" w:rsidP="004D61AD">
      <w:pPr>
        <w:pStyle w:val="Sourcenotes"/>
        <w:rPr>
          <w:highlight w:val="lightGray"/>
        </w:rPr>
      </w:pPr>
      <w:r>
        <w:rPr>
          <w:highlight w:val="lightGray"/>
        </w:rPr>
        <w:t>Source: Authors, based on ICAP price monitor</w:t>
      </w:r>
    </w:p>
    <w:p w14:paraId="3AFD2BAA" w14:textId="67716315" w:rsidR="004D61AD" w:rsidRPr="00FC2112" w:rsidRDefault="004D61AD" w:rsidP="004D61AD">
      <w:pPr>
        <w:pStyle w:val="Para0"/>
        <w:rPr>
          <w:highlight w:val="lightGray"/>
        </w:rPr>
      </w:pPr>
      <w:r w:rsidRPr="00FC2112">
        <w:t xml:space="preserve">However, the effective </w:t>
      </w:r>
      <w:r w:rsidR="00D64CA4">
        <w:t xml:space="preserve">costs </w:t>
      </w:r>
      <w:r w:rsidR="00E97880">
        <w:t>of</w:t>
      </w:r>
      <w:r w:rsidR="00E97880" w:rsidRPr="00FC2112">
        <w:t xml:space="preserve"> </w:t>
      </w:r>
      <w:r w:rsidRPr="00FC2112">
        <w:t xml:space="preserve">GHG emissions from trade-exposed sectors can be much lower than the overall carbon price shown in </w:t>
      </w:r>
      <w:r w:rsidRPr="00FC2112">
        <w:fldChar w:fldCharType="begin"/>
      </w:r>
      <w:r w:rsidRPr="00FC2112">
        <w:instrText xml:space="preserve"> REF _Ref7794884 \h  \* MERGEFORMAT </w:instrText>
      </w:r>
      <w:r w:rsidRPr="00FC2112">
        <w:fldChar w:fldCharType="separate"/>
      </w:r>
      <w:r>
        <w:t xml:space="preserve">Figure </w:t>
      </w:r>
      <w:r>
        <w:rPr>
          <w:noProof/>
        </w:rPr>
        <w:t>1</w:t>
      </w:r>
      <w:r w:rsidRPr="00FC2112">
        <w:fldChar w:fldCharType="end"/>
      </w:r>
      <w:r w:rsidRPr="00FC2112">
        <w:t xml:space="preserve"> above. For example, free allowances are distributed to sectors at risk of a loss of competitiveness in the Californian ETS. In the EU ETS, sectors deemed at risk of competitiveness loss also receive free allowances. Since 2013, the level of free allowances in the EU ETS </w:t>
      </w:r>
      <w:r w:rsidR="00D70125">
        <w:t>has been</w:t>
      </w:r>
      <w:r w:rsidRPr="00FC2112">
        <w:t xml:space="preserve"> based on past production levels and product-specific carbon intensity benchmarks representing the 10% most carbon-efficient firms in each sector.</w:t>
      </w:r>
      <w:r w:rsidR="008C53DB">
        <w:rPr>
          <w:rStyle w:val="Appelnotedebasdep"/>
        </w:rPr>
        <w:footnoteReference w:id="3"/>
      </w:r>
      <w:r w:rsidR="008C53DB">
        <w:t xml:space="preserve"> </w:t>
      </w:r>
    </w:p>
    <w:p w14:paraId="1D80DEAB" w14:textId="55970DFB" w:rsidR="004D61AD" w:rsidRPr="00FC2112" w:rsidRDefault="004D61AD" w:rsidP="004D61AD">
      <w:pPr>
        <w:pStyle w:val="Para0"/>
        <w:rPr>
          <w:highlight w:val="lightGray"/>
        </w:rPr>
      </w:pPr>
      <w:r w:rsidRPr="00FC2112">
        <w:t xml:space="preserve">Indeed, </w:t>
      </w:r>
      <w:r w:rsidRPr="00FC2112">
        <w:fldChar w:fldCharType="begin"/>
      </w:r>
      <w:r w:rsidRPr="00FC2112">
        <w:instrText xml:space="preserve"> REF _Ref7808368 \h </w:instrText>
      </w:r>
      <w:r>
        <w:instrText xml:space="preserve"> \* MERGEFORMAT </w:instrText>
      </w:r>
      <w:r w:rsidRPr="00FC2112">
        <w:fldChar w:fldCharType="separate"/>
      </w:r>
      <w:r>
        <w:t xml:space="preserve">Figure </w:t>
      </w:r>
      <w:r>
        <w:rPr>
          <w:noProof/>
        </w:rPr>
        <w:t>2</w:t>
      </w:r>
      <w:r w:rsidRPr="00FC2112">
        <w:fldChar w:fldCharType="end"/>
      </w:r>
      <w:r w:rsidRPr="00FC2112">
        <w:t xml:space="preserve"> shows that some non-electricity sectors in the EU ETS (e.g. cement, paper or cardboard) received more free allowances than their emissions until 2013. </w:t>
      </w:r>
      <w:bookmarkStart w:id="12" w:name="_Hlk38578522"/>
      <w:r w:rsidRPr="00FC2112">
        <w:t xml:space="preserve">Since 2013, some sectors such as lime, aluminium, </w:t>
      </w:r>
      <w:proofErr w:type="gramStart"/>
      <w:r w:rsidRPr="00FC2112">
        <w:t>ceramics</w:t>
      </w:r>
      <w:proofErr w:type="gramEnd"/>
      <w:r w:rsidRPr="00FC2112">
        <w:t xml:space="preserve"> and glass have become net buyers of allowances. The method for calculating the level of free allowances should in theory lead to aggregate allocation below emissions for each sector. However, this is not observed for two reasons. Firstly, </w:t>
      </w:r>
      <w:r w:rsidR="00A00C2E">
        <w:t xml:space="preserve">free allocation was based on </w:t>
      </w:r>
      <w:r w:rsidR="003C3434">
        <w:t xml:space="preserve">previous </w:t>
      </w:r>
      <w:r w:rsidR="00A00C2E">
        <w:t>production volumes,</w:t>
      </w:r>
      <w:r w:rsidR="00881922">
        <w:t xml:space="preserve"> including the years </w:t>
      </w:r>
      <w:r w:rsidR="00A00C2E">
        <w:t>before the economic crisis</w:t>
      </w:r>
      <w:r w:rsidR="00D70125">
        <w:t xml:space="preserve"> of 2008</w:t>
      </w:r>
      <w:r w:rsidR="0066709C">
        <w:t xml:space="preserve"> (so </w:t>
      </w:r>
      <w:r w:rsidR="00D70125">
        <w:t>the</w:t>
      </w:r>
      <w:r w:rsidRPr="00FC2112">
        <w:t xml:space="preserve"> Historical Activity Level</w:t>
      </w:r>
      <w:r w:rsidR="00A00C2E">
        <w:t xml:space="preserve"> between 2005 and 20</w:t>
      </w:r>
      <w:r w:rsidR="00881922">
        <w:t>10</w:t>
      </w:r>
      <w:r w:rsidR="00A00C2E">
        <w:t xml:space="preserve"> determine</w:t>
      </w:r>
      <w:r w:rsidR="00881922">
        <w:t>d</w:t>
      </w:r>
      <w:r w:rsidR="00A00C2E">
        <w:t xml:space="preserve"> free allocation in the period 2012-</w:t>
      </w:r>
      <w:r w:rsidR="00A00C2E">
        <w:lastRenderedPageBreak/>
        <w:t>2020</w:t>
      </w:r>
      <w:r w:rsidR="0066709C">
        <w:t>)</w:t>
      </w:r>
      <w:r w:rsidRPr="00FC2112">
        <w:t>.</w:t>
      </w:r>
      <w:r w:rsidRPr="00FC2112">
        <w:rPr>
          <w:rStyle w:val="Appelnotedebasdep"/>
        </w:rPr>
        <w:footnoteReference w:id="4"/>
      </w:r>
      <w:r w:rsidRPr="00FC2112">
        <w:t xml:space="preserve"> </w:t>
      </w:r>
      <w:r w:rsidR="003C3434">
        <w:t>T</w:t>
      </w:r>
      <w:r w:rsidR="00B43E56">
        <w:t>his updating of free allowances creates an incentive for higher production volumes (</w:t>
      </w:r>
      <w:proofErr w:type="spellStart"/>
      <w:r w:rsidR="00B43E56">
        <w:t>Böhringer</w:t>
      </w:r>
      <w:proofErr w:type="spellEnd"/>
      <w:r w:rsidR="00B43E56">
        <w:t xml:space="preserve"> and Lange 2005). </w:t>
      </w:r>
      <w:bookmarkEnd w:id="12"/>
      <w:r w:rsidRPr="00FC2112">
        <w:t>Second</w:t>
      </w:r>
      <w:r w:rsidR="00D70125">
        <w:t>ly</w:t>
      </w:r>
      <w:r w:rsidRPr="00FC2112">
        <w:t xml:space="preserve">, carbon intensities have decreased over time, due to technology improvements. </w:t>
      </w:r>
      <w:proofErr w:type="gramStart"/>
      <w:r w:rsidRPr="00FC2112">
        <w:t>In order to</w:t>
      </w:r>
      <w:proofErr w:type="gramEnd"/>
      <w:r w:rsidRPr="00FC2112">
        <w:t xml:space="preserve"> </w:t>
      </w:r>
      <w:r w:rsidR="00010B6A">
        <w:t>reflect the technological improvement</w:t>
      </w:r>
      <w:r w:rsidRPr="00FC2112">
        <w:t>, allocation benchmarks will be updated from 2021 onwards</w:t>
      </w:r>
      <w:r w:rsidR="00010B6A">
        <w:t>, reducing the number of allocated emissions per unit of output.</w:t>
      </w:r>
      <w:r w:rsidR="007C1BFB">
        <w:t xml:space="preserve"> </w:t>
      </w:r>
    </w:p>
    <w:p w14:paraId="73EB0BA7" w14:textId="50964754" w:rsidR="004D61AD" w:rsidRPr="00DC5B9C" w:rsidRDefault="004D61AD" w:rsidP="004D61AD">
      <w:pPr>
        <w:pStyle w:val="Para0"/>
        <w:rPr>
          <w:highlight w:val="lightGray"/>
        </w:rPr>
      </w:pPr>
      <w:r w:rsidRPr="00FC2112">
        <w:t xml:space="preserve">The level of carbon taxes levied on industry is also low or zero in </w:t>
      </w:r>
      <w:proofErr w:type="gramStart"/>
      <w:r w:rsidRPr="00FC2112">
        <w:t>the majority of</w:t>
      </w:r>
      <w:proofErr w:type="gramEnd"/>
      <w:r w:rsidRPr="00FC2112">
        <w:t xml:space="preserve"> cases. This is because while some countries have put carbon taxes in place, there are many exemptions for industrial sources.</w:t>
      </w:r>
      <w:r w:rsidRPr="00FC2112">
        <w:rPr>
          <w:rStyle w:val="Appelnotedebasdep"/>
        </w:rPr>
        <w:footnoteReference w:id="5"/>
      </w:r>
      <w:r w:rsidRPr="00FC2112">
        <w:t xml:space="preserve"> The same holds true for excise taxes on fossil fuels which can be considered as implicit carbon</w:t>
      </w:r>
      <w:r>
        <w:t xml:space="preserve"> taxes. Thus, overall in OECD and G20 countries, almost two-thirds of industrial GHG emissions are unpriced, and only 2% are priced at 30 EUR/t CO</w:t>
      </w:r>
      <w:r w:rsidRPr="00DC5B9C">
        <w:rPr>
          <w:vertAlign w:val="subscript"/>
        </w:rPr>
        <w:t>2</w:t>
      </w:r>
      <w:r>
        <w:t xml:space="preserve"> or higher (</w:t>
      </w:r>
      <w:r>
        <w:fldChar w:fldCharType="begin"/>
      </w:r>
      <w:r>
        <w:instrText xml:space="preserve"> REF _Ref9598626 \h  \* MERGEFORMAT </w:instrText>
      </w:r>
      <w:r>
        <w:fldChar w:fldCharType="separate"/>
      </w:r>
      <w:r>
        <w:t xml:space="preserve">Figure </w:t>
      </w:r>
      <w:r>
        <w:rPr>
          <w:noProof/>
        </w:rPr>
        <w:t>3</w:t>
      </w:r>
      <w:r>
        <w:fldChar w:fldCharType="end"/>
      </w:r>
      <w:r>
        <w:t>).</w:t>
      </w:r>
      <w:r w:rsidR="00A12AD1">
        <w:t xml:space="preserve"> </w:t>
      </w:r>
      <w:r w:rsidR="009A625F">
        <w:t xml:space="preserve">The largest part of the </w:t>
      </w:r>
      <w:r w:rsidR="00A12AD1">
        <w:t>carbon price in the industry sector stem</w:t>
      </w:r>
      <w:r w:rsidR="00D913D1">
        <w:t>s</w:t>
      </w:r>
      <w:r w:rsidR="00A12AD1">
        <w:t xml:space="preserve"> from energy taxes</w:t>
      </w:r>
      <w:r w:rsidR="006367D5">
        <w:t xml:space="preserve"> (OECD, 2019)</w:t>
      </w:r>
      <w:r w:rsidR="00A12AD1">
        <w:t>. In the electricity sector</w:t>
      </w:r>
      <w:r w:rsidR="006367D5">
        <w:t xml:space="preserve"> of the same set of countries</w:t>
      </w:r>
      <w:r w:rsidR="00A12AD1">
        <w:t xml:space="preserve">, however, ETS contribute to the largest part of the carbon price </w:t>
      </w:r>
      <w:r w:rsidR="00BC7DED" w:rsidRPr="0096259C">
        <w:rPr>
          <w:noProof/>
        </w:rPr>
        <w:t>(OECD, 2018</w:t>
      </w:r>
      <w:r w:rsidR="00BC7DED" w:rsidRPr="0096259C">
        <w:rPr>
          <w:noProof/>
          <w:vertAlign w:val="subscript"/>
        </w:rPr>
        <w:t>[3]</w:t>
      </w:r>
      <w:r w:rsidR="00BC7DED" w:rsidRPr="0096259C">
        <w:rPr>
          <w:noProof/>
        </w:rPr>
        <w:t>)</w:t>
      </w:r>
      <w:r w:rsidR="00A12AD1">
        <w:t xml:space="preserve">.  </w:t>
      </w:r>
    </w:p>
    <w:p w14:paraId="1B2AF517" w14:textId="77777777" w:rsidR="004D61AD" w:rsidRPr="00982B30" w:rsidRDefault="004D61AD" w:rsidP="004D61AD">
      <w:pPr>
        <w:pStyle w:val="Lgende"/>
        <w:rPr>
          <w:highlight w:val="lightGray"/>
        </w:rPr>
      </w:pPr>
      <w:bookmarkStart w:id="14" w:name="_Ref7808368"/>
      <w:bookmarkStart w:id="15" w:name="_Ref8123561"/>
      <w:bookmarkStart w:id="16" w:name="_Toc8061879"/>
      <w:bookmarkStart w:id="17" w:name="_Toc19721946"/>
      <w:r>
        <w:t xml:space="preserve">Figure </w:t>
      </w:r>
      <w:fldSimple w:instr=" SEQ Figure \* ARABIC ">
        <w:r>
          <w:rPr>
            <w:noProof/>
          </w:rPr>
          <w:t>2</w:t>
        </w:r>
      </w:fldSimple>
      <w:bookmarkEnd w:id="14"/>
      <w:bookmarkEnd w:id="15"/>
      <w:r>
        <w:t>: Allocation factors calculated as the ratio of free allocations over verified emissions for the main subsectors in the EU ETS</w:t>
      </w:r>
      <w:bookmarkEnd w:id="16"/>
      <w:bookmarkEnd w:id="17"/>
    </w:p>
    <w:p w14:paraId="5A092ABA" w14:textId="77777777" w:rsidR="004D61AD" w:rsidRPr="00982B30" w:rsidRDefault="004D61AD" w:rsidP="004D61AD">
      <w:pPr>
        <w:pStyle w:val="Para"/>
        <w:numPr>
          <w:ilvl w:val="0"/>
          <w:numId w:val="0"/>
        </w:numPr>
        <w:jc w:val="center"/>
        <w:rPr>
          <w:highlight w:val="lightGray"/>
        </w:rPr>
      </w:pPr>
      <w:r w:rsidRPr="001C0046">
        <w:rPr>
          <w:noProof/>
          <w:highlight w:val="lightGray"/>
          <w:lang w:eastAsia="en-GB"/>
        </w:rPr>
        <w:drawing>
          <wp:inline distT="0" distB="0" distL="0" distR="0" wp14:anchorId="257B4484" wp14:editId="05004C21">
            <wp:extent cx="4472732" cy="4153786"/>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 b="17504"/>
                    <a:stretch/>
                  </pic:blipFill>
                  <pic:spPr bwMode="auto">
                    <a:xfrm>
                      <a:off x="0" y="0"/>
                      <a:ext cx="4476127" cy="4156939"/>
                    </a:xfrm>
                    <a:prstGeom prst="rect">
                      <a:avLst/>
                    </a:prstGeom>
                    <a:noFill/>
                    <a:ln>
                      <a:noFill/>
                    </a:ln>
                    <a:extLst>
                      <a:ext uri="{53640926-AAD7-44D8-BBD7-CCE9431645EC}">
                        <a14:shadowObscured xmlns:a14="http://schemas.microsoft.com/office/drawing/2010/main"/>
                      </a:ext>
                    </a:extLst>
                  </pic:spPr>
                </pic:pic>
              </a:graphicData>
            </a:graphic>
          </wp:inline>
        </w:drawing>
      </w:r>
    </w:p>
    <w:p w14:paraId="2CB90454" w14:textId="77777777" w:rsidR="004D61AD" w:rsidRDefault="004D61AD" w:rsidP="004D61AD">
      <w:pPr>
        <w:pStyle w:val="Sourcenotes"/>
      </w:pPr>
      <w:r>
        <w:lastRenderedPageBreak/>
        <w:t>Source: CITL in EEA data viewer</w:t>
      </w:r>
    </w:p>
    <w:p w14:paraId="50E7CD6D" w14:textId="77777777" w:rsidR="004D61AD" w:rsidRDefault="004D61AD" w:rsidP="004D61AD">
      <w:pPr>
        <w:pStyle w:val="Titre1"/>
        <w:rPr>
          <w:highlight w:val="lightGray"/>
        </w:rPr>
      </w:pPr>
      <w:bookmarkStart w:id="18" w:name="_Toc19721933"/>
      <w:bookmarkStart w:id="19" w:name="_Toc8153889"/>
      <w:r w:rsidRPr="002B72AB">
        <w:t>How does carbon pricing affect firms’ competitiveness?</w:t>
      </w:r>
      <w:bookmarkEnd w:id="18"/>
    </w:p>
    <w:bookmarkEnd w:id="19"/>
    <w:p w14:paraId="67C0B04D" w14:textId="11034E32" w:rsidR="004D61AD" w:rsidRPr="008F6310" w:rsidRDefault="004D61AD" w:rsidP="004D61AD">
      <w:pPr>
        <w:pStyle w:val="Para0"/>
        <w:rPr>
          <w:highlight w:val="lightGray"/>
        </w:rPr>
      </w:pPr>
      <w:r w:rsidRPr="00FC2112">
        <w:t xml:space="preserve">Competitiveness effects from environmental regulation are mainly due to </w:t>
      </w:r>
      <w:r w:rsidRPr="00FC2112">
        <w:rPr>
          <w:i/>
        </w:rPr>
        <w:t>differences</w:t>
      </w:r>
      <w:r w:rsidRPr="00FC2112">
        <w:t xml:space="preserve"> in regulation between sectors or countries rather than to the regulation itself. Dechezleprêtre and Sato </w:t>
      </w:r>
      <w:r w:rsidR="00BC7DED" w:rsidRPr="0096259C">
        <w:rPr>
          <w:noProof/>
        </w:rPr>
        <w:t>(2017</w:t>
      </w:r>
      <w:r w:rsidR="00BC7DED" w:rsidRPr="0096259C">
        <w:rPr>
          <w:noProof/>
          <w:vertAlign w:val="subscript"/>
        </w:rPr>
        <w:t>[5]</w:t>
      </w:r>
      <w:r w:rsidR="00BC7DED" w:rsidRPr="0096259C">
        <w:rPr>
          <w:noProof/>
        </w:rPr>
        <w:t>)</w:t>
      </w:r>
      <w:r w:rsidRPr="00FC2112">
        <w:t xml:space="preserve"> distinguish, first, second and third order effects resulting from differences in regulations. Asymmetric environmental policy induces differences in costs as a first order effect. Next, firms respond to the regulation by adapting volumes, product prices (e.g. via cost pass through) and productive investments (second-order effects). These firm responses in turn</w:t>
      </w:r>
      <w:r>
        <w:t xml:space="preserve"> affect broader economic outcomes (profits, employment, market structures), technological outcomes (product innovation, process innovation, input-saving technologies)</w:t>
      </w:r>
      <w:r w:rsidR="0066709C">
        <w:t xml:space="preserve"> and</w:t>
      </w:r>
      <w:r>
        <w:t xml:space="preserve"> international economic outcomes (trade flows, investment location), leading to third-order effects. It is important to note that many outcomes are interrelated. For example, input-saving innovation may decrease the cost of abatement, a change in profitability will affect investments, higher prices may affect the strategic positioning of the firm etc.</w:t>
      </w:r>
    </w:p>
    <w:p w14:paraId="663874C7" w14:textId="77777777" w:rsidR="004D61AD" w:rsidRDefault="004D61AD" w:rsidP="004D61AD">
      <w:pPr>
        <w:pStyle w:val="Lgende"/>
      </w:pPr>
      <w:bookmarkStart w:id="20" w:name="_Ref7802121"/>
      <w:bookmarkStart w:id="21" w:name="_Ref9598626"/>
      <w:bookmarkStart w:id="22" w:name="_Toc8061880"/>
      <w:bookmarkStart w:id="23" w:name="_Ref9598615"/>
      <w:bookmarkStart w:id="24" w:name="_Toc19721947"/>
      <w:r>
        <w:t xml:space="preserve">Figure </w:t>
      </w:r>
      <w:fldSimple w:instr=" SEQ Figure \* ARABIC ">
        <w:r>
          <w:rPr>
            <w:noProof/>
          </w:rPr>
          <w:t>3</w:t>
        </w:r>
      </w:fldSimple>
      <w:bookmarkEnd w:id="20"/>
      <w:bookmarkEnd w:id="21"/>
      <w:r>
        <w:t xml:space="preserve">: Proportion of OECD and G20 industrial </w:t>
      </w:r>
      <w:r w:rsidR="00B85354">
        <w:t xml:space="preserve">and electricity </w:t>
      </w:r>
      <w:r>
        <w:t>CO</w:t>
      </w:r>
      <w:r w:rsidRPr="006A7A57">
        <w:rPr>
          <w:vertAlign w:val="subscript"/>
        </w:rPr>
        <w:t>2</w:t>
      </w:r>
      <w:r>
        <w:t xml:space="preserve"> emissions priced at different levels in 2015</w:t>
      </w:r>
      <w:bookmarkEnd w:id="22"/>
      <w:bookmarkEnd w:id="23"/>
      <w:bookmarkEnd w:id="24"/>
    </w:p>
    <w:p w14:paraId="1EE4EB55" w14:textId="15052C95" w:rsidR="004E2DA6" w:rsidRPr="00CE6D34" w:rsidRDefault="004E2DA6" w:rsidP="00512445">
      <w:pPr>
        <w:pStyle w:val="CaptionSubtitle"/>
      </w:pPr>
      <w:r w:rsidRPr="00CE6D34">
        <w:t>The price includes emission</w:t>
      </w:r>
      <w:r w:rsidR="002942A2">
        <w:t>s</w:t>
      </w:r>
      <w:r w:rsidRPr="00CE6D34">
        <w:t xml:space="preserve"> trading, carbon taxes and energy taxes.</w:t>
      </w:r>
    </w:p>
    <w:p w14:paraId="4F24EB14" w14:textId="77777777" w:rsidR="004D61AD" w:rsidRPr="00CE6D34" w:rsidRDefault="00B85354" w:rsidP="004D61AD">
      <w:pPr>
        <w:pStyle w:val="Para"/>
        <w:numPr>
          <w:ilvl w:val="0"/>
          <w:numId w:val="0"/>
        </w:numPr>
        <w:jc w:val="center"/>
      </w:pPr>
      <w:r w:rsidRPr="00CE6D34">
        <w:rPr>
          <w:noProof/>
          <w:lang w:eastAsia="en-GB"/>
        </w:rPr>
        <w:drawing>
          <wp:inline distT="0" distB="0" distL="0" distR="0" wp14:anchorId="77754F19" wp14:editId="6A686C5D">
            <wp:extent cx="1687522" cy="2232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31012" r="31701" b="17918"/>
                    <a:stretch/>
                  </pic:blipFill>
                  <pic:spPr bwMode="auto">
                    <a:xfrm>
                      <a:off x="0" y="0"/>
                      <a:ext cx="1702389" cy="2251664"/>
                    </a:xfrm>
                    <a:prstGeom prst="rect">
                      <a:avLst/>
                    </a:prstGeom>
                    <a:noFill/>
                    <a:ln>
                      <a:noFill/>
                    </a:ln>
                    <a:extLst>
                      <a:ext uri="{53640926-AAD7-44D8-BBD7-CCE9431645EC}">
                        <a14:shadowObscured xmlns:a14="http://schemas.microsoft.com/office/drawing/2010/main"/>
                      </a:ext>
                    </a:extLst>
                  </pic:spPr>
                </pic:pic>
              </a:graphicData>
            </a:graphic>
          </wp:inline>
        </w:drawing>
      </w:r>
      <w:r w:rsidR="00823B17" w:rsidRPr="00CE6D34">
        <w:t xml:space="preserve"> </w:t>
      </w:r>
      <w:r w:rsidR="00823B17" w:rsidRPr="00CE6D34">
        <w:rPr>
          <w:noProof/>
          <w:lang w:eastAsia="en-GB"/>
        </w:rPr>
        <w:drawing>
          <wp:inline distT="0" distB="0" distL="0" distR="0" wp14:anchorId="43121669" wp14:editId="27F27FD4">
            <wp:extent cx="1866900" cy="223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29499" r="29499" b="18415"/>
                    <a:stretch/>
                  </pic:blipFill>
                  <pic:spPr bwMode="auto">
                    <a:xfrm>
                      <a:off x="0" y="0"/>
                      <a:ext cx="1872020" cy="2238121"/>
                    </a:xfrm>
                    <a:prstGeom prst="rect">
                      <a:avLst/>
                    </a:prstGeom>
                    <a:noFill/>
                    <a:ln>
                      <a:noFill/>
                    </a:ln>
                    <a:extLst>
                      <a:ext uri="{53640926-AAD7-44D8-BBD7-CCE9431645EC}">
                        <a14:shadowObscured xmlns:a14="http://schemas.microsoft.com/office/drawing/2010/main"/>
                      </a:ext>
                    </a:extLst>
                  </pic:spPr>
                </pic:pic>
              </a:graphicData>
            </a:graphic>
          </wp:inline>
        </w:drawing>
      </w:r>
      <w:r w:rsidR="00823B17" w:rsidRPr="00CE6D34">
        <w:t xml:space="preserve"> </w:t>
      </w:r>
      <w:r w:rsidR="00823B17" w:rsidRPr="00CE6D34">
        <w:rPr>
          <w:noProof/>
          <w:lang w:eastAsia="en-GB"/>
        </w:rPr>
        <w:drawing>
          <wp:inline distT="0" distB="0" distL="0" distR="0" wp14:anchorId="1D1EBF03" wp14:editId="3F928525">
            <wp:extent cx="960120" cy="223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77281" r="1581" b="18218"/>
                    <a:stretch/>
                  </pic:blipFill>
                  <pic:spPr bwMode="auto">
                    <a:xfrm>
                      <a:off x="0" y="0"/>
                      <a:ext cx="965035" cy="2243426"/>
                    </a:xfrm>
                    <a:prstGeom prst="rect">
                      <a:avLst/>
                    </a:prstGeom>
                    <a:noFill/>
                    <a:ln>
                      <a:noFill/>
                    </a:ln>
                    <a:extLst>
                      <a:ext uri="{53640926-AAD7-44D8-BBD7-CCE9431645EC}">
                        <a14:shadowObscured xmlns:a14="http://schemas.microsoft.com/office/drawing/2010/main"/>
                      </a:ext>
                    </a:extLst>
                  </pic:spPr>
                </pic:pic>
              </a:graphicData>
            </a:graphic>
          </wp:inline>
        </w:drawing>
      </w:r>
    </w:p>
    <w:p w14:paraId="565B37E1" w14:textId="29FD049E" w:rsidR="004D61AD" w:rsidRPr="00CE6D34" w:rsidRDefault="004D61AD" w:rsidP="004D61AD">
      <w:pPr>
        <w:pStyle w:val="Sourcenotes"/>
      </w:pPr>
      <w:r w:rsidRPr="00CE6D34">
        <w:t xml:space="preserve">Source: </w:t>
      </w:r>
      <w:r w:rsidR="00BC7DED" w:rsidRPr="00CE6D34">
        <w:rPr>
          <w:noProof/>
        </w:rPr>
        <w:t>(OECD, 2018</w:t>
      </w:r>
      <w:r w:rsidR="00BC7DED" w:rsidRPr="00CE6D34">
        <w:rPr>
          <w:noProof/>
          <w:vertAlign w:val="subscript"/>
        </w:rPr>
        <w:t>[3]</w:t>
      </w:r>
      <w:r w:rsidR="00BC7DED" w:rsidRPr="00CE6D34">
        <w:rPr>
          <w:noProof/>
        </w:rPr>
        <w:t>)</w:t>
      </w:r>
    </w:p>
    <w:p w14:paraId="047B95DF" w14:textId="77777777" w:rsidR="004D61AD" w:rsidRPr="00C808CA" w:rsidRDefault="004D61AD" w:rsidP="004D61AD">
      <w:pPr>
        <w:pStyle w:val="Titre2"/>
      </w:pPr>
      <w:bookmarkStart w:id="25" w:name="_Toc8061892"/>
      <w:bookmarkStart w:id="26" w:name="_Toc8153890"/>
      <w:bookmarkStart w:id="27" w:name="_Toc19721934"/>
      <w:r w:rsidRPr="00C808CA">
        <w:t>First-order effects</w:t>
      </w:r>
      <w:bookmarkEnd w:id="25"/>
      <w:bookmarkEnd w:id="26"/>
      <w:bookmarkEnd w:id="27"/>
      <w:r w:rsidRPr="00C808CA">
        <w:t xml:space="preserve"> </w:t>
      </w:r>
    </w:p>
    <w:p w14:paraId="14314B67" w14:textId="26F4520B" w:rsidR="004D61AD" w:rsidRDefault="004D61AD" w:rsidP="004D61AD">
      <w:pPr>
        <w:pStyle w:val="Para0"/>
      </w:pPr>
      <w:r w:rsidRPr="00FC2112">
        <w:t>Differences in costs caused by environmental regulation, e.g. via carbon pricing, represent a first-order effect on competitiveness</w:t>
      </w:r>
      <w:r w:rsidR="00DE4B64">
        <w:t xml:space="preserve">. </w:t>
      </w:r>
      <w:r w:rsidRPr="00FC2112">
        <w:t>These first-order effects are potentially large, because energy costs for heavy industry (traditionally met by GHG-intensive energy sources) can represent a large proportion of total production costs. Such first-order effects include GHG abatement costs and direct carbon costs</w:t>
      </w:r>
      <w:r w:rsidR="00DE4B64">
        <w:t xml:space="preserve"> represented in Figure 4</w:t>
      </w:r>
      <w:r w:rsidRPr="00FC2112">
        <w:t>.</w:t>
      </w:r>
      <w:r w:rsidR="00FD39F3">
        <w:t xml:space="preserve"> </w:t>
      </w:r>
      <w:r w:rsidR="00DE4B64">
        <w:t>C</w:t>
      </w:r>
      <w:r w:rsidR="00FD39F3">
        <w:t>ompanies in a</w:t>
      </w:r>
      <w:r w:rsidR="00DE4B64">
        <w:t>n unregulated</w:t>
      </w:r>
      <w:r w:rsidR="00FD39F3">
        <w:t xml:space="preserve"> region will </w:t>
      </w:r>
      <w:r w:rsidR="00DE4B64">
        <w:t xml:space="preserve">have a competitive advantage because they do </w:t>
      </w:r>
      <w:r w:rsidR="00FD39F3">
        <w:t>not have these costs</w:t>
      </w:r>
      <w:r w:rsidR="00DE4B64">
        <w:t>.</w:t>
      </w:r>
      <w:r w:rsidR="00FD39F3">
        <w:t xml:space="preserve"> </w:t>
      </w:r>
    </w:p>
    <w:p w14:paraId="711A326B" w14:textId="3A3DF5A6" w:rsidR="00177827" w:rsidRDefault="00177827" w:rsidP="00177827">
      <w:pPr>
        <w:pStyle w:val="Sourcenotes"/>
      </w:pPr>
    </w:p>
    <w:p w14:paraId="150D1601" w14:textId="7605B299" w:rsidR="00177827" w:rsidRDefault="00177827" w:rsidP="00177827">
      <w:pPr>
        <w:pStyle w:val="Lgende"/>
      </w:pPr>
      <w:bookmarkStart w:id="28" w:name="_Hlk38578712"/>
      <w:r>
        <w:t xml:space="preserve">Figure </w:t>
      </w:r>
      <w:r w:rsidR="002E03A4">
        <w:t>4</w:t>
      </w:r>
      <w:r>
        <w:t xml:space="preserve">: Abatement costs and </w:t>
      </w:r>
      <w:r w:rsidR="006C26D0">
        <w:t>the cost of buying</w:t>
      </w:r>
      <w:r w:rsidR="0044586A">
        <w:t xml:space="preserve"> or selling</w:t>
      </w:r>
      <w:r w:rsidR="006C26D0">
        <w:t xml:space="preserve"> allowances </w:t>
      </w:r>
      <w:r w:rsidR="00DE4B64">
        <w:t>for a firm</w:t>
      </w:r>
    </w:p>
    <w:p w14:paraId="28C227E9" w14:textId="77777777" w:rsidR="00FF416A" w:rsidRDefault="00FF416A" w:rsidP="002A0F30">
      <w:pPr>
        <w:pStyle w:val="Para0"/>
        <w:sectPr w:rsidR="00FF416A" w:rsidSect="00181986">
          <w:headerReference w:type="default" r:id="rId20"/>
          <w:endnotePr>
            <w:numFmt w:val="decimal"/>
            <w:numRestart w:val="eachSect"/>
          </w:endnotePr>
          <w:pgSz w:w="11907" w:h="16840" w:code="9"/>
          <w:pgMar w:top="2098" w:right="1304" w:bottom="1928" w:left="1304" w:header="1531" w:footer="1134" w:gutter="0"/>
          <w:cols w:space="720"/>
          <w:docGrid w:linePitch="360"/>
        </w:sectPr>
      </w:pPr>
    </w:p>
    <w:p w14:paraId="7A9BEE2F" w14:textId="53A19ADB" w:rsidR="00177827" w:rsidRDefault="0044586A" w:rsidP="007321B0">
      <w:pPr>
        <w:pStyle w:val="Para0"/>
      </w:pPr>
      <w:r>
        <w:t xml:space="preserve">Figure </w:t>
      </w:r>
      <w:r w:rsidR="001F6CE9">
        <w:t>4</w:t>
      </w:r>
      <w:r>
        <w:t xml:space="preserve">A: Free allowances are lower than </w:t>
      </w:r>
      <w:r w:rsidR="0077110D">
        <w:t>BAU</w:t>
      </w:r>
      <w:r w:rsidR="0046130D">
        <w:t xml:space="preserve"> </w:t>
      </w:r>
      <w:r>
        <w:t>emissions</w:t>
      </w:r>
      <w:r w:rsidR="00DC364B">
        <w:t xml:space="preserve">. </w:t>
      </w:r>
    </w:p>
    <w:p w14:paraId="4B0D8B51" w14:textId="49359D1C" w:rsidR="0044586A" w:rsidRDefault="00747800" w:rsidP="004D61AD">
      <w:pPr>
        <w:pStyle w:val="Para0"/>
      </w:pPr>
      <w:r>
        <w:rPr>
          <w:noProof/>
          <w:lang w:eastAsia="en-GB"/>
        </w:rPr>
        <w:lastRenderedPageBreak/>
        <w:drawing>
          <wp:inline distT="0" distB="0" distL="0" distR="0" wp14:anchorId="435C28AA" wp14:editId="28D90A26">
            <wp:extent cx="2772000" cy="154559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5660"/>
                    <a:stretch/>
                  </pic:blipFill>
                  <pic:spPr bwMode="auto">
                    <a:xfrm>
                      <a:off x="0" y="0"/>
                      <a:ext cx="2772000" cy="1545590"/>
                    </a:xfrm>
                    <a:prstGeom prst="rect">
                      <a:avLst/>
                    </a:prstGeom>
                    <a:noFill/>
                    <a:ln>
                      <a:noFill/>
                    </a:ln>
                    <a:extLst>
                      <a:ext uri="{53640926-AAD7-44D8-BBD7-CCE9431645EC}">
                        <a14:shadowObscured xmlns:a14="http://schemas.microsoft.com/office/drawing/2010/main"/>
                      </a:ext>
                    </a:extLst>
                  </pic:spPr>
                </pic:pic>
              </a:graphicData>
            </a:graphic>
          </wp:inline>
        </w:drawing>
      </w:r>
      <w:r w:rsidR="0044586A" w:rsidRPr="0044586A">
        <w:t xml:space="preserve"> </w:t>
      </w:r>
    </w:p>
    <w:p w14:paraId="61A68135" w14:textId="22021436" w:rsidR="0044586A" w:rsidRDefault="0044586A" w:rsidP="00512445">
      <w:pPr>
        <w:pStyle w:val="Para0"/>
        <w:ind w:left="0"/>
      </w:pPr>
      <w:r>
        <w:t xml:space="preserve">Figure </w:t>
      </w:r>
      <w:r w:rsidR="001F6CE9">
        <w:t>4</w:t>
      </w:r>
      <w:r w:rsidR="00FF416A">
        <w:t>B</w:t>
      </w:r>
      <w:r>
        <w:t>: Free allowances exceed emissions.</w:t>
      </w:r>
      <w:r w:rsidR="0077110D">
        <w:t xml:space="preserve"> </w:t>
      </w:r>
      <w:r w:rsidR="00B6275F">
        <w:rPr>
          <w:noProof/>
          <w:lang w:eastAsia="en-GB"/>
        </w:rPr>
        <w:drawing>
          <wp:inline distT="0" distB="0" distL="0" distR="0" wp14:anchorId="7A06921D" wp14:editId="4F9086D5">
            <wp:extent cx="2842260" cy="1760220"/>
            <wp:effectExtent l="0" t="0" r="0"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99" t="-11076" r="5806" b="4337"/>
                    <a:stretch/>
                  </pic:blipFill>
                  <pic:spPr bwMode="auto">
                    <a:xfrm>
                      <a:off x="0" y="0"/>
                      <a:ext cx="2846360" cy="1762759"/>
                    </a:xfrm>
                    <a:prstGeom prst="rect">
                      <a:avLst/>
                    </a:prstGeom>
                    <a:noFill/>
                    <a:ln>
                      <a:noFill/>
                    </a:ln>
                    <a:extLst>
                      <a:ext uri="{53640926-AAD7-44D8-BBD7-CCE9431645EC}">
                        <a14:shadowObscured xmlns:a14="http://schemas.microsoft.com/office/drawing/2010/main"/>
                      </a:ext>
                    </a:extLst>
                  </pic:spPr>
                </pic:pic>
              </a:graphicData>
            </a:graphic>
          </wp:inline>
        </w:drawing>
      </w:r>
    </w:p>
    <w:p w14:paraId="5EEAE0A2" w14:textId="44CE12FD" w:rsidR="00747800" w:rsidRDefault="00747800" w:rsidP="004D61AD">
      <w:pPr>
        <w:pStyle w:val="Para0"/>
      </w:pPr>
    </w:p>
    <w:p w14:paraId="1BDFA49F" w14:textId="77777777" w:rsidR="00FF416A" w:rsidRDefault="00FF416A" w:rsidP="00512445">
      <w:pPr>
        <w:pStyle w:val="Para0"/>
        <w:ind w:left="0"/>
      </w:pPr>
    </w:p>
    <w:p w14:paraId="012C6C7A" w14:textId="77777777" w:rsidR="00FF416A" w:rsidRDefault="00FF416A" w:rsidP="002A0F30">
      <w:pPr>
        <w:pStyle w:val="Sourcenotes"/>
        <w:sectPr w:rsidR="00FF416A" w:rsidSect="00512445">
          <w:endnotePr>
            <w:numFmt w:val="decimal"/>
            <w:numRestart w:val="eachSect"/>
          </w:endnotePr>
          <w:type w:val="continuous"/>
          <w:pgSz w:w="11907" w:h="16840" w:code="9"/>
          <w:pgMar w:top="2098" w:right="1304" w:bottom="1928" w:left="1304" w:header="1531" w:footer="1134" w:gutter="0"/>
          <w:cols w:num="2" w:space="720"/>
          <w:docGrid w:linePitch="360"/>
        </w:sectPr>
      </w:pPr>
    </w:p>
    <w:p w14:paraId="642D9F0C" w14:textId="47E5099F" w:rsidR="008D4CAA" w:rsidRDefault="008D4CAA" w:rsidP="00512445">
      <w:pPr>
        <w:pStyle w:val="Sourcenotes"/>
      </w:pPr>
      <w:r>
        <w:t>Note: The marginal abatement cost function ranks abatement opportunities from most expensive (close to zero emissions) to least expensive (close to business-as-usual emissions</w:t>
      </w:r>
      <w:r w:rsidR="00D2589F">
        <w:t>,</w:t>
      </w:r>
      <w:r>
        <w:t xml:space="preserve"> BAU). P is the market price for allowances, E* represents the cost-minimi</w:t>
      </w:r>
      <w:r w:rsidR="00DB77A9">
        <w:t>s</w:t>
      </w:r>
      <w:r>
        <w:t xml:space="preserve">ing emission level for the firm, whereas F represents the level of free allowances. </w:t>
      </w:r>
      <w:r w:rsidR="00D2589F">
        <w:t>E* depends on the aggregate emissions cap</w:t>
      </w:r>
      <w:r w:rsidR="002F2140">
        <w:t xml:space="preserve">. </w:t>
      </w:r>
      <w:r>
        <w:t>The yellow zone represents the total abatement costs, the blue zone the market value of free allowances (</w:t>
      </w:r>
      <w:r w:rsidRPr="00512445">
        <w:t>P x F</w:t>
      </w:r>
      <w:r>
        <w:t xml:space="preserve">) and the red zone the cost of buying allowances (Fig. </w:t>
      </w:r>
      <w:r w:rsidR="00DE4B64">
        <w:t>4</w:t>
      </w:r>
      <w:r>
        <w:t>A) or gain from selling excess allowances (</w:t>
      </w:r>
      <w:r w:rsidR="00DB77A9">
        <w:t>F</w:t>
      </w:r>
      <w:r>
        <w:t xml:space="preserve">ig </w:t>
      </w:r>
      <w:r w:rsidR="00DE4B64">
        <w:t>4</w:t>
      </w:r>
      <w:r>
        <w:t>B).</w:t>
      </w:r>
      <w:r w:rsidR="00747800" w:rsidRPr="00747800">
        <w:t xml:space="preserve"> </w:t>
      </w:r>
      <w:r w:rsidR="00747800">
        <w:t>If there are no free allowances, e.g. in the case of a carbon tax without exemptions or auctioned ETS, the cost of buying allowances, i.e. the red area, expands to include the blue area.</w:t>
      </w:r>
    </w:p>
    <w:p w14:paraId="453B7650" w14:textId="77777777" w:rsidR="008D4CAA" w:rsidRDefault="008D4CAA">
      <w:pPr>
        <w:pStyle w:val="Sourcenotes"/>
      </w:pPr>
    </w:p>
    <w:p w14:paraId="1536A492" w14:textId="77777777" w:rsidR="006C26D0" w:rsidRPr="00FC2112" w:rsidRDefault="006C26D0" w:rsidP="00512445">
      <w:pPr>
        <w:pStyle w:val="Sourcenotes"/>
      </w:pPr>
      <w:r>
        <w:t>Source: Authors</w:t>
      </w:r>
    </w:p>
    <w:bookmarkEnd w:id="28"/>
    <w:p w14:paraId="6C542FC8" w14:textId="51A3F06D" w:rsidR="00B14066" w:rsidRDefault="004D61AD" w:rsidP="004D61AD">
      <w:pPr>
        <w:pStyle w:val="Para0"/>
      </w:pPr>
      <w:r w:rsidRPr="00FC2112">
        <w:t xml:space="preserve">There </w:t>
      </w:r>
      <w:r w:rsidR="00DB77A9">
        <w:t>are</w:t>
      </w:r>
      <w:r w:rsidRPr="00FC2112">
        <w:t xml:space="preserve"> a wide variety of possible GHG abatement opportunities and costs; these vary between and within sectors. For example, firms can invest in energy efficiency, switch to lower-carbon fuels, or substitute other inputs. </w:t>
      </w:r>
      <w:r w:rsidR="00B14066">
        <w:t xml:space="preserve">The marginal abatement cost function represented in Figure </w:t>
      </w:r>
      <w:r w:rsidR="00DE4B64">
        <w:t>4</w:t>
      </w:r>
      <w:r w:rsidR="00B14066">
        <w:t xml:space="preserve"> expresses the idea that when a company is close to business as usual emissions, reducing emissions tends to be cheap. But </w:t>
      </w:r>
      <w:r w:rsidR="00EC4DE1">
        <w:t xml:space="preserve">further emission reductions </w:t>
      </w:r>
      <w:r w:rsidR="00B14066">
        <w:t xml:space="preserve">will come at a </w:t>
      </w:r>
      <w:r w:rsidR="00EC4DE1">
        <w:t>higher</w:t>
      </w:r>
      <w:r w:rsidR="00B14066">
        <w:t xml:space="preserve"> cost. Studies find that the EU ETS reduced emissions by around 10%, corresponding to 200 </w:t>
      </w:r>
      <w:proofErr w:type="spellStart"/>
      <w:r w:rsidR="00B14066">
        <w:t>mt</w:t>
      </w:r>
      <w:proofErr w:type="spellEnd"/>
      <w:r w:rsidR="00B14066">
        <w:t xml:space="preserve"> CO</w:t>
      </w:r>
      <w:r w:rsidR="00B14066" w:rsidRPr="002B4AB5">
        <w:rPr>
          <w:vertAlign w:val="subscript"/>
        </w:rPr>
        <w:t xml:space="preserve">2 </w:t>
      </w:r>
      <w:r w:rsidR="00B14066">
        <w:t xml:space="preserve">/year </w:t>
      </w:r>
      <w:r w:rsidR="00BC7DED" w:rsidRPr="0096259C">
        <w:rPr>
          <w:noProof/>
        </w:rPr>
        <w:t>(Martin, Muûls and Wagner, 2016</w:t>
      </w:r>
      <w:r w:rsidR="00BC7DED" w:rsidRPr="0096259C">
        <w:rPr>
          <w:noProof/>
          <w:vertAlign w:val="subscript"/>
        </w:rPr>
        <w:t>[8]</w:t>
      </w:r>
      <w:r w:rsidR="00BC7DED" w:rsidRPr="0096259C">
        <w:rPr>
          <w:noProof/>
        </w:rPr>
        <w:t>)</w:t>
      </w:r>
      <w:r w:rsidR="0006253A">
        <w:t>. This</w:t>
      </w:r>
      <w:r w:rsidR="00B14066">
        <w:t xml:space="preserve"> indicat</w:t>
      </w:r>
      <w:r w:rsidR="0006253A">
        <w:t>es</w:t>
      </w:r>
      <w:r w:rsidR="00B14066">
        <w:t xml:space="preserve"> that </w:t>
      </w:r>
      <w:r w:rsidR="0006253A">
        <w:t xml:space="preserve">the total </w:t>
      </w:r>
      <w:r w:rsidR="00B14066">
        <w:t xml:space="preserve">abatement costs </w:t>
      </w:r>
      <w:r w:rsidR="0006253A">
        <w:t>for at least certain firms were non-negligible</w:t>
      </w:r>
      <w:r w:rsidR="00B14066">
        <w:t xml:space="preserve">. </w:t>
      </w:r>
    </w:p>
    <w:p w14:paraId="74B9F514" w14:textId="4A0F7DBF" w:rsidR="004D61AD" w:rsidRPr="00F870FB" w:rsidRDefault="004D61AD" w:rsidP="004D61AD">
      <w:pPr>
        <w:pStyle w:val="Para0"/>
      </w:pPr>
      <w:r w:rsidRPr="00FC2112">
        <w:t xml:space="preserve">Under a carbon price, firms have an incentive to avoid those emissions that can be abated at a cost below the carbon price. This is also the case when firms receive free allocation above their </w:t>
      </w:r>
      <w:proofErr w:type="gramStart"/>
      <w:r w:rsidRPr="00FC2112">
        <w:t>emissions, because</w:t>
      </w:r>
      <w:proofErr w:type="gramEnd"/>
      <w:r w:rsidRPr="00FC2112">
        <w:t xml:space="preserve"> every abated tonne of CO</w:t>
      </w:r>
      <w:r w:rsidRPr="00FC2112">
        <w:rPr>
          <w:vertAlign w:val="subscript"/>
        </w:rPr>
        <w:t xml:space="preserve">2 </w:t>
      </w:r>
      <w:r w:rsidRPr="00FC2112">
        <w:t xml:space="preserve">allows </w:t>
      </w:r>
      <w:r w:rsidR="00EE713E">
        <w:t xml:space="preserve">firms </w:t>
      </w:r>
      <w:r w:rsidRPr="00FC2112">
        <w:t>to sell an extra allowance. In other words, allocations create an opportunity cost which is the same for under- as well as over-allocated firms. Therefore, as a first approximation, free</w:t>
      </w:r>
      <w:r>
        <w:t xml:space="preserve"> allocation does not affect the incentive for abatement </w:t>
      </w:r>
      <w:r w:rsidR="00BC7DED" w:rsidRPr="0096259C">
        <w:rPr>
          <w:noProof/>
        </w:rPr>
        <w:t>(Coase, 1960</w:t>
      </w:r>
      <w:r w:rsidR="00BC7DED" w:rsidRPr="0096259C">
        <w:rPr>
          <w:noProof/>
          <w:vertAlign w:val="subscript"/>
        </w:rPr>
        <w:t>[6]</w:t>
      </w:r>
      <w:r w:rsidR="00BC7DED" w:rsidRPr="0096259C">
        <w:rPr>
          <w:noProof/>
        </w:rPr>
        <w:t>)</w:t>
      </w:r>
      <w:r>
        <w:t xml:space="preserve">. Venmans </w:t>
      </w:r>
      <w:r w:rsidR="00BC7DED" w:rsidRPr="0096259C">
        <w:rPr>
          <w:noProof/>
        </w:rPr>
        <w:t>(2016</w:t>
      </w:r>
      <w:r w:rsidR="00BC7DED" w:rsidRPr="0096259C">
        <w:rPr>
          <w:noProof/>
          <w:vertAlign w:val="subscript"/>
        </w:rPr>
        <w:t>[7]</w:t>
      </w:r>
      <w:r w:rsidR="00BC7DED" w:rsidRPr="0096259C">
        <w:rPr>
          <w:noProof/>
        </w:rPr>
        <w:t>)</w:t>
      </w:r>
      <w:r>
        <w:t xml:space="preserve"> shows, however, that firms perceive an allocation below actual emissions as a stronger incentive to abate compared to an allocation above emissions.</w:t>
      </w:r>
      <w:r>
        <w:rPr>
          <w:rStyle w:val="Appelnotedebasdep"/>
        </w:rPr>
        <w:footnoteReference w:id="6"/>
      </w:r>
      <w:r>
        <w:t xml:space="preserve"> </w:t>
      </w:r>
    </w:p>
    <w:p w14:paraId="1CFBEFFC" w14:textId="39DE3A7E" w:rsidR="004D61AD" w:rsidRDefault="004D61AD" w:rsidP="004D61AD">
      <w:pPr>
        <w:pStyle w:val="Para0"/>
      </w:pPr>
      <w:bookmarkStart w:id="29" w:name="_Hlk38578849"/>
      <w:r w:rsidRPr="00FC2112">
        <w:t>Direct carbon costs occur if firms covered by emissions trading schemes receive fewer free allowances than their emissions and would therefore need to buy emissions allowances</w:t>
      </w:r>
      <w:r w:rsidR="000803F7">
        <w:t xml:space="preserve"> as shown in </w:t>
      </w:r>
      <w:r w:rsidR="009A625F">
        <w:t>F</w:t>
      </w:r>
      <w:r w:rsidR="000803F7">
        <w:t xml:space="preserve">igure </w:t>
      </w:r>
      <w:r w:rsidR="00DE4B64">
        <w:t>4</w:t>
      </w:r>
      <w:r w:rsidRPr="00FC2112">
        <w:t>.</w:t>
      </w:r>
      <w:r w:rsidR="0006253A">
        <w:t xml:space="preserve"> These costs can be large.</w:t>
      </w:r>
      <w:r w:rsidRPr="00FC2112">
        <w:t xml:space="preserve"> As outlined above, </w:t>
      </w:r>
      <w:r w:rsidR="0006253A">
        <w:t xml:space="preserve">all </w:t>
      </w:r>
      <w:r w:rsidRPr="00FC2112">
        <w:t>ETS whose coverage includes trade-exposed and carbon-intensive firms, apply a significant level of free allocation of allowances to such firms. This limits the</w:t>
      </w:r>
      <w:r w:rsidR="0006253A">
        <w:t>ir</w:t>
      </w:r>
      <w:r w:rsidRPr="00FC2112">
        <w:t xml:space="preserve"> direct carbon costs. </w:t>
      </w:r>
      <w:r w:rsidRPr="00FC2112">
        <w:fldChar w:fldCharType="begin"/>
      </w:r>
      <w:r w:rsidRPr="00FC2112">
        <w:instrText xml:space="preserve"> REF _Ref7808368 \h </w:instrText>
      </w:r>
      <w:r>
        <w:instrText xml:space="preserve"> \* MERGEFORMAT </w:instrText>
      </w:r>
      <w:r w:rsidRPr="00FC2112">
        <w:fldChar w:fldCharType="separate"/>
      </w:r>
      <w:r>
        <w:t xml:space="preserve">Figure </w:t>
      </w:r>
      <w:r>
        <w:rPr>
          <w:noProof/>
        </w:rPr>
        <w:t>2</w:t>
      </w:r>
      <w:r w:rsidRPr="00FC2112">
        <w:fldChar w:fldCharType="end"/>
      </w:r>
      <w:r w:rsidRPr="00FC2112">
        <w:t xml:space="preserve"> highlights that the level of free allocation in the EU ETS exceeded 100% for some sectors</w:t>
      </w:r>
      <w:r w:rsidR="000F7F79">
        <w:t xml:space="preserve"> in </w:t>
      </w:r>
      <w:r w:rsidR="000F7F79" w:rsidRPr="00DE4B64">
        <w:t>some years</w:t>
      </w:r>
      <w:r w:rsidRPr="00DE4B64">
        <w:t xml:space="preserve">. In </w:t>
      </w:r>
      <w:r w:rsidR="000F7F79" w:rsidRPr="00DE4B64">
        <w:t>these</w:t>
      </w:r>
      <w:r w:rsidRPr="00DE4B64">
        <w:t xml:space="preserve"> cases, the EU ETS </w:t>
      </w:r>
      <w:r w:rsidR="00541299">
        <w:t>may have</w:t>
      </w:r>
      <w:r w:rsidRPr="00DE4B64">
        <w:t xml:space="preserve"> </w:t>
      </w:r>
      <w:r w:rsidRPr="00DE4B64">
        <w:lastRenderedPageBreak/>
        <w:t xml:space="preserve">provided a direct </w:t>
      </w:r>
      <w:r w:rsidRPr="00997125">
        <w:rPr>
          <w:i/>
          <w:iCs/>
        </w:rPr>
        <w:t>benefit</w:t>
      </w:r>
      <w:r w:rsidRPr="00DE4B64">
        <w:t xml:space="preserve"> to participating firms</w:t>
      </w:r>
      <w:r w:rsidR="000803F7" w:rsidRPr="00512445">
        <w:t xml:space="preserve">, </w:t>
      </w:r>
      <w:r w:rsidR="00541299">
        <w:t>if the value of these excess allowances is larger than their</w:t>
      </w:r>
      <w:r w:rsidR="000803F7" w:rsidRPr="00512445">
        <w:t xml:space="preserve"> total abatement costs</w:t>
      </w:r>
      <w:r w:rsidRPr="00DE4B64">
        <w:t>.</w:t>
      </w:r>
    </w:p>
    <w:p w14:paraId="796CE209" w14:textId="0851D5F3" w:rsidR="007C656B" w:rsidRDefault="00EB5F65" w:rsidP="001F6CE9">
      <w:pPr>
        <w:pStyle w:val="Para0"/>
      </w:pPr>
      <w:bookmarkStart w:id="30" w:name="_Hlk38578971"/>
      <w:bookmarkEnd w:id="29"/>
      <w:r>
        <w:t xml:space="preserve">Carbon prices in ETS can vary considerably over time, as shown in Figure 1. </w:t>
      </w:r>
      <w:r w:rsidR="00AD4169">
        <w:t>Th</w:t>
      </w:r>
      <w:r>
        <w:t xml:space="preserve">is </w:t>
      </w:r>
      <w:r w:rsidR="008D09B1">
        <w:t xml:space="preserve">price volatility </w:t>
      </w:r>
      <w:r w:rsidR="001F6CE9">
        <w:t xml:space="preserve">has different effects and </w:t>
      </w:r>
      <w:r w:rsidR="008D09B1">
        <w:t>can create a</w:t>
      </w:r>
      <w:r w:rsidR="001F6CE9">
        <w:t>n</w:t>
      </w:r>
      <w:r w:rsidR="008D09B1">
        <w:t xml:space="preserve"> incentive </w:t>
      </w:r>
      <w:r w:rsidR="001F6CE9">
        <w:t xml:space="preserve">to invest </w:t>
      </w:r>
      <w:r w:rsidR="00EE713E">
        <w:t>or</w:t>
      </w:r>
      <w:r w:rsidR="008D09B1">
        <w:t xml:space="preserve"> a</w:t>
      </w:r>
      <w:r w:rsidR="001F6CE9">
        <w:t xml:space="preserve"> disincentive to invest</w:t>
      </w:r>
      <w:r w:rsidR="00AD4169">
        <w:t xml:space="preserve"> (Venmans, 2016)</w:t>
      </w:r>
      <w:r w:rsidR="001F6CE9">
        <w:t>.</w:t>
      </w:r>
      <w:r w:rsidR="001F6CE9">
        <w:rPr>
          <w:rStyle w:val="Appelnotedebasdep"/>
        </w:rPr>
        <w:footnoteReference w:id="7"/>
      </w:r>
      <w:r w:rsidR="001F6CE9">
        <w:t xml:space="preserve"> </w:t>
      </w:r>
      <w:r w:rsidR="00221EEE">
        <w:t>In general</w:t>
      </w:r>
      <w:r w:rsidR="007C656B">
        <w:t xml:space="preserve">, </w:t>
      </w:r>
      <w:r w:rsidR="00221EEE">
        <w:t>moderate</w:t>
      </w:r>
      <w:r w:rsidR="007C656B">
        <w:t xml:space="preserve"> price volatility creates an incentive to invest, while extreme volatility is detrimental to investment.</w:t>
      </w:r>
    </w:p>
    <w:p w14:paraId="6C5D6452" w14:textId="2C140CC7" w:rsidR="000F7ED5" w:rsidRDefault="00C81E2D" w:rsidP="004D61AD">
      <w:pPr>
        <w:pStyle w:val="Para0"/>
      </w:pPr>
      <w:bookmarkStart w:id="31" w:name="_Hlk38578876"/>
      <w:bookmarkEnd w:id="30"/>
      <w:r>
        <w:t xml:space="preserve">Carbon taxes create a similar abatement incentive as an </w:t>
      </w:r>
      <w:r w:rsidR="00635E5E">
        <w:t>ETS</w:t>
      </w:r>
      <w:r>
        <w:t xml:space="preserve"> without free allowances</w:t>
      </w:r>
      <w:r w:rsidR="000F7ED5">
        <w:t xml:space="preserve"> and</w:t>
      </w:r>
      <w:r>
        <w:t xml:space="preserve"> a foreseeable cost. </w:t>
      </w:r>
      <w:r w:rsidR="009A625F">
        <w:t>Energy</w:t>
      </w:r>
      <w:r w:rsidR="000F7ED5">
        <w:t xml:space="preserve"> taxes</w:t>
      </w:r>
      <w:r w:rsidR="009A625F">
        <w:t xml:space="preserve"> </w:t>
      </w:r>
      <w:r w:rsidR="00722A59">
        <w:t>have the same effect as carbon taxes</w:t>
      </w:r>
      <w:r w:rsidR="00D65CAF">
        <w:t>, although they often create a different implicit carbon price for different fuels.</w:t>
      </w:r>
      <w:r w:rsidR="00722A59">
        <w:rPr>
          <w:rStyle w:val="Appelnotedebasdep"/>
        </w:rPr>
        <w:footnoteReference w:id="8"/>
      </w:r>
      <w:r w:rsidR="000F7ED5">
        <w:t xml:space="preserve"> </w:t>
      </w:r>
      <w:bookmarkEnd w:id="31"/>
    </w:p>
    <w:p w14:paraId="2F993642" w14:textId="14C1229F" w:rsidR="00C512C5" w:rsidRDefault="004D61AD" w:rsidP="004D61AD">
      <w:pPr>
        <w:pStyle w:val="Para0"/>
      </w:pPr>
      <w:r w:rsidRPr="00FC2112">
        <w:t xml:space="preserve">As the carbon intensity of producing different outputs varies, so does their direct carbon cost (EUR/t output). </w:t>
      </w:r>
      <w:r w:rsidRPr="00FC2112">
        <w:fldChar w:fldCharType="begin"/>
      </w:r>
      <w:r w:rsidRPr="00FC2112">
        <w:instrText xml:space="preserve"> REF _Ref7852834 \h </w:instrText>
      </w:r>
      <w:r>
        <w:instrText xml:space="preserve"> \* MERGEFORMAT </w:instrText>
      </w:r>
      <w:r w:rsidRPr="00FC2112">
        <w:fldChar w:fldCharType="separate"/>
      </w:r>
      <w:r>
        <w:t xml:space="preserve">Table </w:t>
      </w:r>
      <w:r>
        <w:rPr>
          <w:noProof/>
        </w:rPr>
        <w:t>1</w:t>
      </w:r>
      <w:r w:rsidRPr="00FC2112">
        <w:fldChar w:fldCharType="end"/>
      </w:r>
      <w:r w:rsidRPr="00FC2112">
        <w:t xml:space="preserve"> highlights the carbon intensity and direct carbon costs for a selection of outputs, assuming a fully auctioned price of 30 EUR/t CO</w:t>
      </w:r>
      <w:r w:rsidRPr="00FC2112">
        <w:rPr>
          <w:vertAlign w:val="subscript"/>
        </w:rPr>
        <w:t>2</w:t>
      </w:r>
      <w:r w:rsidRPr="00FC2112">
        <w:t>. Carbon intensities correspond to the current product benchmarks in the EU ETS, estimated to be the carbon intensity of the 10% most carbon effic</w:t>
      </w:r>
      <w:r>
        <w:t>ient plants. They include</w:t>
      </w:r>
      <w:r w:rsidDel="000E42D4">
        <w:t xml:space="preserve"> </w:t>
      </w:r>
      <w:r>
        <w:t>direct CO</w:t>
      </w:r>
      <w:r w:rsidRPr="00C94917">
        <w:rPr>
          <w:vertAlign w:val="subscript"/>
        </w:rPr>
        <w:t>2</w:t>
      </w:r>
      <w:r w:rsidRPr="009E7697">
        <w:t xml:space="preserve"> </w:t>
      </w:r>
      <w:r>
        <w:t>or other GHG emissions</w:t>
      </w:r>
      <w:r w:rsidDel="000E42D4">
        <w:t xml:space="preserve"> </w:t>
      </w:r>
      <w:r>
        <w:t>(“scope 1”), not the indirect emissions from electricity production (“scope 2”).</w:t>
      </w:r>
    </w:p>
    <w:p w14:paraId="776CB32D" w14:textId="0EBDF5D8" w:rsidR="004D61AD" w:rsidRPr="00512445" w:rsidRDefault="004D61AD" w:rsidP="00512445">
      <w:pPr>
        <w:pStyle w:val="Para0"/>
        <w:jc w:val="center"/>
      </w:pPr>
      <w:bookmarkStart w:id="32" w:name="_Ref7852834"/>
      <w:bookmarkStart w:id="33" w:name="_Toc8061884"/>
      <w:bookmarkStart w:id="34" w:name="_Toc19721943"/>
      <w:r w:rsidRPr="00512445">
        <w:rPr>
          <w:b/>
        </w:rPr>
        <w:t xml:space="preserve">Table </w:t>
      </w:r>
      <w:r w:rsidR="00195F19" w:rsidRPr="00512445">
        <w:rPr>
          <w:b/>
        </w:rPr>
        <w:fldChar w:fldCharType="begin"/>
      </w:r>
      <w:r w:rsidR="00195F19" w:rsidRPr="00512445">
        <w:rPr>
          <w:b/>
        </w:rPr>
        <w:instrText xml:space="preserve"> SEQ Table \* ARABIC </w:instrText>
      </w:r>
      <w:r w:rsidR="00195F19" w:rsidRPr="00512445">
        <w:rPr>
          <w:b/>
        </w:rPr>
        <w:fldChar w:fldCharType="separate"/>
      </w:r>
      <w:r w:rsidRPr="00512445">
        <w:rPr>
          <w:b/>
          <w:noProof/>
        </w:rPr>
        <w:t>1</w:t>
      </w:r>
      <w:r w:rsidR="00195F19" w:rsidRPr="00512445">
        <w:rPr>
          <w:b/>
          <w:noProof/>
        </w:rPr>
        <w:fldChar w:fldCharType="end"/>
      </w:r>
      <w:bookmarkEnd w:id="32"/>
      <w:r w:rsidRPr="00512445">
        <w:rPr>
          <w:b/>
        </w:rPr>
        <w:t>: Carbon intensities and direct carbon costs for selected products in the EU ETS (assuming a fully auctioned price of 30 EUR/t CO</w:t>
      </w:r>
      <w:r w:rsidRPr="00512445">
        <w:rPr>
          <w:b/>
          <w:vertAlign w:val="subscript"/>
        </w:rPr>
        <w:t>2</w:t>
      </w:r>
      <w:r w:rsidRPr="00512445">
        <w:rPr>
          <w:b/>
        </w:rPr>
        <w:t>eq)</w:t>
      </w:r>
      <w:bookmarkEnd w:id="33"/>
      <w:bookmarkEnd w:id="34"/>
    </w:p>
    <w:tbl>
      <w:tblPr>
        <w:tblStyle w:val="OECD"/>
        <w:tblW w:w="0" w:type="auto"/>
        <w:tblLook w:val="04A0" w:firstRow="1" w:lastRow="0" w:firstColumn="1" w:lastColumn="0" w:noHBand="0" w:noVBand="1"/>
      </w:tblPr>
      <w:tblGrid>
        <w:gridCol w:w="2552"/>
        <w:gridCol w:w="3167"/>
        <w:gridCol w:w="3052"/>
      </w:tblGrid>
      <w:tr w:rsidR="004D61AD" w:rsidRPr="00FE3BF8" w14:paraId="361FC4C9" w14:textId="77777777" w:rsidTr="0018198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tcBorders>
              <w:bottom w:val="single" w:sz="12" w:space="0" w:color="auto"/>
              <w:right w:val="single" w:sz="4" w:space="0" w:color="auto"/>
            </w:tcBorders>
            <w:noWrap/>
            <w:hideMark/>
          </w:tcPr>
          <w:p w14:paraId="2022C3E7"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Product name</w:t>
            </w:r>
          </w:p>
        </w:tc>
        <w:tc>
          <w:tcPr>
            <w:tcW w:w="3167" w:type="dxa"/>
            <w:tcBorders>
              <w:left w:val="single" w:sz="4" w:space="0" w:color="auto"/>
              <w:bottom w:val="single" w:sz="12" w:space="0" w:color="auto"/>
            </w:tcBorders>
            <w:noWrap/>
            <w:hideMark/>
          </w:tcPr>
          <w:p w14:paraId="70C246D0" w14:textId="77777777" w:rsidR="004D61AD" w:rsidRPr="0067566D" w:rsidRDefault="004D61AD" w:rsidP="0018198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GHG intensity (tCO</w:t>
            </w:r>
            <w:r w:rsidRPr="0067566D">
              <w:rPr>
                <w:rFonts w:ascii="Arial Narrow" w:eastAsia="Times New Roman" w:hAnsi="Arial Narrow" w:cs="Calibri"/>
                <w:color w:val="000000"/>
                <w:sz w:val="17"/>
                <w:szCs w:val="17"/>
                <w:vertAlign w:val="subscript"/>
                <w:lang w:eastAsia="fr-BE"/>
              </w:rPr>
              <w:t>2</w:t>
            </w:r>
            <w:r w:rsidRPr="0067566D">
              <w:rPr>
                <w:rFonts w:ascii="Arial Narrow" w:eastAsia="Times New Roman" w:hAnsi="Arial Narrow" w:cs="Calibri"/>
                <w:color w:val="000000"/>
                <w:sz w:val="17"/>
                <w:szCs w:val="17"/>
                <w:lang w:eastAsia="fr-BE"/>
              </w:rPr>
              <w:t>eq</w:t>
            </w:r>
            <w:r w:rsidRPr="0067566D">
              <w:rPr>
                <w:rFonts w:ascii="Arial Narrow" w:eastAsia="Times New Roman" w:hAnsi="Arial Narrow" w:cs="Calibri"/>
                <w:color w:val="000000"/>
                <w:sz w:val="17"/>
                <w:szCs w:val="17"/>
                <w:vertAlign w:val="subscript"/>
                <w:lang w:eastAsia="fr-BE"/>
              </w:rPr>
              <w:t xml:space="preserve"> </w:t>
            </w:r>
            <w:r w:rsidRPr="0067566D">
              <w:rPr>
                <w:rFonts w:ascii="Arial Narrow" w:eastAsia="Times New Roman" w:hAnsi="Arial Narrow" w:cs="Calibri"/>
                <w:color w:val="000000"/>
                <w:sz w:val="17"/>
                <w:szCs w:val="17"/>
                <w:lang w:eastAsia="fr-BE"/>
              </w:rPr>
              <w:t xml:space="preserve">per </w:t>
            </w:r>
            <w:proofErr w:type="spellStart"/>
            <w:r w:rsidRPr="0067566D">
              <w:rPr>
                <w:rFonts w:ascii="Arial Narrow" w:eastAsia="Times New Roman" w:hAnsi="Arial Narrow" w:cs="Calibri"/>
                <w:color w:val="000000"/>
                <w:sz w:val="17"/>
                <w:szCs w:val="17"/>
                <w:lang w:eastAsia="fr-BE"/>
              </w:rPr>
              <w:t>tonne</w:t>
            </w:r>
            <w:proofErr w:type="spellEnd"/>
            <w:r w:rsidRPr="0067566D">
              <w:rPr>
                <w:rFonts w:ascii="Arial Narrow" w:eastAsia="Times New Roman" w:hAnsi="Arial Narrow" w:cs="Calibri"/>
                <w:color w:val="000000"/>
                <w:sz w:val="17"/>
                <w:szCs w:val="17"/>
                <w:lang w:eastAsia="fr-BE"/>
              </w:rPr>
              <w:t xml:space="preserve"> of product)</w:t>
            </w:r>
          </w:p>
        </w:tc>
        <w:tc>
          <w:tcPr>
            <w:tcW w:w="0" w:type="auto"/>
            <w:tcBorders>
              <w:bottom w:val="single" w:sz="12" w:space="0" w:color="auto"/>
            </w:tcBorders>
            <w:noWrap/>
            <w:hideMark/>
          </w:tcPr>
          <w:p w14:paraId="682387DB" w14:textId="77777777" w:rsidR="004D61AD" w:rsidRPr="0067566D" w:rsidRDefault="004D61AD" w:rsidP="0018198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 xml:space="preserve">Direct carbon cost (EUR per </w:t>
            </w:r>
            <w:proofErr w:type="spellStart"/>
            <w:r w:rsidRPr="0067566D">
              <w:rPr>
                <w:rFonts w:ascii="Arial Narrow" w:eastAsia="Times New Roman" w:hAnsi="Arial Narrow" w:cs="Calibri"/>
                <w:color w:val="000000"/>
                <w:sz w:val="17"/>
                <w:szCs w:val="17"/>
                <w:lang w:eastAsia="fr-BE"/>
              </w:rPr>
              <w:t>tonne</w:t>
            </w:r>
            <w:proofErr w:type="spellEnd"/>
            <w:r w:rsidRPr="0067566D">
              <w:rPr>
                <w:rFonts w:ascii="Arial Narrow" w:eastAsia="Times New Roman" w:hAnsi="Arial Narrow" w:cs="Calibri"/>
                <w:color w:val="000000"/>
                <w:sz w:val="17"/>
                <w:szCs w:val="17"/>
                <w:lang w:eastAsia="fr-BE"/>
              </w:rPr>
              <w:t xml:space="preserve"> of product)</w:t>
            </w:r>
          </w:p>
        </w:tc>
      </w:tr>
      <w:tr w:rsidR="004D61AD" w:rsidRPr="00D3686B" w14:paraId="1AFFA8B1"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right w:val="single" w:sz="4" w:space="0" w:color="auto"/>
            </w:tcBorders>
            <w:noWrap/>
            <w:hideMark/>
          </w:tcPr>
          <w:p w14:paraId="7BCD1FE5"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Ammonia</w:t>
            </w:r>
          </w:p>
        </w:tc>
        <w:tc>
          <w:tcPr>
            <w:tcW w:w="0" w:type="auto"/>
            <w:tcBorders>
              <w:top w:val="single" w:sz="12" w:space="0" w:color="auto"/>
              <w:left w:val="single" w:sz="4" w:space="0" w:color="auto"/>
            </w:tcBorders>
            <w:noWrap/>
            <w:hideMark/>
          </w:tcPr>
          <w:p w14:paraId="074D7BF9"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1.619</w:t>
            </w:r>
          </w:p>
        </w:tc>
        <w:tc>
          <w:tcPr>
            <w:tcW w:w="0" w:type="auto"/>
            <w:tcBorders>
              <w:top w:val="single" w:sz="12" w:space="0" w:color="auto"/>
            </w:tcBorders>
            <w:noWrap/>
            <w:hideMark/>
          </w:tcPr>
          <w:p w14:paraId="4299A299"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49</w:t>
            </w:r>
          </w:p>
        </w:tc>
      </w:tr>
      <w:tr w:rsidR="004D61AD" w:rsidRPr="00D3686B" w14:paraId="0B6B26AA" w14:textId="77777777" w:rsidTr="001819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5CF7515C" w14:textId="77777777" w:rsidR="004D61AD" w:rsidRPr="0067566D" w:rsidRDefault="004D61AD" w:rsidP="00181986">
            <w:pPr>
              <w:rPr>
                <w:rFonts w:ascii="Arial Narrow" w:eastAsia="Times New Roman" w:hAnsi="Arial Narrow" w:cs="Calibri"/>
                <w:color w:val="000000"/>
                <w:sz w:val="17"/>
                <w:szCs w:val="17"/>
                <w:lang w:eastAsia="fr-BE"/>
              </w:rPr>
            </w:pPr>
            <w:proofErr w:type="spellStart"/>
            <w:r w:rsidRPr="0067566D">
              <w:rPr>
                <w:rFonts w:ascii="Arial Narrow" w:eastAsia="Times New Roman" w:hAnsi="Arial Narrow" w:cs="Calibri"/>
                <w:color w:val="000000"/>
                <w:sz w:val="17"/>
                <w:szCs w:val="17"/>
                <w:lang w:eastAsia="fr-BE"/>
              </w:rPr>
              <w:t>Aluminium</w:t>
            </w:r>
            <w:proofErr w:type="spellEnd"/>
          </w:p>
        </w:tc>
        <w:tc>
          <w:tcPr>
            <w:tcW w:w="0" w:type="auto"/>
            <w:tcBorders>
              <w:left w:val="single" w:sz="4" w:space="0" w:color="auto"/>
            </w:tcBorders>
            <w:noWrap/>
            <w:hideMark/>
          </w:tcPr>
          <w:p w14:paraId="16F92611"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1.514</w:t>
            </w:r>
          </w:p>
        </w:tc>
        <w:tc>
          <w:tcPr>
            <w:tcW w:w="0" w:type="auto"/>
            <w:noWrap/>
            <w:hideMark/>
          </w:tcPr>
          <w:p w14:paraId="6F362660"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45</w:t>
            </w:r>
          </w:p>
        </w:tc>
      </w:tr>
      <w:tr w:rsidR="004D61AD" w:rsidRPr="00D3686B" w14:paraId="06C17BBD"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28B70FEA"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Hot metal (liquid iron)</w:t>
            </w:r>
          </w:p>
        </w:tc>
        <w:tc>
          <w:tcPr>
            <w:tcW w:w="0" w:type="auto"/>
            <w:tcBorders>
              <w:left w:val="single" w:sz="4" w:space="0" w:color="auto"/>
            </w:tcBorders>
            <w:noWrap/>
            <w:hideMark/>
          </w:tcPr>
          <w:p w14:paraId="11EA5AC7"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1.328</w:t>
            </w:r>
          </w:p>
        </w:tc>
        <w:tc>
          <w:tcPr>
            <w:tcW w:w="0" w:type="auto"/>
            <w:noWrap/>
            <w:hideMark/>
          </w:tcPr>
          <w:p w14:paraId="66A944CE"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40</w:t>
            </w:r>
          </w:p>
        </w:tc>
      </w:tr>
      <w:tr w:rsidR="004D61AD" w:rsidRPr="00D3686B" w14:paraId="4F60BC2E" w14:textId="77777777" w:rsidTr="001819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47B4C086"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Lime</w:t>
            </w:r>
          </w:p>
        </w:tc>
        <w:tc>
          <w:tcPr>
            <w:tcW w:w="0" w:type="auto"/>
            <w:tcBorders>
              <w:left w:val="single" w:sz="4" w:space="0" w:color="auto"/>
            </w:tcBorders>
            <w:noWrap/>
            <w:hideMark/>
          </w:tcPr>
          <w:p w14:paraId="7C4ABDBA"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0.954</w:t>
            </w:r>
          </w:p>
        </w:tc>
        <w:tc>
          <w:tcPr>
            <w:tcW w:w="0" w:type="auto"/>
            <w:noWrap/>
            <w:hideMark/>
          </w:tcPr>
          <w:p w14:paraId="5A5D7BBC"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29</w:t>
            </w:r>
          </w:p>
        </w:tc>
      </w:tr>
      <w:tr w:rsidR="004D61AD" w:rsidRPr="00D3686B" w14:paraId="441859F5"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4D20053B"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Grey cement clinker</w:t>
            </w:r>
          </w:p>
        </w:tc>
        <w:tc>
          <w:tcPr>
            <w:tcW w:w="0" w:type="auto"/>
            <w:tcBorders>
              <w:left w:val="single" w:sz="4" w:space="0" w:color="auto"/>
            </w:tcBorders>
            <w:noWrap/>
            <w:hideMark/>
          </w:tcPr>
          <w:p w14:paraId="60757E13"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0.766</w:t>
            </w:r>
          </w:p>
        </w:tc>
        <w:tc>
          <w:tcPr>
            <w:tcW w:w="0" w:type="auto"/>
            <w:noWrap/>
            <w:hideMark/>
          </w:tcPr>
          <w:p w14:paraId="16729059"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23</w:t>
            </w:r>
          </w:p>
        </w:tc>
      </w:tr>
      <w:tr w:rsidR="004D61AD" w:rsidRPr="00D3686B" w14:paraId="1AFC784E" w14:textId="77777777" w:rsidTr="001819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753FEB9C"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Fine paper</w:t>
            </w:r>
          </w:p>
        </w:tc>
        <w:tc>
          <w:tcPr>
            <w:tcW w:w="0" w:type="auto"/>
            <w:tcBorders>
              <w:left w:val="single" w:sz="4" w:space="0" w:color="auto"/>
            </w:tcBorders>
            <w:noWrap/>
            <w:hideMark/>
          </w:tcPr>
          <w:p w14:paraId="303EB72F"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0.318</w:t>
            </w:r>
          </w:p>
        </w:tc>
        <w:tc>
          <w:tcPr>
            <w:tcW w:w="0" w:type="auto"/>
            <w:noWrap/>
            <w:hideMark/>
          </w:tcPr>
          <w:p w14:paraId="7106551F"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10</w:t>
            </w:r>
          </w:p>
        </w:tc>
      </w:tr>
      <w:tr w:rsidR="004D61AD" w:rsidRPr="00D3686B" w14:paraId="16D19685"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62A00D7E"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Nitric acid</w:t>
            </w:r>
          </w:p>
        </w:tc>
        <w:tc>
          <w:tcPr>
            <w:tcW w:w="0" w:type="auto"/>
            <w:tcBorders>
              <w:left w:val="single" w:sz="4" w:space="0" w:color="auto"/>
            </w:tcBorders>
            <w:noWrap/>
            <w:hideMark/>
          </w:tcPr>
          <w:p w14:paraId="31328DB7"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0.302</w:t>
            </w:r>
          </w:p>
        </w:tc>
        <w:tc>
          <w:tcPr>
            <w:tcW w:w="0" w:type="auto"/>
            <w:noWrap/>
            <w:hideMark/>
          </w:tcPr>
          <w:p w14:paraId="7B737161"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9</w:t>
            </w:r>
          </w:p>
        </w:tc>
      </w:tr>
      <w:tr w:rsidR="004D61AD" w:rsidRPr="00D3686B" w14:paraId="3A387AC9" w14:textId="77777777" w:rsidTr="001819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01881E99"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Coke</w:t>
            </w:r>
          </w:p>
        </w:tc>
        <w:tc>
          <w:tcPr>
            <w:tcW w:w="0" w:type="auto"/>
            <w:tcBorders>
              <w:left w:val="single" w:sz="4" w:space="0" w:color="auto"/>
            </w:tcBorders>
            <w:noWrap/>
            <w:hideMark/>
          </w:tcPr>
          <w:p w14:paraId="5E0A827C"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0.286</w:t>
            </w:r>
          </w:p>
        </w:tc>
        <w:tc>
          <w:tcPr>
            <w:tcW w:w="0" w:type="auto"/>
            <w:noWrap/>
            <w:hideMark/>
          </w:tcPr>
          <w:p w14:paraId="543CC403"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9</w:t>
            </w:r>
          </w:p>
        </w:tc>
      </w:tr>
      <w:tr w:rsidR="004D61AD" w:rsidRPr="00D3686B" w14:paraId="299056BF"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23CB46BD"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Uncoated carton board</w:t>
            </w:r>
          </w:p>
        </w:tc>
        <w:tc>
          <w:tcPr>
            <w:tcW w:w="0" w:type="auto"/>
            <w:tcBorders>
              <w:left w:val="single" w:sz="4" w:space="0" w:color="auto"/>
            </w:tcBorders>
            <w:noWrap/>
            <w:hideMark/>
          </w:tcPr>
          <w:p w14:paraId="486592B5"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0.237</w:t>
            </w:r>
          </w:p>
        </w:tc>
        <w:tc>
          <w:tcPr>
            <w:tcW w:w="0" w:type="auto"/>
            <w:noWrap/>
            <w:hideMark/>
          </w:tcPr>
          <w:p w14:paraId="7BB9FF9E"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7</w:t>
            </w:r>
          </w:p>
        </w:tc>
      </w:tr>
      <w:tr w:rsidR="004D61AD" w:rsidRPr="00D3686B" w14:paraId="12A55EF6" w14:textId="77777777" w:rsidTr="001819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215CAB17"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Sintered ore</w:t>
            </w:r>
          </w:p>
        </w:tc>
        <w:tc>
          <w:tcPr>
            <w:tcW w:w="0" w:type="auto"/>
            <w:tcBorders>
              <w:left w:val="single" w:sz="4" w:space="0" w:color="auto"/>
            </w:tcBorders>
            <w:noWrap/>
            <w:hideMark/>
          </w:tcPr>
          <w:p w14:paraId="7B1C52B1"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0.171</w:t>
            </w:r>
          </w:p>
        </w:tc>
        <w:tc>
          <w:tcPr>
            <w:tcW w:w="0" w:type="auto"/>
            <w:noWrap/>
            <w:hideMark/>
          </w:tcPr>
          <w:p w14:paraId="089D3921"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5</w:t>
            </w:r>
          </w:p>
        </w:tc>
      </w:tr>
      <w:tr w:rsidR="004D61AD" w:rsidRPr="00D3686B" w14:paraId="20CE64DD"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6D38D124"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Roof tiles</w:t>
            </w:r>
          </w:p>
        </w:tc>
        <w:tc>
          <w:tcPr>
            <w:tcW w:w="0" w:type="auto"/>
            <w:tcBorders>
              <w:left w:val="single" w:sz="4" w:space="0" w:color="auto"/>
            </w:tcBorders>
            <w:noWrap/>
            <w:hideMark/>
          </w:tcPr>
          <w:p w14:paraId="37BC40C0"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0.144</w:t>
            </w:r>
          </w:p>
        </w:tc>
        <w:tc>
          <w:tcPr>
            <w:tcW w:w="0" w:type="auto"/>
            <w:noWrap/>
            <w:hideMark/>
          </w:tcPr>
          <w:p w14:paraId="4C0CC42A"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4</w:t>
            </w:r>
          </w:p>
        </w:tc>
      </w:tr>
      <w:tr w:rsidR="004D61AD" w:rsidRPr="00D3686B" w14:paraId="06E8300B" w14:textId="77777777" w:rsidTr="001819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14:paraId="29003174"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 xml:space="preserve">Long </w:t>
            </w:r>
            <w:proofErr w:type="spellStart"/>
            <w:r w:rsidRPr="0067566D">
              <w:rPr>
                <w:rFonts w:ascii="Arial Narrow" w:eastAsia="Times New Roman" w:hAnsi="Arial Narrow" w:cs="Calibri"/>
                <w:color w:val="000000"/>
                <w:sz w:val="17"/>
                <w:szCs w:val="17"/>
                <w:lang w:eastAsia="fr-BE"/>
              </w:rPr>
              <w:t>fibre</w:t>
            </w:r>
            <w:proofErr w:type="spellEnd"/>
            <w:r w:rsidRPr="0067566D">
              <w:rPr>
                <w:rFonts w:ascii="Arial Narrow" w:eastAsia="Times New Roman" w:hAnsi="Arial Narrow" w:cs="Calibri"/>
                <w:color w:val="000000"/>
                <w:sz w:val="17"/>
                <w:szCs w:val="17"/>
                <w:lang w:eastAsia="fr-BE"/>
              </w:rPr>
              <w:t xml:space="preserve"> kraft pulp</w:t>
            </w:r>
          </w:p>
        </w:tc>
        <w:tc>
          <w:tcPr>
            <w:tcW w:w="0" w:type="auto"/>
            <w:tcBorders>
              <w:left w:val="single" w:sz="4" w:space="0" w:color="auto"/>
            </w:tcBorders>
            <w:noWrap/>
            <w:hideMark/>
          </w:tcPr>
          <w:p w14:paraId="0775E757"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0.06</w:t>
            </w:r>
          </w:p>
        </w:tc>
        <w:tc>
          <w:tcPr>
            <w:tcW w:w="0" w:type="auto"/>
            <w:noWrap/>
            <w:hideMark/>
          </w:tcPr>
          <w:p w14:paraId="5138B0EC" w14:textId="77777777" w:rsidR="004D61AD" w:rsidRPr="0067566D"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2</w:t>
            </w:r>
          </w:p>
        </w:tc>
      </w:tr>
      <w:tr w:rsidR="004D61AD" w:rsidRPr="00D3686B" w14:paraId="1CA7D369" w14:textId="77777777" w:rsidTr="001819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right w:val="single" w:sz="4" w:space="0" w:color="auto"/>
            </w:tcBorders>
            <w:noWrap/>
            <w:hideMark/>
          </w:tcPr>
          <w:p w14:paraId="1487D577" w14:textId="77777777" w:rsidR="004D61AD" w:rsidRPr="0067566D" w:rsidRDefault="004D61AD" w:rsidP="00181986">
            <w:pPr>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lastRenderedPageBreak/>
              <w:t>Plaster</w:t>
            </w:r>
          </w:p>
        </w:tc>
        <w:tc>
          <w:tcPr>
            <w:tcW w:w="0" w:type="auto"/>
            <w:tcBorders>
              <w:left w:val="single" w:sz="4" w:space="0" w:color="auto"/>
            </w:tcBorders>
            <w:noWrap/>
            <w:hideMark/>
          </w:tcPr>
          <w:p w14:paraId="3A14E3F0"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0.048</w:t>
            </w:r>
          </w:p>
        </w:tc>
        <w:tc>
          <w:tcPr>
            <w:tcW w:w="0" w:type="auto"/>
            <w:noWrap/>
            <w:hideMark/>
          </w:tcPr>
          <w:p w14:paraId="4E794062" w14:textId="77777777" w:rsidR="004D61AD" w:rsidRPr="0067566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7"/>
                <w:szCs w:val="17"/>
                <w:lang w:eastAsia="fr-BE"/>
              </w:rPr>
            </w:pPr>
            <w:r w:rsidRPr="0067566D">
              <w:rPr>
                <w:rFonts w:ascii="Arial Narrow" w:eastAsia="Times New Roman" w:hAnsi="Arial Narrow" w:cs="Calibri"/>
                <w:color w:val="000000"/>
                <w:sz w:val="17"/>
                <w:szCs w:val="17"/>
                <w:lang w:eastAsia="fr-BE"/>
              </w:rPr>
              <w:t>1</w:t>
            </w:r>
          </w:p>
        </w:tc>
      </w:tr>
    </w:tbl>
    <w:p w14:paraId="6D661485" w14:textId="0CCF0496" w:rsidR="004D61AD" w:rsidRDefault="004D61AD" w:rsidP="004D61AD">
      <w:pPr>
        <w:pStyle w:val="Sourcenotes"/>
      </w:pPr>
      <w:r w:rsidRPr="009E7697">
        <w:t xml:space="preserve">Source: </w:t>
      </w:r>
      <w:r>
        <w:t>European Commission</w:t>
      </w:r>
      <w:r w:rsidR="00BC7DED">
        <w:rPr>
          <w:noProof/>
        </w:rPr>
        <w:t xml:space="preserve"> </w:t>
      </w:r>
      <w:r w:rsidR="00BC7DED" w:rsidRPr="0096259C">
        <w:rPr>
          <w:noProof/>
        </w:rPr>
        <w:t>(2011</w:t>
      </w:r>
      <w:r w:rsidR="00BC7DED" w:rsidRPr="0096259C">
        <w:rPr>
          <w:noProof/>
          <w:vertAlign w:val="subscript"/>
        </w:rPr>
        <w:t>[9]</w:t>
      </w:r>
      <w:r w:rsidR="00BC7DED" w:rsidRPr="0096259C">
        <w:rPr>
          <w:noProof/>
        </w:rPr>
        <w:t>)</w:t>
      </w:r>
      <w:r>
        <w:t>, Decision</w:t>
      </w:r>
      <w:r w:rsidRPr="0050224D">
        <w:t xml:space="preserve"> </w:t>
      </w:r>
      <w:r w:rsidRPr="00D673EF">
        <w:t>2011/278/EU</w:t>
      </w:r>
      <w:r>
        <w:t xml:space="preserve"> </w:t>
      </w:r>
      <w:r w:rsidRPr="0050224D">
        <w:t>determining transitional Union-wide rules for harmonised free allocation of emission allowances pursuant to Article 10a of Directive 2003/87/EC of the European Parliament and of the Council</w:t>
      </w:r>
    </w:p>
    <w:p w14:paraId="002E270F" w14:textId="77777777" w:rsidR="004D61AD" w:rsidRPr="00C94917" w:rsidRDefault="004D61AD" w:rsidP="004D61AD">
      <w:pPr>
        <w:pStyle w:val="Titre2"/>
      </w:pPr>
      <w:bookmarkStart w:id="35" w:name="_Toc8061893"/>
      <w:bookmarkStart w:id="36" w:name="_Toc8153891"/>
      <w:bookmarkStart w:id="37" w:name="_Toc19721935"/>
      <w:r>
        <w:t>Second-order effects</w:t>
      </w:r>
      <w:bookmarkEnd w:id="35"/>
      <w:bookmarkEnd w:id="36"/>
      <w:bookmarkEnd w:id="37"/>
    </w:p>
    <w:p w14:paraId="059D1DEE" w14:textId="52A65B66" w:rsidR="004D61AD" w:rsidRPr="00FC2112" w:rsidRDefault="004D61AD" w:rsidP="004D61AD">
      <w:pPr>
        <w:pStyle w:val="Para0"/>
      </w:pPr>
      <w:r w:rsidRPr="00FC2112">
        <w:t xml:space="preserve">Second-order competitiveness effects include the pricing or output responses by firms who are affected by direct carbon pricing. For example, firms with little international competition can pass through abatement costs and the costs of purchasing any emission allowances to the final consumer. Cost-pass through can exceed 100% of real costs, because free allowances induce opportunity costs, which are part of marginal costs and can be included in sales prices. This led to large windfall profits in the electricity sector in the ETS, which received free allocations between 2005 and 2012 </w:t>
      </w:r>
      <w:r w:rsidR="002B3291" w:rsidRPr="0096259C">
        <w:rPr>
          <w:noProof/>
        </w:rPr>
        <w:t>(Sijm et al., 2008</w:t>
      </w:r>
      <w:r w:rsidR="002B3291" w:rsidRPr="0096259C">
        <w:rPr>
          <w:noProof/>
          <w:vertAlign w:val="subscript"/>
        </w:rPr>
        <w:t>[10]</w:t>
      </w:r>
      <w:r w:rsidR="002B3291" w:rsidRPr="0096259C">
        <w:rPr>
          <w:noProof/>
        </w:rPr>
        <w:t>)</w:t>
      </w:r>
      <w:r w:rsidRPr="00FC2112">
        <w:t>.</w:t>
      </w:r>
    </w:p>
    <w:p w14:paraId="7791DEC5" w14:textId="5E137C74" w:rsidR="004D61AD" w:rsidRDefault="004D61AD" w:rsidP="004D61AD">
      <w:pPr>
        <w:pStyle w:val="Para0"/>
      </w:pPr>
      <w:r w:rsidRPr="00FC2112">
        <w:t>Such actions can impact the costs, and therefore competitiveness, of firms in downstream sectors. For example, cost pass-through by electricity generators increases costs for other industrial producers. Such cost rises will be particularly significant for large electricity consumers</w:t>
      </w:r>
      <w:r>
        <w:t xml:space="preserve"> such as the aluminium sector.</w:t>
      </w:r>
      <w:r>
        <w:rPr>
          <w:rStyle w:val="Appelnotedebasdep"/>
        </w:rPr>
        <w:footnoteReference w:id="9"/>
      </w:r>
      <w:r>
        <w:t xml:space="preserve"> The EU ETS provides the possibility for member states to compensate electricity-intensive producers. </w:t>
      </w:r>
      <w:r w:rsidRPr="00D87A77">
        <w:t xml:space="preserve">The EU ETS State Aid Guidelines lay out criteria for Member States to compensate for the rise of indirect costs for electricity-intensive </w:t>
      </w:r>
      <w:r w:rsidR="00635E5E">
        <w:t xml:space="preserve">industries </w:t>
      </w:r>
      <w:r w:rsidRPr="00D87A77">
        <w:t xml:space="preserve">to prevent significant risk of carbon leakage while minimizing the competition distortion in the internal market </w:t>
      </w:r>
      <w:r w:rsidR="002B3291" w:rsidRPr="0096259C">
        <w:rPr>
          <w:noProof/>
        </w:rPr>
        <w:t>(European Commission, 2012</w:t>
      </w:r>
      <w:r w:rsidR="002B3291" w:rsidRPr="0096259C">
        <w:rPr>
          <w:noProof/>
          <w:vertAlign w:val="subscript"/>
        </w:rPr>
        <w:t>[11]</w:t>
      </w:r>
      <w:r w:rsidR="002B3291" w:rsidRPr="0096259C">
        <w:rPr>
          <w:noProof/>
        </w:rPr>
        <w:t>)</w:t>
      </w:r>
      <w:r w:rsidRPr="00D87A77">
        <w:t>. The Guidelines determine eligible sectors</w:t>
      </w:r>
      <w:r>
        <w:rPr>
          <w:rStyle w:val="Appelnotedebasdep"/>
        </w:rPr>
        <w:footnoteReference w:id="10"/>
      </w:r>
      <w:r w:rsidRPr="00D87A77">
        <w:t xml:space="preserve"> and maximum amounts for compensation of indirect carbon costs. The maximum amount of aid is decreasing over time and depends on the CO</w:t>
      </w:r>
      <w:r w:rsidRPr="00EF0CFC">
        <w:rPr>
          <w:vertAlign w:val="subscript"/>
        </w:rPr>
        <w:t>2</w:t>
      </w:r>
      <w:r w:rsidRPr="00D87A77">
        <w:t xml:space="preserve"> emissions factor (tCO</w:t>
      </w:r>
      <w:r w:rsidRPr="00EF0CFC">
        <w:rPr>
          <w:vertAlign w:val="subscript"/>
        </w:rPr>
        <w:t>2</w:t>
      </w:r>
      <w:r w:rsidRPr="00D87A77">
        <w:t>/MWh), the CO</w:t>
      </w:r>
      <w:r w:rsidRPr="00BA7D0D">
        <w:rPr>
          <w:vertAlign w:val="subscript"/>
        </w:rPr>
        <w:t>2</w:t>
      </w:r>
      <w:r w:rsidRPr="00D87A77">
        <w:t xml:space="preserve"> price in the EU ETS, the product-specific electricity consumption efficiency </w:t>
      </w:r>
      <w:proofErr w:type="gramStart"/>
      <w:r w:rsidRPr="00D87A77">
        <w:t>benchmark</w:t>
      </w:r>
      <w:proofErr w:type="gramEnd"/>
      <w:r w:rsidRPr="00D87A77">
        <w:t xml:space="preserve"> and the output of the eligible installation. As of 2018, the Commission ha</w:t>
      </w:r>
      <w:r w:rsidR="00635E5E">
        <w:t>d</w:t>
      </w:r>
      <w:r w:rsidRPr="00D87A77">
        <w:t xml:space="preserve"> approved 12 compensation schemes in 11 Member States, including France, Germany, </w:t>
      </w:r>
      <w:proofErr w:type="gramStart"/>
      <w:r w:rsidRPr="00D87A77">
        <w:t>Spain</w:t>
      </w:r>
      <w:proofErr w:type="gramEnd"/>
      <w:r w:rsidRPr="00D87A77">
        <w:t xml:space="preserve"> and the United Kingdom</w:t>
      </w:r>
      <w:r>
        <w:t xml:space="preserve"> </w:t>
      </w:r>
      <w:r w:rsidR="002B3291" w:rsidRPr="0096259C">
        <w:rPr>
          <w:noProof/>
        </w:rPr>
        <w:t>(European Commission, 2018</w:t>
      </w:r>
      <w:r w:rsidR="002B3291" w:rsidRPr="0096259C">
        <w:rPr>
          <w:noProof/>
          <w:vertAlign w:val="subscript"/>
        </w:rPr>
        <w:t>[12]</w:t>
      </w:r>
      <w:r w:rsidR="002B3291" w:rsidRPr="0096259C">
        <w:rPr>
          <w:noProof/>
        </w:rPr>
        <w:t>)</w:t>
      </w:r>
      <w:r w:rsidRPr="00D87A77">
        <w:t>. The aggregate compensation in 2017</w:t>
      </w:r>
      <w:r w:rsidRPr="00D87A77">
        <w:rPr>
          <w:szCs w:val="22"/>
        </w:rPr>
        <w:t xml:space="preserve"> amounted to EUR 694 mill</w:t>
      </w:r>
      <w:r w:rsidR="00635E5E">
        <w:rPr>
          <w:szCs w:val="22"/>
        </w:rPr>
        <w:t>ion</w:t>
      </w:r>
      <w:r w:rsidRPr="00D87A77">
        <w:rPr>
          <w:szCs w:val="22"/>
        </w:rPr>
        <w:t>, benefiting primarily the chemical, non-ferrous metal</w:t>
      </w:r>
      <w:r w:rsidR="00635E5E">
        <w:rPr>
          <w:szCs w:val="22"/>
        </w:rPr>
        <w:t xml:space="preserve">, </w:t>
      </w:r>
      <w:r w:rsidRPr="00D87A77">
        <w:rPr>
          <w:szCs w:val="22"/>
        </w:rPr>
        <w:t>and iron and steel sector</w:t>
      </w:r>
      <w:r w:rsidR="00635E5E">
        <w:rPr>
          <w:szCs w:val="22"/>
        </w:rPr>
        <w:t>s</w:t>
      </w:r>
      <w:r w:rsidRPr="00D87A77">
        <w:rPr>
          <w:szCs w:val="22"/>
        </w:rPr>
        <w:t>.</w:t>
      </w:r>
    </w:p>
    <w:p w14:paraId="321C1354" w14:textId="707ABADB" w:rsidR="004D61AD" w:rsidRDefault="004D61AD" w:rsidP="004D61AD">
      <w:pPr>
        <w:pStyle w:val="Para0"/>
      </w:pPr>
      <w:r>
        <w:t>On the other hand, firms in sectors with strong international competition (such as some heavy industries) will not fully pass through carbon costs, because an increase in sales prices will impact sales volumes.</w:t>
      </w:r>
      <w:r>
        <w:rPr>
          <w:rStyle w:val="Appelnotedebasdep"/>
        </w:rPr>
        <w:footnoteReference w:id="11"/>
      </w:r>
      <w:r>
        <w:t xml:space="preserve"> The direct and indirect pass-through costs are important for assessing the potential competitiveness impacts of sectors. </w:t>
      </w:r>
      <w:r>
        <w:fldChar w:fldCharType="begin"/>
      </w:r>
      <w:r>
        <w:instrText xml:space="preserve"> REF _Ref23762501 \h </w:instrText>
      </w:r>
      <w:r>
        <w:fldChar w:fldCharType="separate"/>
      </w:r>
      <w:r w:rsidRPr="00EC799C">
        <w:t xml:space="preserve">Figure </w:t>
      </w:r>
      <w:r>
        <w:rPr>
          <w:noProof/>
        </w:rPr>
        <w:t>5</w:t>
      </w:r>
      <w:r>
        <w:fldChar w:fldCharType="end"/>
      </w:r>
      <w:r>
        <w:t xml:space="preserve"> highlights the variation between selected sub-sectors for value at stake and trade intensity. Sectors with a high value at stake, i.e. the ratio between carbon costs and value added, and/or a high trade intensity are vulnerable to competitiveness impacts due to carbon pricing. The EU applies free allocation to sectors that have a 1) value at stake above 30% or 2) trade openness</w:t>
      </w:r>
      <w:r>
        <w:rPr>
          <w:rStyle w:val="Appelnotedebasdep"/>
        </w:rPr>
        <w:footnoteReference w:id="12"/>
      </w:r>
      <w:r>
        <w:t xml:space="preserve"> above 30% or 3) value at stake above 5% and trade openness above 10%. There is however disagreement over the relevance of these </w:t>
      </w:r>
      <w:proofErr w:type="gramStart"/>
      <w:r>
        <w:t>criteria, because</w:t>
      </w:r>
      <w:proofErr w:type="gramEnd"/>
      <w:r>
        <w:t xml:space="preserve"> carbon-intensive firms </w:t>
      </w:r>
      <w:r>
        <w:lastRenderedPageBreak/>
        <w:t xml:space="preserve">with low trade openness are better able to pass through costs </w:t>
      </w:r>
      <w:r w:rsidR="002B3291" w:rsidRPr="0096259C">
        <w:rPr>
          <w:noProof/>
        </w:rPr>
        <w:t>(Clò, 2010</w:t>
      </w:r>
      <w:r w:rsidR="002B3291" w:rsidRPr="0096259C">
        <w:rPr>
          <w:noProof/>
          <w:vertAlign w:val="subscript"/>
        </w:rPr>
        <w:t>[13]</w:t>
      </w:r>
      <w:r w:rsidR="002B3291" w:rsidRPr="0096259C">
        <w:rPr>
          <w:noProof/>
        </w:rPr>
        <w:t>)</w:t>
      </w:r>
      <w:r>
        <w:t>.</w:t>
      </w:r>
      <w:r w:rsidR="002B3291">
        <w:t xml:space="preserve"> In fact, the challenge to accurately quantify sector’s ability to pass through carbon costs is one of the main </w:t>
      </w:r>
      <w:proofErr w:type="gramStart"/>
      <w:r w:rsidR="002B3291">
        <w:t>barrier</w:t>
      </w:r>
      <w:proofErr w:type="gramEnd"/>
      <w:r w:rsidR="002B3291">
        <w:t xml:space="preserve"> to allocate free allowances efficiently (Verde et al., 2019).</w:t>
      </w:r>
      <w:r>
        <w:t xml:space="preserve"> </w:t>
      </w:r>
    </w:p>
    <w:p w14:paraId="7A1E5674" w14:textId="77777777" w:rsidR="004D61AD" w:rsidRPr="00EC799C" w:rsidRDefault="004D61AD" w:rsidP="004D61AD">
      <w:pPr>
        <w:pStyle w:val="BoxHeading"/>
        <w:jc w:val="center"/>
      </w:pPr>
      <w:bookmarkStart w:id="38" w:name="_Ref23762501"/>
      <w:bookmarkStart w:id="39" w:name="_Toc8061882"/>
      <w:bookmarkStart w:id="40" w:name="_Toc19721949"/>
      <w:r w:rsidRPr="00EC799C">
        <w:t xml:space="preserve">Figure </w:t>
      </w:r>
      <w:fldSimple w:instr=" SEQ Figure \* ARABIC ">
        <w:r>
          <w:rPr>
            <w:noProof/>
          </w:rPr>
          <w:t>5</w:t>
        </w:r>
      </w:fldSimple>
      <w:bookmarkEnd w:id="38"/>
      <w:r w:rsidRPr="00EC799C">
        <w:t>: Value at stake vs trade intensity for selected sectors</w:t>
      </w:r>
      <w:bookmarkEnd w:id="39"/>
      <w:bookmarkEnd w:id="40"/>
    </w:p>
    <w:p w14:paraId="78E79147" w14:textId="77777777" w:rsidR="004D61AD" w:rsidRDefault="004D61AD" w:rsidP="004D61AD">
      <w:pPr>
        <w:pStyle w:val="Para"/>
        <w:numPr>
          <w:ilvl w:val="0"/>
          <w:numId w:val="0"/>
        </w:numPr>
        <w:jc w:val="center"/>
      </w:pPr>
      <w:r w:rsidRPr="00D626E0">
        <w:rPr>
          <w:noProof/>
          <w:lang w:eastAsia="en-GB"/>
        </w:rPr>
        <w:drawing>
          <wp:inline distT="0" distB="0" distL="0" distR="0" wp14:anchorId="7D20C3AA" wp14:editId="6CFF57ED">
            <wp:extent cx="3948223" cy="28283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8082" cy="2835368"/>
                    </a:xfrm>
                    <a:prstGeom prst="rect">
                      <a:avLst/>
                    </a:prstGeom>
                    <a:noFill/>
                    <a:ln>
                      <a:noFill/>
                    </a:ln>
                  </pic:spPr>
                </pic:pic>
              </a:graphicData>
            </a:graphic>
          </wp:inline>
        </w:drawing>
      </w:r>
    </w:p>
    <w:p w14:paraId="66BD5BC8" w14:textId="77777777" w:rsidR="004D61AD" w:rsidRDefault="004D61AD" w:rsidP="004D61AD">
      <w:pPr>
        <w:pStyle w:val="Sourcenotes"/>
      </w:pPr>
      <w:r>
        <w:t xml:space="preserve">Source: Authors                                                                                                                                                  </w:t>
      </w:r>
    </w:p>
    <w:p w14:paraId="097705C4" w14:textId="77777777" w:rsidR="004D61AD" w:rsidRDefault="004D61AD" w:rsidP="004D61AD">
      <w:pPr>
        <w:pStyle w:val="Titre2"/>
      </w:pPr>
      <w:bookmarkStart w:id="41" w:name="_Toc8061894"/>
      <w:bookmarkStart w:id="42" w:name="_Toc8153892"/>
      <w:bookmarkStart w:id="43" w:name="_Toc19721936"/>
      <w:r>
        <w:t>Third-order effects</w:t>
      </w:r>
      <w:bookmarkEnd w:id="41"/>
      <w:bookmarkEnd w:id="42"/>
      <w:bookmarkEnd w:id="43"/>
    </w:p>
    <w:p w14:paraId="3624D837" w14:textId="40D0CB34" w:rsidR="004D61AD" w:rsidRPr="00FC2112" w:rsidRDefault="004D61AD" w:rsidP="004D61AD">
      <w:pPr>
        <w:pStyle w:val="Para0"/>
      </w:pPr>
      <w:r w:rsidRPr="00FC2112">
        <w:t>Third-order competitiveness effects include broader economic outcomes, technological outcomes, and international outcomes. These are typically more complex to assess as they can be affected by more than one second-order effect from more than one jurisdiction, which can interact in different and potentially unpredictable ways. For example, increasing energy costs can impact employment via two channels. On the one hand, increasing production costs may lead firms to raise product prices, resulting in lower product demand and thus lower levels of employment. On the other hand, abating emission</w:t>
      </w:r>
      <w:r w:rsidR="00635E5E">
        <w:t>s</w:t>
      </w:r>
      <w:r w:rsidRPr="00FC2112">
        <w:t xml:space="preserve"> may increase the demand for labour relative to business as usual. </w:t>
      </w:r>
    </w:p>
    <w:p w14:paraId="3E878FAC" w14:textId="03E047D8" w:rsidR="004D61AD" w:rsidRDefault="004D61AD" w:rsidP="004D61AD">
      <w:pPr>
        <w:pStyle w:val="Para0"/>
      </w:pPr>
      <w:r w:rsidRPr="00FC2112">
        <w:t xml:space="preserve">Technological outcomes, </w:t>
      </w:r>
      <w:proofErr w:type="gramStart"/>
      <w:r w:rsidRPr="00FC2112">
        <w:t>in particular those</w:t>
      </w:r>
      <w:proofErr w:type="gramEnd"/>
      <w:r w:rsidRPr="00FC2112">
        <w:t xml:space="preserve"> driven by innovation, are potentially important as they can increase the competitiveness of firms in the long run. Theoretical literature argues that there are many barriers to product innovation, including</w:t>
      </w:r>
      <w:r>
        <w:t xml:space="preserve"> behavioural and organisational barriers, and that environmental regulation can help to overcome them </w:t>
      </w:r>
      <w:r w:rsidR="002B3291" w:rsidRPr="0096259C">
        <w:rPr>
          <w:noProof/>
        </w:rPr>
        <w:t>(Ambec, Cohen and Elgie, 2013</w:t>
      </w:r>
      <w:r w:rsidR="002B3291" w:rsidRPr="0096259C">
        <w:rPr>
          <w:noProof/>
          <w:vertAlign w:val="subscript"/>
        </w:rPr>
        <w:t>[14]</w:t>
      </w:r>
      <w:r w:rsidR="002B3291" w:rsidRPr="0096259C">
        <w:rPr>
          <w:noProof/>
        </w:rPr>
        <w:t>)</w:t>
      </w:r>
      <w:r>
        <w:t xml:space="preserve">. Porter and van der Linde </w:t>
      </w:r>
      <w:r w:rsidR="002B3291" w:rsidRPr="0096259C">
        <w:rPr>
          <w:noProof/>
        </w:rPr>
        <w:t>(1995</w:t>
      </w:r>
      <w:r w:rsidR="002B3291" w:rsidRPr="0096259C">
        <w:rPr>
          <w:noProof/>
          <w:vertAlign w:val="subscript"/>
        </w:rPr>
        <w:t>[15]</w:t>
      </w:r>
      <w:r w:rsidR="002B3291" w:rsidRPr="0096259C">
        <w:rPr>
          <w:noProof/>
        </w:rPr>
        <w:t>)</w:t>
      </w:r>
      <w:r>
        <w:t xml:space="preserve"> hypothesise (“Porter Hypothesis”) that “internationally competitive firms are not those with the cheapest inputs or the largest scale, but those with the capacity to improve and innovate continually”. </w:t>
      </w:r>
      <w:r w:rsidRPr="004A663B">
        <w:t xml:space="preserve">The </w:t>
      </w:r>
      <w:r>
        <w:t xml:space="preserve">five potential channels through which environmental regulation can improve competitiveness have been identified by Porter and van der Linde (1995) as: </w:t>
      </w:r>
    </w:p>
    <w:p w14:paraId="719F7D38" w14:textId="77777777" w:rsidR="004D61AD" w:rsidRPr="00130508" w:rsidRDefault="004D61AD" w:rsidP="004D61AD">
      <w:pPr>
        <w:pStyle w:val="BulletedList"/>
      </w:pPr>
      <w:r>
        <w:t>S</w:t>
      </w:r>
      <w:r w:rsidRPr="00130508">
        <w:t xml:space="preserve">ignalling </w:t>
      </w:r>
      <w:r>
        <w:t>to firms</w:t>
      </w:r>
      <w:r w:rsidRPr="00130508">
        <w:t xml:space="preserve"> about likely resource </w:t>
      </w:r>
      <w:proofErr w:type="gramStart"/>
      <w:r w:rsidRPr="00130508">
        <w:t>inefficiencies</w:t>
      </w:r>
      <w:r>
        <w:t>;</w:t>
      </w:r>
      <w:proofErr w:type="gramEnd"/>
      <w:r w:rsidRPr="00130508">
        <w:t xml:space="preserve"> </w:t>
      </w:r>
    </w:p>
    <w:p w14:paraId="0E93AEFB" w14:textId="77777777" w:rsidR="004D61AD" w:rsidRPr="00130508" w:rsidRDefault="004D61AD" w:rsidP="004D61AD">
      <w:pPr>
        <w:pStyle w:val="BulletedList"/>
      </w:pPr>
      <w:r>
        <w:t>F</w:t>
      </w:r>
      <w:r w:rsidRPr="00130508">
        <w:t>ocussing on information gathering and rais</w:t>
      </w:r>
      <w:r>
        <w:t>ing</w:t>
      </w:r>
      <w:r w:rsidRPr="00130508">
        <w:t xml:space="preserve"> corporate </w:t>
      </w:r>
      <w:proofErr w:type="gramStart"/>
      <w:r w:rsidRPr="00130508">
        <w:t>awareness</w:t>
      </w:r>
      <w:r>
        <w:t>;</w:t>
      </w:r>
      <w:proofErr w:type="gramEnd"/>
    </w:p>
    <w:p w14:paraId="52AC7A5F" w14:textId="77777777" w:rsidR="004D61AD" w:rsidRPr="00130508" w:rsidRDefault="004D61AD" w:rsidP="004D61AD">
      <w:pPr>
        <w:pStyle w:val="BulletedList"/>
      </w:pPr>
      <w:r>
        <w:t>R</w:t>
      </w:r>
      <w:r w:rsidRPr="00130508">
        <w:t>educing uncertainty that</w:t>
      </w:r>
      <w:r>
        <w:t xml:space="preserve"> green</w:t>
      </w:r>
      <w:r w:rsidRPr="00130508">
        <w:t xml:space="preserve"> investments will be </w:t>
      </w:r>
      <w:proofErr w:type="gramStart"/>
      <w:r w:rsidRPr="00130508">
        <w:t>valuable</w:t>
      </w:r>
      <w:r>
        <w:t>;</w:t>
      </w:r>
      <w:proofErr w:type="gramEnd"/>
    </w:p>
    <w:p w14:paraId="3DDF6847" w14:textId="77777777" w:rsidR="004D61AD" w:rsidRPr="00130508" w:rsidRDefault="004D61AD" w:rsidP="004D61AD">
      <w:pPr>
        <w:pStyle w:val="BulletedList"/>
      </w:pPr>
      <w:r>
        <w:t>C</w:t>
      </w:r>
      <w:r w:rsidRPr="00130508">
        <w:t xml:space="preserve">reating pressure </w:t>
      </w:r>
      <w:r>
        <w:t>which</w:t>
      </w:r>
      <w:r w:rsidRPr="00130508">
        <w:t xml:space="preserve"> promotes innovation and </w:t>
      </w:r>
      <w:proofErr w:type="gramStart"/>
      <w:r w:rsidRPr="00130508">
        <w:t>progress</w:t>
      </w:r>
      <w:r>
        <w:t>;</w:t>
      </w:r>
      <w:proofErr w:type="gramEnd"/>
    </w:p>
    <w:p w14:paraId="3EB0367F" w14:textId="77777777" w:rsidR="004D61AD" w:rsidRPr="00130508" w:rsidRDefault="004D61AD" w:rsidP="004D61AD">
      <w:pPr>
        <w:pStyle w:val="BulletedList"/>
      </w:pPr>
      <w:r>
        <w:t>L</w:t>
      </w:r>
      <w:r w:rsidRPr="00130508">
        <w:t>evelling the transitional playing field.</w:t>
      </w:r>
    </w:p>
    <w:p w14:paraId="092783A7" w14:textId="070CBB5D" w:rsidR="004D61AD" w:rsidRPr="00B37236" w:rsidRDefault="004D61AD" w:rsidP="004D61AD">
      <w:pPr>
        <w:pStyle w:val="Para0"/>
        <w:rPr>
          <w:spacing w:val="-4"/>
        </w:rPr>
      </w:pPr>
      <w:r w:rsidRPr="00B37236">
        <w:rPr>
          <w:spacing w:val="-4"/>
        </w:rPr>
        <w:lastRenderedPageBreak/>
        <w:t xml:space="preserve">However, evidence to support this hypothesis is inconclusive. For example, Cohen and Tubb </w:t>
      </w:r>
      <w:r w:rsidR="002B3291" w:rsidRPr="00B37236">
        <w:rPr>
          <w:noProof/>
          <w:spacing w:val="-4"/>
        </w:rPr>
        <w:t>(2018</w:t>
      </w:r>
      <w:r w:rsidR="002B3291" w:rsidRPr="00B37236">
        <w:rPr>
          <w:noProof/>
          <w:spacing w:val="-4"/>
          <w:vertAlign w:val="subscript"/>
        </w:rPr>
        <w:t>[16]</w:t>
      </w:r>
      <w:r w:rsidR="002B3291" w:rsidRPr="00B37236">
        <w:rPr>
          <w:noProof/>
          <w:spacing w:val="-4"/>
        </w:rPr>
        <w:t>)</w:t>
      </w:r>
      <w:r w:rsidRPr="00B37236">
        <w:rPr>
          <w:spacing w:val="-4"/>
        </w:rPr>
        <w:t xml:space="preserve"> did a meta-analysis on 103 studies with quantitative results. They found that 45% of these studies report results that are insignificant, 29% report positive results, and 26% report negative results. Dechezleprêtre and Sato </w:t>
      </w:r>
      <w:r w:rsidR="002B3291" w:rsidRPr="00B37236">
        <w:rPr>
          <w:noProof/>
          <w:spacing w:val="-4"/>
        </w:rPr>
        <w:t>(2017</w:t>
      </w:r>
      <w:r w:rsidR="002B3291" w:rsidRPr="00B37236">
        <w:rPr>
          <w:noProof/>
          <w:spacing w:val="-4"/>
          <w:vertAlign w:val="subscript"/>
        </w:rPr>
        <w:t>[5]</w:t>
      </w:r>
      <w:r w:rsidR="002B3291" w:rsidRPr="00B37236">
        <w:rPr>
          <w:noProof/>
          <w:spacing w:val="-4"/>
        </w:rPr>
        <w:t>)</w:t>
      </w:r>
      <w:r w:rsidRPr="00B37236">
        <w:rPr>
          <w:spacing w:val="-4"/>
        </w:rPr>
        <w:t>’s review of the relevant literature also argues that there is no convincing empirical evidence for a significant increase of competitiveness caused by environmental regulation.</w:t>
      </w:r>
    </w:p>
    <w:p w14:paraId="4BF24528" w14:textId="77777777" w:rsidR="004D61AD" w:rsidRDefault="004D61AD" w:rsidP="004D61AD">
      <w:pPr>
        <w:pStyle w:val="Titre1"/>
      </w:pPr>
      <w:bookmarkStart w:id="44" w:name="_Toc8061895"/>
      <w:bookmarkStart w:id="45" w:name="_Toc8153893"/>
      <w:bookmarkStart w:id="46" w:name="_Toc19721937"/>
      <w:r>
        <w:t>Empirical evidence of competitiveness impacts from carbon pricing</w:t>
      </w:r>
      <w:bookmarkEnd w:id="44"/>
      <w:bookmarkEnd w:id="45"/>
      <w:bookmarkEnd w:id="46"/>
    </w:p>
    <w:p w14:paraId="2853DECF" w14:textId="3B12E556" w:rsidR="004D61AD" w:rsidRDefault="004D61AD" w:rsidP="004D61AD">
      <w:pPr>
        <w:pStyle w:val="Para0"/>
        <w:rPr>
          <w:highlight w:val="lightGray"/>
        </w:rPr>
      </w:pPr>
      <w:r w:rsidRPr="00FC2112">
        <w:t xml:space="preserve">Most ex-post empirical studies find no statistically significant effects of carbon pricing or energy prices on different dimensions of competitiveness. This </w:t>
      </w:r>
      <w:proofErr w:type="gramStart"/>
      <w:r w:rsidRPr="00FC2112">
        <w:t>is in contrast to</w:t>
      </w:r>
      <w:proofErr w:type="gramEnd"/>
      <w:r w:rsidRPr="00FC2112">
        <w:t xml:space="preserve"> the result of many ex-ante simulations which predict the effect of unilateral carbon prices on competitiveness based on economic modelling </w:t>
      </w:r>
      <w:r w:rsidR="002B3291" w:rsidRPr="0096259C">
        <w:rPr>
          <w:noProof/>
        </w:rPr>
        <w:t>(Carbone and Rivers, 2017</w:t>
      </w:r>
      <w:r w:rsidR="002B3291" w:rsidRPr="0096259C">
        <w:rPr>
          <w:noProof/>
          <w:vertAlign w:val="subscript"/>
        </w:rPr>
        <w:t>[17]</w:t>
      </w:r>
      <w:r w:rsidR="002B3291" w:rsidRPr="0096259C">
        <w:rPr>
          <w:noProof/>
        </w:rPr>
        <w:t>)</w:t>
      </w:r>
      <w:r w:rsidRPr="00FC2112">
        <w:t>. Ex ante studies typically find</w:t>
      </w:r>
      <w:r>
        <w:t xml:space="preserve"> negative impacts of diverging carbon prices, notably for energy-intensive trade-exposed (EITE) sectors. This section reviews the results of ex-post studies on key economic variables, i.e. the third-order effects mentioned above: trade; foreign direct investment; employment; turnover; value added; assets; investment; productivity;</w:t>
      </w:r>
      <w:r w:rsidRPr="00AF1EEF">
        <w:t xml:space="preserve"> profits and innovation</w:t>
      </w:r>
      <w:r>
        <w:t>.</w:t>
      </w:r>
      <w:r w:rsidR="00065876">
        <w:t xml:space="preserve"> </w:t>
      </w:r>
      <w:r w:rsidR="00D40BE8">
        <w:t>As competitiveness is a multi</w:t>
      </w:r>
      <w:r w:rsidR="00973EE6">
        <w:t>-</w:t>
      </w:r>
      <w:r w:rsidR="00D40BE8">
        <w:t xml:space="preserve">dimensional concept, it is most appropriate to </w:t>
      </w:r>
      <w:r w:rsidR="00973EE6">
        <w:t>assess</w:t>
      </w:r>
      <w:r w:rsidR="00D40BE8">
        <w:t xml:space="preserve"> competitiveness using multiple indicators. </w:t>
      </w:r>
      <w:r w:rsidR="00065876">
        <w:t xml:space="preserve">Most of the competitiveness dimensions are relatively straightforward to measure (e.g. turnover and value added; net imports as proxy for trade; number of jobs as proxy for employment). Yet, others are not as clear cut. For example, innovation could be measured by number of patents or </w:t>
      </w:r>
      <w:r w:rsidR="00973EE6">
        <w:t>by levels of</w:t>
      </w:r>
      <w:r w:rsidR="00065876">
        <w:t xml:space="preserve"> research and development. Most studies measure innovation using </w:t>
      </w:r>
      <w:r w:rsidR="0006055E">
        <w:t xml:space="preserve">the </w:t>
      </w:r>
      <w:r w:rsidR="00065876">
        <w:t>number of low-carbon patents, implicitly assuming equal weighting of all patents and not accounting for ‘disruptive’ patents</w:t>
      </w:r>
      <w:r w:rsidR="0006055E">
        <w:t>, which trigger faster technological change than others</w:t>
      </w:r>
      <w:r w:rsidR="00065876">
        <w:t xml:space="preserve"> </w:t>
      </w:r>
    </w:p>
    <w:p w14:paraId="3497656B" w14:textId="77777777" w:rsidR="004D61AD" w:rsidRDefault="004D61AD" w:rsidP="004D61AD">
      <w:pPr>
        <w:pStyle w:val="Titre2"/>
        <w:rPr>
          <w:highlight w:val="lightGray"/>
        </w:rPr>
      </w:pPr>
      <w:bookmarkStart w:id="47" w:name="_Toc8061896"/>
      <w:bookmarkStart w:id="48" w:name="_Toc8153894"/>
      <w:bookmarkStart w:id="49" w:name="_Toc19721938"/>
      <w:r>
        <w:t>In</w:t>
      </w:r>
      <w:r w:rsidRPr="00EE60C4">
        <w:t xml:space="preserve">ternational outcomes: </w:t>
      </w:r>
      <w:r>
        <w:t>Net imports</w:t>
      </w:r>
      <w:r w:rsidRPr="00EE60C4">
        <w:t xml:space="preserve"> and Foreign Direct Investments</w:t>
      </w:r>
      <w:bookmarkEnd w:id="47"/>
      <w:bookmarkEnd w:id="48"/>
      <w:bookmarkEnd w:id="49"/>
    </w:p>
    <w:p w14:paraId="2F1A98E2" w14:textId="77777777" w:rsidR="004D61AD" w:rsidRPr="00FC2112" w:rsidRDefault="004D61AD" w:rsidP="004D61AD">
      <w:pPr>
        <w:pStyle w:val="Para0"/>
        <w:rPr>
          <w:highlight w:val="lightGray"/>
        </w:rPr>
      </w:pPr>
      <w:r w:rsidRPr="00FC2112">
        <w:t xml:space="preserve">Trade patterns measured through net imports are the most direct way to investigate international competitiveness effects and carbon leakage. Both relocation of firms abroad and the gain of market share of foreign firms at the expense of regulated domestic firms would lead to an observable change in the import/export ratio of carbon intensive goods. </w:t>
      </w:r>
    </w:p>
    <w:p w14:paraId="2A67D5DE" w14:textId="1D10E8F3" w:rsidR="004D61AD" w:rsidRPr="00997125" w:rsidRDefault="004D61AD" w:rsidP="00635E5E">
      <w:pPr>
        <w:pStyle w:val="Para0"/>
        <w:rPr>
          <w:spacing w:val="-2"/>
        </w:rPr>
      </w:pPr>
      <w:r w:rsidRPr="00B37236">
        <w:rPr>
          <w:spacing w:val="-2"/>
        </w:rPr>
        <w:t xml:space="preserve">Several studies have </w:t>
      </w:r>
      <w:r w:rsidR="00635E5E">
        <w:rPr>
          <w:spacing w:val="-2"/>
        </w:rPr>
        <w:t xml:space="preserve">examined </w:t>
      </w:r>
      <w:r w:rsidRPr="00B37236">
        <w:rPr>
          <w:spacing w:val="-2"/>
        </w:rPr>
        <w:t>the effect</w:t>
      </w:r>
      <w:r w:rsidR="00635E5E">
        <w:rPr>
          <w:spacing w:val="-2"/>
        </w:rPr>
        <w:t>s</w:t>
      </w:r>
      <w:r w:rsidRPr="00B37236">
        <w:rPr>
          <w:spacing w:val="-2"/>
        </w:rPr>
        <w:t xml:space="preserve"> of emissions trading on net </w:t>
      </w:r>
      <w:proofErr w:type="gramStart"/>
      <w:r w:rsidRPr="00B37236">
        <w:rPr>
          <w:spacing w:val="-2"/>
        </w:rPr>
        <w:t>imports, but</w:t>
      </w:r>
      <w:proofErr w:type="gramEnd"/>
      <w:r w:rsidRPr="00B37236">
        <w:rPr>
          <w:spacing w:val="-2"/>
        </w:rPr>
        <w:t xml:space="preserve"> </w:t>
      </w:r>
      <w:r w:rsidR="00635E5E">
        <w:rPr>
          <w:spacing w:val="-2"/>
        </w:rPr>
        <w:t xml:space="preserve">have not </w:t>
      </w:r>
      <w:r w:rsidRPr="00B37236">
        <w:rPr>
          <w:spacing w:val="-2"/>
        </w:rPr>
        <w:t>f</w:t>
      </w:r>
      <w:r w:rsidR="00635E5E">
        <w:rPr>
          <w:spacing w:val="-2"/>
        </w:rPr>
        <w:t>ou</w:t>
      </w:r>
      <w:r w:rsidRPr="00B37236">
        <w:rPr>
          <w:spacing w:val="-2"/>
        </w:rPr>
        <w:t xml:space="preserve">nd </w:t>
      </w:r>
      <w:r w:rsidR="00635E5E">
        <w:rPr>
          <w:spacing w:val="-2"/>
        </w:rPr>
        <w:t>any</w:t>
      </w:r>
      <w:r w:rsidRPr="00B37236">
        <w:rPr>
          <w:spacing w:val="-2"/>
        </w:rPr>
        <w:t xml:space="preserve">. Most studies have focussed on the EU ETS. This includes a study analysing trade from and to 66 world regions, for 25 manufacturing sectors in 2004 (before the introduction of the EU ETS), 2007 and 2011 </w:t>
      </w:r>
      <w:r w:rsidR="002B3291" w:rsidRPr="00B37236">
        <w:rPr>
          <w:noProof/>
          <w:spacing w:val="-2"/>
        </w:rPr>
        <w:t>(Naegele and Zaklan, 2019</w:t>
      </w:r>
      <w:r w:rsidR="002B3291" w:rsidRPr="00B37236">
        <w:rPr>
          <w:noProof/>
          <w:spacing w:val="-2"/>
          <w:vertAlign w:val="subscript"/>
        </w:rPr>
        <w:t>[18]</w:t>
      </w:r>
      <w:r w:rsidR="002B3291" w:rsidRPr="00B37236">
        <w:rPr>
          <w:noProof/>
          <w:spacing w:val="-2"/>
        </w:rPr>
        <w:t>)</w:t>
      </w:r>
      <w:r w:rsidRPr="00B37236">
        <w:rPr>
          <w:spacing w:val="-2"/>
        </w:rPr>
        <w:t xml:space="preserve">. Similarly, looking at carbon leakage within multinational firms, there is no evidence that the EU ETS caused a shift of emissions within firms from the EU to the rest of the world </w:t>
      </w:r>
      <w:r w:rsidR="002B3291" w:rsidRPr="00B37236">
        <w:rPr>
          <w:noProof/>
          <w:spacing w:val="-2"/>
        </w:rPr>
        <w:t>(Dechezleprêtre et al., 2014</w:t>
      </w:r>
      <w:r w:rsidR="002B3291" w:rsidRPr="00B37236">
        <w:rPr>
          <w:noProof/>
          <w:spacing w:val="-2"/>
          <w:vertAlign w:val="subscript"/>
        </w:rPr>
        <w:t>[19]</w:t>
      </w:r>
      <w:r w:rsidR="002B3291" w:rsidRPr="00B37236">
        <w:rPr>
          <w:noProof/>
          <w:spacing w:val="-2"/>
        </w:rPr>
        <w:t>)</w:t>
      </w:r>
      <w:r w:rsidRPr="00B37236">
        <w:rPr>
          <w:spacing w:val="-2"/>
        </w:rPr>
        <w:t>, or that there has been an effect on net imports in the aluminium sector (</w:t>
      </w:r>
      <w:proofErr w:type="spellStart"/>
      <w:r w:rsidRPr="00B37236">
        <w:rPr>
          <w:spacing w:val="-2"/>
        </w:rPr>
        <w:t>Reinaud</w:t>
      </w:r>
      <w:proofErr w:type="spellEnd"/>
      <w:r w:rsidRPr="00B37236">
        <w:rPr>
          <w:spacing w:val="-2"/>
        </w:rPr>
        <w:t xml:space="preserve"> </w:t>
      </w:r>
      <w:r w:rsidR="002B3291" w:rsidRPr="00B37236">
        <w:rPr>
          <w:noProof/>
          <w:spacing w:val="-2"/>
        </w:rPr>
        <w:t>(2008</w:t>
      </w:r>
      <w:r w:rsidR="002B3291" w:rsidRPr="00B37236">
        <w:rPr>
          <w:noProof/>
          <w:spacing w:val="-2"/>
          <w:vertAlign w:val="subscript"/>
        </w:rPr>
        <w:t>[20]</w:t>
      </w:r>
      <w:r w:rsidR="002B3291" w:rsidRPr="00B37236">
        <w:rPr>
          <w:noProof/>
          <w:spacing w:val="-2"/>
        </w:rPr>
        <w:t>)</w:t>
      </w:r>
      <w:r w:rsidRPr="00B37236">
        <w:rPr>
          <w:spacing w:val="-2"/>
        </w:rPr>
        <w:t xml:space="preserve">, </w:t>
      </w:r>
      <w:proofErr w:type="spellStart"/>
      <w:r w:rsidRPr="00B37236">
        <w:rPr>
          <w:spacing w:val="-2"/>
        </w:rPr>
        <w:t>Sartor</w:t>
      </w:r>
      <w:proofErr w:type="spellEnd"/>
      <w:r w:rsidRPr="00B37236">
        <w:rPr>
          <w:spacing w:val="-2"/>
        </w:rPr>
        <w:t xml:space="preserve"> </w:t>
      </w:r>
      <w:r w:rsidR="002B3291" w:rsidRPr="00B37236">
        <w:rPr>
          <w:noProof/>
          <w:spacing w:val="-2"/>
        </w:rPr>
        <w:t>(2012</w:t>
      </w:r>
      <w:r w:rsidR="002B3291" w:rsidRPr="00B37236">
        <w:rPr>
          <w:noProof/>
          <w:spacing w:val="-2"/>
          <w:vertAlign w:val="subscript"/>
        </w:rPr>
        <w:t>[21]</w:t>
      </w:r>
      <w:r w:rsidR="002B3291" w:rsidRPr="00B37236">
        <w:rPr>
          <w:noProof/>
          <w:spacing w:val="-2"/>
        </w:rPr>
        <w:t>)</w:t>
      </w:r>
      <w:r w:rsidRPr="00B37236">
        <w:rPr>
          <w:spacing w:val="-2"/>
        </w:rPr>
        <w:t xml:space="preserve">, Healy, Schumacher and </w:t>
      </w:r>
      <w:proofErr w:type="spellStart"/>
      <w:r w:rsidRPr="00B37236">
        <w:rPr>
          <w:spacing w:val="-2"/>
        </w:rPr>
        <w:t>Eichhammer</w:t>
      </w:r>
      <w:proofErr w:type="spellEnd"/>
      <w:r w:rsidRPr="00B37236">
        <w:rPr>
          <w:spacing w:val="-2"/>
        </w:rPr>
        <w:t xml:space="preserve"> </w:t>
      </w:r>
      <w:r w:rsidR="002B3291" w:rsidRPr="00B37236">
        <w:rPr>
          <w:noProof/>
          <w:spacing w:val="-2"/>
        </w:rPr>
        <w:t>(2018</w:t>
      </w:r>
      <w:r w:rsidR="002B3291" w:rsidRPr="00B37236">
        <w:rPr>
          <w:noProof/>
          <w:spacing w:val="-2"/>
          <w:vertAlign w:val="subscript"/>
        </w:rPr>
        <w:t>[22]</w:t>
      </w:r>
      <w:r w:rsidR="002B3291" w:rsidRPr="00B37236">
        <w:rPr>
          <w:noProof/>
          <w:spacing w:val="-2"/>
        </w:rPr>
        <w:t>)</w:t>
      </w:r>
      <w:r w:rsidRPr="00B37236">
        <w:rPr>
          <w:spacing w:val="-2"/>
        </w:rPr>
        <w:t xml:space="preserve">) or in the cement and iron and steel sectors </w:t>
      </w:r>
      <w:r w:rsidR="002B3291" w:rsidRPr="00B37236">
        <w:rPr>
          <w:noProof/>
          <w:spacing w:val="-2"/>
        </w:rPr>
        <w:t>(Branger, Quirion and Chevallier, 2014</w:t>
      </w:r>
      <w:r w:rsidR="002B3291" w:rsidRPr="00B37236">
        <w:rPr>
          <w:noProof/>
          <w:spacing w:val="-2"/>
          <w:vertAlign w:val="subscript"/>
        </w:rPr>
        <w:t>[23]</w:t>
      </w:r>
      <w:r w:rsidR="002B3291" w:rsidRPr="00B37236">
        <w:rPr>
          <w:noProof/>
          <w:spacing w:val="-2"/>
        </w:rPr>
        <w:t>)</w:t>
      </w:r>
      <w:r w:rsidRPr="00B37236">
        <w:rPr>
          <w:spacing w:val="-2"/>
        </w:rPr>
        <w:t>.</w:t>
      </w:r>
    </w:p>
    <w:p w14:paraId="64F908F0" w14:textId="7AAA1A7B" w:rsidR="00C02265" w:rsidRDefault="004D61AD" w:rsidP="004D61AD">
      <w:pPr>
        <w:pStyle w:val="Para0"/>
        <w:rPr>
          <w:szCs w:val="22"/>
        </w:rPr>
      </w:pPr>
      <w:r w:rsidRPr="00B37236">
        <w:rPr>
          <w:spacing w:val="-2"/>
        </w:rPr>
        <w:t xml:space="preserve">Few studies find statistically significant effects from carbon pricing on net imports, and when they do, effects are relatively small in magnitude and can be either positive or negative. For the EU ETS, </w:t>
      </w:r>
      <w:proofErr w:type="spellStart"/>
      <w:r w:rsidRPr="00B37236">
        <w:rPr>
          <w:spacing w:val="-2"/>
        </w:rPr>
        <w:t>Petrick</w:t>
      </w:r>
      <w:proofErr w:type="spellEnd"/>
      <w:r w:rsidRPr="00B37236">
        <w:rPr>
          <w:spacing w:val="-2"/>
        </w:rPr>
        <w:t xml:space="preserve"> and Wagner </w:t>
      </w:r>
      <w:r w:rsidR="002B3291" w:rsidRPr="00B37236">
        <w:rPr>
          <w:noProof/>
          <w:spacing w:val="-2"/>
        </w:rPr>
        <w:t>(2014</w:t>
      </w:r>
      <w:r w:rsidR="002B3291" w:rsidRPr="00B37236">
        <w:rPr>
          <w:noProof/>
          <w:spacing w:val="-2"/>
          <w:vertAlign w:val="subscript"/>
        </w:rPr>
        <w:t>[24]</w:t>
      </w:r>
      <w:r w:rsidR="002B3291" w:rsidRPr="00B37236">
        <w:rPr>
          <w:noProof/>
          <w:spacing w:val="-2"/>
        </w:rPr>
        <w:t>)</w:t>
      </w:r>
      <w:r w:rsidRPr="00B37236">
        <w:rPr>
          <w:spacing w:val="-2"/>
        </w:rPr>
        <w:t xml:space="preserve"> </w:t>
      </w:r>
      <w:proofErr w:type="gramStart"/>
      <w:r w:rsidRPr="00B37236">
        <w:rPr>
          <w:spacing w:val="-2"/>
        </w:rPr>
        <w:t xml:space="preserve">find </w:t>
      </w:r>
      <w:r w:rsidR="00BD27DE">
        <w:rPr>
          <w:spacing w:val="-2"/>
        </w:rPr>
        <w:t xml:space="preserve"> overall</w:t>
      </w:r>
      <w:proofErr w:type="gramEnd"/>
      <w:r w:rsidR="00BD27DE">
        <w:rPr>
          <w:spacing w:val="-2"/>
        </w:rPr>
        <w:t xml:space="preserve"> </w:t>
      </w:r>
      <w:r w:rsidRPr="00B37236">
        <w:rPr>
          <w:spacing w:val="-2"/>
        </w:rPr>
        <w:t xml:space="preserve">increased net exports </w:t>
      </w:r>
      <w:r w:rsidR="00BD27DE">
        <w:rPr>
          <w:spacing w:val="-2"/>
        </w:rPr>
        <w:t>in</w:t>
      </w:r>
      <w:r w:rsidRPr="00B37236">
        <w:rPr>
          <w:spacing w:val="-2"/>
        </w:rPr>
        <w:t xml:space="preserve"> regulated sectors in Germany by 9% to 18%, meaning that German firms improved their competitiveness due to the EU ETS. Conversely, </w:t>
      </w:r>
      <w:proofErr w:type="spellStart"/>
      <w:r w:rsidRPr="00B37236">
        <w:rPr>
          <w:spacing w:val="-2"/>
        </w:rPr>
        <w:t>Bouttabba</w:t>
      </w:r>
      <w:proofErr w:type="spellEnd"/>
      <w:r w:rsidRPr="00B37236">
        <w:rPr>
          <w:spacing w:val="-2"/>
        </w:rPr>
        <w:t xml:space="preserve"> and </w:t>
      </w:r>
      <w:proofErr w:type="spellStart"/>
      <w:r w:rsidRPr="00B37236">
        <w:rPr>
          <w:spacing w:val="-2"/>
        </w:rPr>
        <w:t>Lardic</w:t>
      </w:r>
      <w:proofErr w:type="spellEnd"/>
      <w:r w:rsidRPr="00B37236">
        <w:rPr>
          <w:spacing w:val="-2"/>
        </w:rPr>
        <w:t xml:space="preserve"> </w:t>
      </w:r>
      <w:r w:rsidR="002B3291" w:rsidRPr="00B37236">
        <w:rPr>
          <w:noProof/>
          <w:spacing w:val="-2"/>
        </w:rPr>
        <w:t>(2017</w:t>
      </w:r>
      <w:r w:rsidR="002B3291" w:rsidRPr="00B37236">
        <w:rPr>
          <w:noProof/>
          <w:spacing w:val="-2"/>
          <w:vertAlign w:val="subscript"/>
        </w:rPr>
        <w:t>[25]</w:t>
      </w:r>
      <w:r w:rsidR="002B3291" w:rsidRPr="00B37236">
        <w:rPr>
          <w:noProof/>
          <w:spacing w:val="-2"/>
        </w:rPr>
        <w:t>)</w:t>
      </w:r>
      <w:r w:rsidRPr="00B37236">
        <w:rPr>
          <w:spacing w:val="-2"/>
        </w:rPr>
        <w:t xml:space="preserve"> find a modest </w:t>
      </w:r>
      <w:r w:rsidR="00D92250">
        <w:rPr>
          <w:spacing w:val="-2"/>
        </w:rPr>
        <w:t xml:space="preserve">decrease in net exports </w:t>
      </w:r>
      <w:proofErr w:type="gramStart"/>
      <w:r w:rsidR="00D92250">
        <w:rPr>
          <w:spacing w:val="-2"/>
        </w:rPr>
        <w:t>as a result of</w:t>
      </w:r>
      <w:proofErr w:type="gramEnd"/>
      <w:r w:rsidR="00D92250">
        <w:rPr>
          <w:spacing w:val="-2"/>
        </w:rPr>
        <w:t xml:space="preserve"> increasing carbon prices</w:t>
      </w:r>
      <w:r w:rsidRPr="00B37236">
        <w:rPr>
          <w:spacing w:val="-2"/>
        </w:rPr>
        <w:t xml:space="preserve">, more so in the steel than in </w:t>
      </w:r>
      <w:r w:rsidR="00BD27DE">
        <w:rPr>
          <w:spacing w:val="-2"/>
        </w:rPr>
        <w:t xml:space="preserve">the </w:t>
      </w:r>
      <w:r w:rsidRPr="00B37236">
        <w:rPr>
          <w:spacing w:val="-2"/>
        </w:rPr>
        <w:t xml:space="preserve">cement sector. </w:t>
      </w:r>
      <w:r w:rsidR="007204E1" w:rsidRPr="00512445">
        <w:rPr>
          <w:szCs w:val="22"/>
        </w:rPr>
        <w:t xml:space="preserve">For the RGGI in the </w:t>
      </w:r>
      <w:proofErr w:type="spellStart"/>
      <w:r w:rsidR="007204E1" w:rsidRPr="00512445">
        <w:rPr>
          <w:szCs w:val="22"/>
        </w:rPr>
        <w:t>Northeastern</w:t>
      </w:r>
      <w:proofErr w:type="spellEnd"/>
      <w:r w:rsidR="007204E1" w:rsidRPr="00512445">
        <w:rPr>
          <w:szCs w:val="22"/>
        </w:rPr>
        <w:t xml:space="preserve"> USA, Fell and </w:t>
      </w:r>
      <w:proofErr w:type="spellStart"/>
      <w:r w:rsidR="007204E1" w:rsidRPr="00512445">
        <w:rPr>
          <w:szCs w:val="22"/>
        </w:rPr>
        <w:t>Maniloff</w:t>
      </w:r>
      <w:proofErr w:type="spellEnd"/>
      <w:r w:rsidR="007204E1" w:rsidRPr="00512445">
        <w:rPr>
          <w:szCs w:val="22"/>
        </w:rPr>
        <w:t xml:space="preserve"> </w:t>
      </w:r>
      <w:r w:rsidR="002B3291" w:rsidRPr="00512445">
        <w:rPr>
          <w:noProof/>
          <w:szCs w:val="22"/>
        </w:rPr>
        <w:t>(2018</w:t>
      </w:r>
      <w:r w:rsidR="002B3291" w:rsidRPr="00512445">
        <w:rPr>
          <w:noProof/>
          <w:szCs w:val="22"/>
          <w:vertAlign w:val="subscript"/>
        </w:rPr>
        <w:t>[45]</w:t>
      </w:r>
      <w:r w:rsidR="002B3291" w:rsidRPr="00512445">
        <w:rPr>
          <w:noProof/>
          <w:szCs w:val="22"/>
        </w:rPr>
        <w:t>)</w:t>
      </w:r>
      <w:r w:rsidR="007204E1" w:rsidRPr="00512445">
        <w:rPr>
          <w:szCs w:val="22"/>
        </w:rPr>
        <w:t xml:space="preserve"> find that the carbon market has led to changes in electricity trade patterns, estimating that Pennsylvania and Ohio - which are not part of RGGI, but have grid connections to RGGI states - increased their production by as much as 10%. Their results indicate that RGGI induced a reduction in coal-fired generation in RGGI states and an increase in natural gas electricity generation in RGGI-surrounding regions.</w:t>
      </w:r>
    </w:p>
    <w:p w14:paraId="6C846F3A" w14:textId="7BAC60C2" w:rsidR="004D61AD" w:rsidRDefault="00C02265" w:rsidP="004D61AD">
      <w:pPr>
        <w:pStyle w:val="Para0"/>
        <w:rPr>
          <w:szCs w:val="22"/>
        </w:rPr>
      </w:pPr>
      <w:r>
        <w:rPr>
          <w:spacing w:val="-2"/>
        </w:rPr>
        <w:lastRenderedPageBreak/>
        <w:t xml:space="preserve">Several studies estimate trade effects from energy price </w:t>
      </w:r>
      <w:r w:rsidR="00552409">
        <w:rPr>
          <w:spacing w:val="-2"/>
        </w:rPr>
        <w:t>fluctuations</w:t>
      </w:r>
      <w:r>
        <w:rPr>
          <w:spacing w:val="-2"/>
        </w:rPr>
        <w:t>.</w:t>
      </w:r>
      <w:r>
        <w:rPr>
          <w:rStyle w:val="Appelnotedebasdep"/>
          <w:spacing w:val="-2"/>
        </w:rPr>
        <w:footnoteReference w:id="13"/>
      </w:r>
      <w:r>
        <w:rPr>
          <w:spacing w:val="-2"/>
        </w:rPr>
        <w:t xml:space="preserve"> Sato &amp; Dechezleprêtre (2015) us</w:t>
      </w:r>
      <w:r w:rsidR="00552409">
        <w:rPr>
          <w:spacing w:val="-2"/>
        </w:rPr>
        <w:t>e</w:t>
      </w:r>
      <w:r>
        <w:rPr>
          <w:spacing w:val="-2"/>
        </w:rPr>
        <w:t xml:space="preserve"> a large dataset of 42 countries and 62 sectors</w:t>
      </w:r>
      <w:r w:rsidR="00552409">
        <w:rPr>
          <w:spacing w:val="-2"/>
        </w:rPr>
        <w:t xml:space="preserve"> and find</w:t>
      </w:r>
      <w:r>
        <w:rPr>
          <w:spacing w:val="-2"/>
        </w:rPr>
        <w:t xml:space="preserve"> </w:t>
      </w:r>
      <w:r w:rsidR="00552409">
        <w:rPr>
          <w:spacing w:val="-2"/>
        </w:rPr>
        <w:t>almost no effect from energy prices on trade.</w:t>
      </w:r>
      <w:r>
        <w:rPr>
          <w:spacing w:val="-2"/>
        </w:rPr>
        <w:t xml:space="preserve"> </w:t>
      </w:r>
      <w:r w:rsidR="00552409">
        <w:rPr>
          <w:spacing w:val="-2"/>
        </w:rPr>
        <w:t xml:space="preserve">A </w:t>
      </w:r>
      <w:r>
        <w:rPr>
          <w:spacing w:val="-2"/>
        </w:rPr>
        <w:t xml:space="preserve">10% </w:t>
      </w:r>
      <w:r w:rsidR="00552409">
        <w:rPr>
          <w:spacing w:val="-2"/>
        </w:rPr>
        <w:t>increase in the</w:t>
      </w:r>
      <w:r>
        <w:rPr>
          <w:spacing w:val="-2"/>
        </w:rPr>
        <w:t xml:space="preserve"> difference between the energy prices of 2 countries </w:t>
      </w:r>
      <w:r w:rsidR="00552409">
        <w:rPr>
          <w:spacing w:val="-2"/>
        </w:rPr>
        <w:t xml:space="preserve">decreases the </w:t>
      </w:r>
      <w:proofErr w:type="gramStart"/>
      <w:r w:rsidR="00552409">
        <w:rPr>
          <w:spacing w:val="-2"/>
        </w:rPr>
        <w:t>short term</w:t>
      </w:r>
      <w:proofErr w:type="gramEnd"/>
      <w:r w:rsidR="00552409">
        <w:rPr>
          <w:spacing w:val="-2"/>
        </w:rPr>
        <w:t xml:space="preserve"> exports by a mere 0.5%.</w:t>
      </w:r>
      <w:r>
        <w:rPr>
          <w:spacing w:val="-2"/>
        </w:rPr>
        <w:t xml:space="preserve"> For India, Kumar &amp; Prabhakar (2020) </w:t>
      </w:r>
      <w:r w:rsidR="00552409">
        <w:rPr>
          <w:spacing w:val="-2"/>
        </w:rPr>
        <w:t>find a larger, but still modest effect in the long run: an increase by 10% of the Indian energy price decreases Indian export by 1%. Similarly, for the US</w:t>
      </w:r>
      <w:r w:rsidRPr="00B37236">
        <w:rPr>
          <w:spacing w:val="-2"/>
        </w:rPr>
        <w:t xml:space="preserve">, </w:t>
      </w:r>
      <w:proofErr w:type="spellStart"/>
      <w:r w:rsidRPr="00B37236">
        <w:rPr>
          <w:spacing w:val="-2"/>
        </w:rPr>
        <w:t>Aldy</w:t>
      </w:r>
      <w:proofErr w:type="spellEnd"/>
      <w:r w:rsidRPr="00B37236">
        <w:rPr>
          <w:spacing w:val="-2"/>
        </w:rPr>
        <w:t xml:space="preserve"> and </w:t>
      </w:r>
      <w:proofErr w:type="spellStart"/>
      <w:r w:rsidRPr="00B37236">
        <w:rPr>
          <w:spacing w:val="-2"/>
        </w:rPr>
        <w:t>Pizer</w:t>
      </w:r>
      <w:proofErr w:type="spellEnd"/>
      <w:r w:rsidRPr="00B37236">
        <w:rPr>
          <w:spacing w:val="-2"/>
        </w:rPr>
        <w:t xml:space="preserve"> </w:t>
      </w:r>
      <w:r w:rsidR="002B3291" w:rsidRPr="00B37236">
        <w:rPr>
          <w:noProof/>
          <w:spacing w:val="-2"/>
        </w:rPr>
        <w:t>(2015</w:t>
      </w:r>
      <w:r w:rsidR="002B3291" w:rsidRPr="00B37236">
        <w:rPr>
          <w:noProof/>
          <w:spacing w:val="-2"/>
          <w:vertAlign w:val="subscript"/>
        </w:rPr>
        <w:t>[26]</w:t>
      </w:r>
      <w:r w:rsidR="002B3291" w:rsidRPr="00B37236">
        <w:rPr>
          <w:noProof/>
          <w:spacing w:val="-2"/>
        </w:rPr>
        <w:t>)</w:t>
      </w:r>
      <w:r w:rsidRPr="00B37236">
        <w:rPr>
          <w:spacing w:val="-2"/>
        </w:rPr>
        <w:t xml:space="preserve"> investigate trade effects in the USA from</w:t>
      </w:r>
      <w:r w:rsidR="00D372AF">
        <w:rPr>
          <w:spacing w:val="-2"/>
        </w:rPr>
        <w:t xml:space="preserve"> sector-specific</w:t>
      </w:r>
      <w:r w:rsidRPr="00B37236">
        <w:rPr>
          <w:spacing w:val="-2"/>
        </w:rPr>
        <w:t xml:space="preserve"> fuel price fluctuations</w:t>
      </w:r>
      <w:r w:rsidR="00D372AF">
        <w:rPr>
          <w:spacing w:val="-2"/>
        </w:rPr>
        <w:t xml:space="preserve"> between states</w:t>
      </w:r>
      <w:r w:rsidRPr="00B37236">
        <w:rPr>
          <w:spacing w:val="-2"/>
        </w:rPr>
        <w:t>, concluding that a</w:t>
      </w:r>
      <w:r w:rsidR="00D372AF">
        <w:rPr>
          <w:spacing w:val="-2"/>
        </w:rPr>
        <w:t>n increase by 10% in the energy price increases their net imports by a non-significant 0.6%. A</w:t>
      </w:r>
      <w:r w:rsidRPr="00B37236">
        <w:rPr>
          <w:spacing w:val="-2"/>
        </w:rPr>
        <w:t xml:space="preserve"> hypothetical carbon price of USD 15/ton CO</w:t>
      </w:r>
      <w:r w:rsidRPr="00B37236">
        <w:rPr>
          <w:spacing w:val="-2"/>
          <w:vertAlign w:val="subscript"/>
        </w:rPr>
        <w:t>2</w:t>
      </w:r>
      <w:r w:rsidRPr="00B37236">
        <w:rPr>
          <w:spacing w:val="-2"/>
        </w:rPr>
        <w:t xml:space="preserve"> would lead to a</w:t>
      </w:r>
      <w:r w:rsidR="00D372AF">
        <w:rPr>
          <w:spacing w:val="-2"/>
        </w:rPr>
        <w:t xml:space="preserve"> mere</w:t>
      </w:r>
      <w:r w:rsidRPr="00B37236">
        <w:rPr>
          <w:spacing w:val="-2"/>
        </w:rPr>
        <w:t xml:space="preserve"> 0.8% increase in imports in energy-intensive sectors.</w:t>
      </w:r>
      <w:r w:rsidRPr="007204E1">
        <w:rPr>
          <w:sz w:val="18"/>
          <w:szCs w:val="18"/>
        </w:rPr>
        <w:t xml:space="preserve"> </w:t>
      </w:r>
      <w:r w:rsidR="001C2008">
        <w:rPr>
          <w:szCs w:val="22"/>
        </w:rPr>
        <w:t xml:space="preserve"> </w:t>
      </w:r>
    </w:p>
    <w:p w14:paraId="750048A3" w14:textId="5364D92B" w:rsidR="006256D9" w:rsidRDefault="00E306B5" w:rsidP="00997125">
      <w:pPr>
        <w:pStyle w:val="Para0"/>
        <w:rPr>
          <w:spacing w:val="-2"/>
        </w:rPr>
      </w:pPr>
      <w:r>
        <w:rPr>
          <w:spacing w:val="-2"/>
        </w:rPr>
        <w:t xml:space="preserve">Studies based on interviews with managers also find a very modest effect of energy prices on trade, be it for the EU ETS (Martin et al. 2016) or five other energy policies in Germany, </w:t>
      </w:r>
      <w:proofErr w:type="gramStart"/>
      <w:r>
        <w:rPr>
          <w:spacing w:val="-2"/>
        </w:rPr>
        <w:t>Switzerland</w:t>
      </w:r>
      <w:proofErr w:type="gramEnd"/>
      <w:r>
        <w:rPr>
          <w:spacing w:val="-2"/>
        </w:rPr>
        <w:t xml:space="preserve"> and Austria (Rammer et al. 2017).</w:t>
      </w:r>
      <w:r w:rsidR="006256D9">
        <w:rPr>
          <w:spacing w:val="-2"/>
        </w:rPr>
        <w:t xml:space="preserve"> Table 2 summarises the studies on carbon pricing and trade effects</w:t>
      </w:r>
      <w:r w:rsidR="009A2316">
        <w:rPr>
          <w:spacing w:val="-2"/>
        </w:rPr>
        <w:t xml:space="preserve">, providing </w:t>
      </w:r>
      <w:r w:rsidR="009A2316">
        <w:t>details regarding the region, covered period, sample size and method</w:t>
      </w:r>
      <w:r w:rsidR="006256D9">
        <w:rPr>
          <w:spacing w:val="-2"/>
        </w:rPr>
        <w:br w:type="page"/>
      </w:r>
    </w:p>
    <w:p w14:paraId="316FCE97" w14:textId="11A271AC" w:rsidR="006256D9" w:rsidRDefault="006256D9" w:rsidP="00997125">
      <w:pPr>
        <w:pStyle w:val="Para0"/>
        <w:ind w:left="0"/>
        <w:rPr>
          <w:spacing w:val="-2"/>
        </w:rPr>
      </w:pPr>
      <w:r>
        <w:rPr>
          <w:b/>
          <w:bCs/>
        </w:rPr>
        <w:lastRenderedPageBreak/>
        <w:t xml:space="preserve">Table 2: </w:t>
      </w:r>
      <w:r w:rsidRPr="00512445">
        <w:rPr>
          <w:b/>
          <w:bCs/>
        </w:rPr>
        <w:t>Overview of empirical studies on imports and exports</w:t>
      </w:r>
    </w:p>
    <w:tbl>
      <w:tblPr>
        <w:tblW w:w="9117" w:type="dxa"/>
        <w:tblCellMar>
          <w:left w:w="70" w:type="dxa"/>
          <w:right w:w="70" w:type="dxa"/>
        </w:tblCellMar>
        <w:tblLook w:val="04A0" w:firstRow="1" w:lastRow="0" w:firstColumn="1" w:lastColumn="0" w:noHBand="0" w:noVBand="1"/>
      </w:tblPr>
      <w:tblGrid>
        <w:gridCol w:w="1138"/>
        <w:gridCol w:w="477"/>
        <w:gridCol w:w="939"/>
        <w:gridCol w:w="779"/>
        <w:gridCol w:w="1105"/>
        <w:gridCol w:w="628"/>
        <w:gridCol w:w="1075"/>
        <w:gridCol w:w="2976"/>
      </w:tblGrid>
      <w:tr w:rsidR="004219DF" w:rsidRPr="00A15B7C" w14:paraId="253F46B1" w14:textId="77777777" w:rsidTr="004219DF">
        <w:trPr>
          <w:trHeight w:val="288"/>
        </w:trPr>
        <w:tc>
          <w:tcPr>
            <w:tcW w:w="1138" w:type="dxa"/>
            <w:tcBorders>
              <w:top w:val="single" w:sz="4" w:space="0" w:color="auto"/>
              <w:left w:val="single" w:sz="4" w:space="0" w:color="auto"/>
              <w:bottom w:val="single" w:sz="4" w:space="0" w:color="auto"/>
              <w:right w:val="single" w:sz="4" w:space="0" w:color="auto"/>
            </w:tcBorders>
            <w:shd w:val="clear" w:color="auto" w:fill="auto"/>
            <w:noWrap/>
            <w:hideMark/>
          </w:tcPr>
          <w:p w14:paraId="11F4C304" w14:textId="77777777" w:rsidR="006256D9" w:rsidRPr="00997125" w:rsidRDefault="006256D9"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 xml:space="preserve">Authors </w:t>
            </w:r>
          </w:p>
        </w:tc>
        <w:tc>
          <w:tcPr>
            <w:tcW w:w="477" w:type="dxa"/>
            <w:tcBorders>
              <w:top w:val="single" w:sz="4" w:space="0" w:color="auto"/>
              <w:left w:val="nil"/>
              <w:bottom w:val="single" w:sz="4" w:space="0" w:color="auto"/>
              <w:right w:val="single" w:sz="4" w:space="0" w:color="auto"/>
            </w:tcBorders>
            <w:shd w:val="clear" w:color="auto" w:fill="auto"/>
            <w:noWrap/>
            <w:hideMark/>
          </w:tcPr>
          <w:p w14:paraId="75EA3E60" w14:textId="57631E00" w:rsidR="006256D9" w:rsidRPr="00997125" w:rsidRDefault="006256D9"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Year</w:t>
            </w:r>
          </w:p>
        </w:tc>
        <w:tc>
          <w:tcPr>
            <w:tcW w:w="939" w:type="dxa"/>
            <w:tcBorders>
              <w:top w:val="single" w:sz="4" w:space="0" w:color="auto"/>
              <w:left w:val="nil"/>
              <w:bottom w:val="single" w:sz="4" w:space="0" w:color="auto"/>
              <w:right w:val="single" w:sz="4" w:space="0" w:color="auto"/>
            </w:tcBorders>
            <w:shd w:val="clear" w:color="auto" w:fill="auto"/>
            <w:noWrap/>
            <w:hideMark/>
          </w:tcPr>
          <w:p w14:paraId="3667E57B" w14:textId="5CFE7C34" w:rsidR="006256D9" w:rsidRPr="00997125" w:rsidRDefault="006256D9"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Country</w:t>
            </w:r>
          </w:p>
        </w:tc>
        <w:tc>
          <w:tcPr>
            <w:tcW w:w="779" w:type="dxa"/>
            <w:tcBorders>
              <w:top w:val="single" w:sz="4" w:space="0" w:color="auto"/>
              <w:left w:val="nil"/>
              <w:bottom w:val="single" w:sz="4" w:space="0" w:color="auto"/>
              <w:right w:val="single" w:sz="4" w:space="0" w:color="auto"/>
            </w:tcBorders>
            <w:shd w:val="clear" w:color="auto" w:fill="auto"/>
            <w:noWrap/>
            <w:hideMark/>
          </w:tcPr>
          <w:p w14:paraId="4ADB7C38" w14:textId="7191D1B5" w:rsidR="006256D9" w:rsidRPr="00997125" w:rsidRDefault="006256D9"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Policy</w:t>
            </w:r>
          </w:p>
        </w:tc>
        <w:tc>
          <w:tcPr>
            <w:tcW w:w="1105" w:type="dxa"/>
            <w:tcBorders>
              <w:top w:val="single" w:sz="4" w:space="0" w:color="auto"/>
              <w:left w:val="nil"/>
              <w:bottom w:val="single" w:sz="4" w:space="0" w:color="auto"/>
              <w:right w:val="single" w:sz="4" w:space="0" w:color="auto"/>
            </w:tcBorders>
            <w:shd w:val="clear" w:color="auto" w:fill="auto"/>
            <w:noWrap/>
            <w:hideMark/>
          </w:tcPr>
          <w:p w14:paraId="613956B2" w14:textId="77777777" w:rsidR="006256D9" w:rsidRPr="00997125" w:rsidRDefault="006256D9"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Sectors</w:t>
            </w:r>
          </w:p>
        </w:tc>
        <w:tc>
          <w:tcPr>
            <w:tcW w:w="628" w:type="dxa"/>
            <w:tcBorders>
              <w:top w:val="single" w:sz="4" w:space="0" w:color="auto"/>
              <w:left w:val="nil"/>
              <w:bottom w:val="single" w:sz="4" w:space="0" w:color="auto"/>
              <w:right w:val="single" w:sz="4" w:space="0" w:color="auto"/>
            </w:tcBorders>
            <w:shd w:val="clear" w:color="auto" w:fill="auto"/>
            <w:noWrap/>
            <w:hideMark/>
          </w:tcPr>
          <w:p w14:paraId="6FBFC925" w14:textId="6B26AEFF" w:rsidR="006256D9" w:rsidRPr="00997125" w:rsidRDefault="006256D9" w:rsidP="00EF3DA1">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Period</w:t>
            </w:r>
          </w:p>
        </w:tc>
        <w:tc>
          <w:tcPr>
            <w:tcW w:w="1075" w:type="dxa"/>
            <w:tcBorders>
              <w:top w:val="single" w:sz="4" w:space="0" w:color="auto"/>
              <w:left w:val="nil"/>
              <w:bottom w:val="single" w:sz="4" w:space="0" w:color="auto"/>
              <w:right w:val="single" w:sz="4" w:space="0" w:color="auto"/>
            </w:tcBorders>
          </w:tcPr>
          <w:p w14:paraId="2B949285" w14:textId="77777777" w:rsidR="006256D9" w:rsidRPr="00997125" w:rsidRDefault="006256D9"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Method</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7DC5B860" w14:textId="3811A837" w:rsidR="006256D9" w:rsidRPr="00997125" w:rsidRDefault="004219DF"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 xml:space="preserve">Effect on trade </w:t>
            </w:r>
          </w:p>
        </w:tc>
      </w:tr>
      <w:tr w:rsidR="004219DF" w:rsidRPr="008E5E6B" w14:paraId="6BC3C100"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0787CC0C"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Kumar &amp; Prabhakar</w:t>
            </w:r>
          </w:p>
        </w:tc>
        <w:tc>
          <w:tcPr>
            <w:tcW w:w="477" w:type="dxa"/>
            <w:tcBorders>
              <w:top w:val="nil"/>
              <w:left w:val="nil"/>
              <w:bottom w:val="single" w:sz="4" w:space="0" w:color="auto"/>
              <w:right w:val="single" w:sz="4" w:space="0" w:color="auto"/>
            </w:tcBorders>
            <w:shd w:val="clear" w:color="auto" w:fill="auto"/>
            <w:noWrap/>
          </w:tcPr>
          <w:p w14:paraId="7FAB905E"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2020</w:t>
            </w:r>
          </w:p>
        </w:tc>
        <w:tc>
          <w:tcPr>
            <w:tcW w:w="939" w:type="dxa"/>
            <w:tcBorders>
              <w:top w:val="nil"/>
              <w:left w:val="nil"/>
              <w:bottom w:val="single" w:sz="4" w:space="0" w:color="auto"/>
              <w:right w:val="single" w:sz="4" w:space="0" w:color="auto"/>
            </w:tcBorders>
            <w:shd w:val="clear" w:color="auto" w:fill="auto"/>
            <w:noWrap/>
          </w:tcPr>
          <w:p w14:paraId="73CE6633"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India</w:t>
            </w:r>
          </w:p>
        </w:tc>
        <w:tc>
          <w:tcPr>
            <w:tcW w:w="779" w:type="dxa"/>
            <w:tcBorders>
              <w:top w:val="nil"/>
              <w:left w:val="nil"/>
              <w:bottom w:val="single" w:sz="4" w:space="0" w:color="auto"/>
              <w:right w:val="single" w:sz="4" w:space="0" w:color="auto"/>
            </w:tcBorders>
            <w:shd w:val="clear" w:color="auto" w:fill="auto"/>
            <w:noWrap/>
          </w:tcPr>
          <w:p w14:paraId="50339CB3"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Energy Price</w:t>
            </w:r>
          </w:p>
        </w:tc>
        <w:tc>
          <w:tcPr>
            <w:tcW w:w="1105" w:type="dxa"/>
            <w:tcBorders>
              <w:top w:val="nil"/>
              <w:left w:val="nil"/>
              <w:bottom w:val="single" w:sz="4" w:space="0" w:color="auto"/>
              <w:right w:val="single" w:sz="4" w:space="0" w:color="auto"/>
            </w:tcBorders>
            <w:shd w:val="clear" w:color="auto" w:fill="auto"/>
            <w:noWrap/>
          </w:tcPr>
          <w:p w14:paraId="670F67B3"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tcPr>
          <w:p w14:paraId="550A34B6"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1998-2009</w:t>
            </w:r>
          </w:p>
        </w:tc>
        <w:tc>
          <w:tcPr>
            <w:tcW w:w="1075" w:type="dxa"/>
            <w:tcBorders>
              <w:top w:val="single" w:sz="4" w:space="0" w:color="auto"/>
              <w:left w:val="nil"/>
              <w:bottom w:val="single" w:sz="4" w:space="0" w:color="auto"/>
              <w:right w:val="single" w:sz="4" w:space="0" w:color="auto"/>
            </w:tcBorders>
          </w:tcPr>
          <w:p w14:paraId="03951F89"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Gravity trade model, GMM, IV (lagged energy prices)</w:t>
            </w:r>
          </w:p>
        </w:tc>
        <w:tc>
          <w:tcPr>
            <w:tcW w:w="2976" w:type="dxa"/>
            <w:tcBorders>
              <w:top w:val="nil"/>
              <w:left w:val="single" w:sz="4" w:space="0" w:color="auto"/>
              <w:bottom w:val="single" w:sz="4" w:space="0" w:color="auto"/>
              <w:right w:val="single" w:sz="4" w:space="0" w:color="auto"/>
            </w:tcBorders>
            <w:shd w:val="clear" w:color="auto" w:fill="auto"/>
            <w:noWrap/>
          </w:tcPr>
          <w:p w14:paraId="0AE77016"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10% increase in energy price difference between India and trading partner reduces long term exports by 1%</w:t>
            </w:r>
          </w:p>
        </w:tc>
      </w:tr>
      <w:tr w:rsidR="004219DF" w:rsidRPr="00C11D4F" w14:paraId="30B7AF54"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4FD00201" w14:textId="77777777" w:rsidR="006256D9" w:rsidRPr="00997125" w:rsidRDefault="006256D9" w:rsidP="006C5ABA">
            <w:pPr>
              <w:jc w:val="left"/>
              <w:rPr>
                <w:rFonts w:ascii="Calibri" w:eastAsia="Times New Roman" w:hAnsi="Calibri" w:cs="Calibri"/>
                <w:color w:val="000000"/>
                <w:sz w:val="16"/>
                <w:szCs w:val="16"/>
                <w:lang w:eastAsia="fr-BE"/>
              </w:rPr>
            </w:pPr>
            <w:proofErr w:type="spellStart"/>
            <w:r w:rsidRPr="00997125">
              <w:rPr>
                <w:rFonts w:ascii="Calibri" w:hAnsi="Calibri" w:cs="Calibri"/>
                <w:color w:val="000000"/>
                <w:sz w:val="16"/>
                <w:szCs w:val="16"/>
              </w:rPr>
              <w:t>Naegele</w:t>
            </w:r>
            <w:proofErr w:type="spellEnd"/>
            <w:r w:rsidRPr="00997125">
              <w:rPr>
                <w:rFonts w:ascii="Calibri" w:hAnsi="Calibri" w:cs="Calibri"/>
                <w:color w:val="000000"/>
                <w:sz w:val="16"/>
                <w:szCs w:val="16"/>
              </w:rPr>
              <w:t xml:space="preserve"> &amp; </w:t>
            </w:r>
            <w:proofErr w:type="spellStart"/>
            <w:r w:rsidRPr="00997125">
              <w:rPr>
                <w:rFonts w:ascii="Calibri" w:hAnsi="Calibri" w:cs="Calibri"/>
                <w:color w:val="000000"/>
                <w:sz w:val="16"/>
                <w:szCs w:val="16"/>
              </w:rPr>
              <w:t>Zaklan</w:t>
            </w:r>
            <w:proofErr w:type="spellEnd"/>
          </w:p>
        </w:tc>
        <w:tc>
          <w:tcPr>
            <w:tcW w:w="477" w:type="dxa"/>
            <w:tcBorders>
              <w:top w:val="nil"/>
              <w:left w:val="nil"/>
              <w:bottom w:val="single" w:sz="4" w:space="0" w:color="auto"/>
              <w:right w:val="single" w:sz="4" w:space="0" w:color="auto"/>
            </w:tcBorders>
            <w:shd w:val="clear" w:color="auto" w:fill="auto"/>
            <w:noWrap/>
            <w:hideMark/>
          </w:tcPr>
          <w:p w14:paraId="79E9B481"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2019</w:t>
            </w:r>
          </w:p>
        </w:tc>
        <w:tc>
          <w:tcPr>
            <w:tcW w:w="939" w:type="dxa"/>
            <w:tcBorders>
              <w:top w:val="nil"/>
              <w:left w:val="nil"/>
              <w:bottom w:val="single" w:sz="4" w:space="0" w:color="auto"/>
              <w:right w:val="single" w:sz="4" w:space="0" w:color="auto"/>
            </w:tcBorders>
            <w:shd w:val="clear" w:color="auto" w:fill="auto"/>
            <w:noWrap/>
            <w:hideMark/>
          </w:tcPr>
          <w:p w14:paraId="15BEB865"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hideMark/>
          </w:tcPr>
          <w:p w14:paraId="50B4B429"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hideMark/>
          </w:tcPr>
          <w:p w14:paraId="3F706EF2"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hideMark/>
          </w:tcPr>
          <w:p w14:paraId="575D22E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2004-2011</w:t>
            </w:r>
          </w:p>
        </w:tc>
        <w:tc>
          <w:tcPr>
            <w:tcW w:w="1075" w:type="dxa"/>
            <w:tcBorders>
              <w:top w:val="single" w:sz="4" w:space="0" w:color="auto"/>
              <w:left w:val="nil"/>
              <w:bottom w:val="single" w:sz="4" w:space="0" w:color="auto"/>
              <w:right w:val="single" w:sz="4" w:space="0" w:color="auto"/>
            </w:tcBorders>
          </w:tcPr>
          <w:p w14:paraId="2B104AAA"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Gravity trade model, input-output data</w:t>
            </w:r>
          </w:p>
        </w:tc>
        <w:tc>
          <w:tcPr>
            <w:tcW w:w="2976" w:type="dxa"/>
            <w:tcBorders>
              <w:top w:val="nil"/>
              <w:left w:val="single" w:sz="4" w:space="0" w:color="auto"/>
              <w:bottom w:val="single" w:sz="4" w:space="0" w:color="auto"/>
              <w:right w:val="single" w:sz="4" w:space="0" w:color="auto"/>
            </w:tcBorders>
            <w:shd w:val="clear" w:color="auto" w:fill="auto"/>
            <w:noWrap/>
            <w:hideMark/>
          </w:tcPr>
          <w:p w14:paraId="2B0D1A5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Insignificant effect on trade value and on embodied carbon</w:t>
            </w:r>
          </w:p>
        </w:tc>
      </w:tr>
      <w:tr w:rsidR="004219DF" w:rsidRPr="00C11D4F" w14:paraId="7C5FE260"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11CE06CE"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Dechezleprêtre et al.</w:t>
            </w:r>
          </w:p>
        </w:tc>
        <w:tc>
          <w:tcPr>
            <w:tcW w:w="477" w:type="dxa"/>
            <w:tcBorders>
              <w:top w:val="nil"/>
              <w:left w:val="nil"/>
              <w:bottom w:val="single" w:sz="4" w:space="0" w:color="auto"/>
              <w:right w:val="single" w:sz="4" w:space="0" w:color="auto"/>
            </w:tcBorders>
            <w:shd w:val="clear" w:color="auto" w:fill="auto"/>
            <w:noWrap/>
          </w:tcPr>
          <w:p w14:paraId="27E7C5C9"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2019</w:t>
            </w:r>
          </w:p>
        </w:tc>
        <w:tc>
          <w:tcPr>
            <w:tcW w:w="939" w:type="dxa"/>
            <w:tcBorders>
              <w:top w:val="nil"/>
              <w:left w:val="nil"/>
              <w:bottom w:val="single" w:sz="4" w:space="0" w:color="auto"/>
              <w:right w:val="single" w:sz="4" w:space="0" w:color="auto"/>
            </w:tcBorders>
            <w:shd w:val="clear" w:color="auto" w:fill="auto"/>
            <w:noWrap/>
          </w:tcPr>
          <w:p w14:paraId="019B654C"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tcPr>
          <w:p w14:paraId="4189CDB4"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tcPr>
          <w:p w14:paraId="5EA55BF7"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tcPr>
          <w:p w14:paraId="08C5F56A"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2007-2014</w:t>
            </w:r>
          </w:p>
        </w:tc>
        <w:tc>
          <w:tcPr>
            <w:tcW w:w="1075" w:type="dxa"/>
            <w:tcBorders>
              <w:top w:val="single" w:sz="4" w:space="0" w:color="auto"/>
              <w:left w:val="nil"/>
              <w:bottom w:val="single" w:sz="4" w:space="0" w:color="auto"/>
              <w:right w:val="single" w:sz="4" w:space="0" w:color="auto"/>
            </w:tcBorders>
          </w:tcPr>
          <w:p w14:paraId="2D649F74"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Regression of change of emissions within multinationals</w:t>
            </w:r>
          </w:p>
        </w:tc>
        <w:tc>
          <w:tcPr>
            <w:tcW w:w="2976" w:type="dxa"/>
            <w:tcBorders>
              <w:top w:val="nil"/>
              <w:left w:val="single" w:sz="4" w:space="0" w:color="auto"/>
              <w:bottom w:val="single" w:sz="4" w:space="0" w:color="auto"/>
              <w:right w:val="single" w:sz="4" w:space="0" w:color="auto"/>
            </w:tcBorders>
            <w:shd w:val="clear" w:color="auto" w:fill="auto"/>
            <w:noWrap/>
          </w:tcPr>
          <w:p w14:paraId="0845E49C"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No shift in emissions from EU to outside the EU within multinationals, even not for carbon intensive sectors.</w:t>
            </w:r>
          </w:p>
        </w:tc>
      </w:tr>
      <w:tr w:rsidR="004219DF" w:rsidRPr="00C11D4F" w14:paraId="68DE6B8B"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057C7570"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 xml:space="preserve">Fell &amp; </w:t>
            </w:r>
            <w:proofErr w:type="spellStart"/>
            <w:r w:rsidRPr="00997125">
              <w:rPr>
                <w:rFonts w:ascii="Calibri" w:hAnsi="Calibri" w:cs="Calibri"/>
                <w:color w:val="000000"/>
                <w:sz w:val="16"/>
                <w:szCs w:val="16"/>
              </w:rPr>
              <w:t>Maniloff</w:t>
            </w:r>
            <w:proofErr w:type="spellEnd"/>
          </w:p>
        </w:tc>
        <w:tc>
          <w:tcPr>
            <w:tcW w:w="477" w:type="dxa"/>
            <w:tcBorders>
              <w:top w:val="nil"/>
              <w:left w:val="nil"/>
              <w:bottom w:val="single" w:sz="4" w:space="0" w:color="auto"/>
              <w:right w:val="single" w:sz="4" w:space="0" w:color="auto"/>
            </w:tcBorders>
            <w:shd w:val="clear" w:color="auto" w:fill="auto"/>
            <w:noWrap/>
          </w:tcPr>
          <w:p w14:paraId="12B20735"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2018</w:t>
            </w:r>
          </w:p>
        </w:tc>
        <w:tc>
          <w:tcPr>
            <w:tcW w:w="939" w:type="dxa"/>
            <w:tcBorders>
              <w:top w:val="nil"/>
              <w:left w:val="nil"/>
              <w:bottom w:val="single" w:sz="4" w:space="0" w:color="auto"/>
              <w:right w:val="single" w:sz="4" w:space="0" w:color="auto"/>
            </w:tcBorders>
            <w:shd w:val="clear" w:color="auto" w:fill="auto"/>
            <w:noWrap/>
          </w:tcPr>
          <w:p w14:paraId="52CB3499" w14:textId="1523CB01" w:rsidR="006256D9" w:rsidRPr="00997125" w:rsidRDefault="006256D9" w:rsidP="00EF3DA1">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US</w:t>
            </w:r>
          </w:p>
        </w:tc>
        <w:tc>
          <w:tcPr>
            <w:tcW w:w="779" w:type="dxa"/>
            <w:tcBorders>
              <w:top w:val="nil"/>
              <w:left w:val="nil"/>
              <w:bottom w:val="single" w:sz="4" w:space="0" w:color="auto"/>
              <w:right w:val="single" w:sz="4" w:space="0" w:color="auto"/>
            </w:tcBorders>
            <w:shd w:val="clear" w:color="auto" w:fill="auto"/>
            <w:noWrap/>
          </w:tcPr>
          <w:p w14:paraId="58ADC233" w14:textId="7F3C698B"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r w:rsidR="004219DF">
              <w:rPr>
                <w:rFonts w:ascii="Calibri" w:hAnsi="Calibri" w:cs="Calibri"/>
                <w:color w:val="000000"/>
                <w:sz w:val="16"/>
                <w:szCs w:val="16"/>
              </w:rPr>
              <w:t xml:space="preserve"> (RGGI*)</w:t>
            </w:r>
          </w:p>
        </w:tc>
        <w:tc>
          <w:tcPr>
            <w:tcW w:w="1105" w:type="dxa"/>
            <w:tcBorders>
              <w:top w:val="nil"/>
              <w:left w:val="nil"/>
              <w:bottom w:val="single" w:sz="4" w:space="0" w:color="auto"/>
              <w:right w:val="single" w:sz="4" w:space="0" w:color="auto"/>
            </w:tcBorders>
            <w:shd w:val="clear" w:color="auto" w:fill="auto"/>
            <w:noWrap/>
          </w:tcPr>
          <w:p w14:paraId="1CFFF898"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Electricity</w:t>
            </w:r>
          </w:p>
        </w:tc>
        <w:tc>
          <w:tcPr>
            <w:tcW w:w="628" w:type="dxa"/>
            <w:tcBorders>
              <w:top w:val="nil"/>
              <w:left w:val="nil"/>
              <w:bottom w:val="single" w:sz="4" w:space="0" w:color="auto"/>
              <w:right w:val="single" w:sz="4" w:space="0" w:color="auto"/>
            </w:tcBorders>
            <w:shd w:val="clear" w:color="auto" w:fill="auto"/>
            <w:noWrap/>
          </w:tcPr>
          <w:p w14:paraId="22F09F6F"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2003-2008</w:t>
            </w:r>
          </w:p>
        </w:tc>
        <w:tc>
          <w:tcPr>
            <w:tcW w:w="1075" w:type="dxa"/>
            <w:tcBorders>
              <w:top w:val="single" w:sz="4" w:space="0" w:color="auto"/>
              <w:left w:val="nil"/>
              <w:bottom w:val="single" w:sz="4" w:space="0" w:color="auto"/>
              <w:right w:val="single" w:sz="4" w:space="0" w:color="auto"/>
            </w:tcBorders>
          </w:tcPr>
          <w:p w14:paraId="0421325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Detailed electricity grid model</w:t>
            </w:r>
          </w:p>
        </w:tc>
        <w:tc>
          <w:tcPr>
            <w:tcW w:w="2976" w:type="dxa"/>
            <w:tcBorders>
              <w:top w:val="nil"/>
              <w:left w:val="single" w:sz="4" w:space="0" w:color="auto"/>
              <w:bottom w:val="single" w:sz="4" w:space="0" w:color="auto"/>
              <w:right w:val="single" w:sz="4" w:space="0" w:color="auto"/>
            </w:tcBorders>
            <w:shd w:val="clear" w:color="auto" w:fill="auto"/>
            <w:noWrap/>
          </w:tcPr>
          <w:p w14:paraId="0895760C"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Reduction of production in coal-fired electricity in regulated states, increase in neighbouring states (leakage)</w:t>
            </w:r>
          </w:p>
        </w:tc>
      </w:tr>
      <w:tr w:rsidR="004219DF" w:rsidRPr="0050224D" w14:paraId="1B3A6152"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37D0B4C0"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 xml:space="preserve">Healy, Schumacher &amp; </w:t>
            </w:r>
            <w:proofErr w:type="spellStart"/>
            <w:r w:rsidRPr="00997125">
              <w:rPr>
                <w:rFonts w:ascii="Calibri" w:hAnsi="Calibri" w:cs="Calibri"/>
                <w:color w:val="000000"/>
                <w:sz w:val="16"/>
                <w:szCs w:val="16"/>
              </w:rPr>
              <w:t>Eichhammer</w:t>
            </w:r>
            <w:proofErr w:type="spellEnd"/>
          </w:p>
        </w:tc>
        <w:tc>
          <w:tcPr>
            <w:tcW w:w="477" w:type="dxa"/>
            <w:tcBorders>
              <w:top w:val="nil"/>
              <w:left w:val="nil"/>
              <w:bottom w:val="single" w:sz="4" w:space="0" w:color="auto"/>
              <w:right w:val="single" w:sz="4" w:space="0" w:color="auto"/>
            </w:tcBorders>
            <w:shd w:val="clear" w:color="auto" w:fill="auto"/>
            <w:noWrap/>
          </w:tcPr>
          <w:p w14:paraId="5CB2E9E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2018</w:t>
            </w:r>
          </w:p>
        </w:tc>
        <w:tc>
          <w:tcPr>
            <w:tcW w:w="939" w:type="dxa"/>
            <w:tcBorders>
              <w:top w:val="nil"/>
              <w:left w:val="nil"/>
              <w:bottom w:val="single" w:sz="4" w:space="0" w:color="auto"/>
              <w:right w:val="single" w:sz="4" w:space="0" w:color="auto"/>
            </w:tcBorders>
            <w:shd w:val="clear" w:color="auto" w:fill="auto"/>
            <w:noWrap/>
          </w:tcPr>
          <w:p w14:paraId="56C395E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tcPr>
          <w:p w14:paraId="2859F8F0"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tcPr>
          <w:p w14:paraId="1EAFD001"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Cement Aluminium</w:t>
            </w:r>
          </w:p>
        </w:tc>
        <w:tc>
          <w:tcPr>
            <w:tcW w:w="628" w:type="dxa"/>
            <w:tcBorders>
              <w:top w:val="nil"/>
              <w:left w:val="nil"/>
              <w:bottom w:val="single" w:sz="4" w:space="0" w:color="auto"/>
              <w:right w:val="single" w:sz="4" w:space="0" w:color="auto"/>
            </w:tcBorders>
            <w:shd w:val="clear" w:color="auto" w:fill="auto"/>
            <w:noWrap/>
          </w:tcPr>
          <w:p w14:paraId="59CB6E69"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2003-2016</w:t>
            </w:r>
          </w:p>
        </w:tc>
        <w:tc>
          <w:tcPr>
            <w:tcW w:w="1075" w:type="dxa"/>
            <w:tcBorders>
              <w:top w:val="single" w:sz="4" w:space="0" w:color="auto"/>
              <w:left w:val="nil"/>
              <w:bottom w:val="single" w:sz="4" w:space="0" w:color="auto"/>
              <w:right w:val="single" w:sz="4" w:space="0" w:color="auto"/>
            </w:tcBorders>
          </w:tcPr>
          <w:p w14:paraId="6C5786E3"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Descriptive approach, no causal inference</w:t>
            </w:r>
          </w:p>
        </w:tc>
        <w:tc>
          <w:tcPr>
            <w:tcW w:w="2976" w:type="dxa"/>
            <w:tcBorders>
              <w:top w:val="nil"/>
              <w:left w:val="single" w:sz="4" w:space="0" w:color="auto"/>
              <w:bottom w:val="single" w:sz="4" w:space="0" w:color="auto"/>
              <w:right w:val="single" w:sz="4" w:space="0" w:color="auto"/>
            </w:tcBorders>
            <w:shd w:val="clear" w:color="auto" w:fill="auto"/>
            <w:noWrap/>
          </w:tcPr>
          <w:p w14:paraId="74DE9D0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Cement imports have declined, exports have increased since 2005. Imports and export of aluminium relatively stable since 2005.</w:t>
            </w:r>
          </w:p>
        </w:tc>
      </w:tr>
      <w:tr w:rsidR="004219DF" w:rsidRPr="00C11D4F" w14:paraId="2137E7F3"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29B4498D" w14:textId="77777777" w:rsidR="006256D9" w:rsidRPr="00997125" w:rsidRDefault="006256D9" w:rsidP="006C5ABA">
            <w:pPr>
              <w:jc w:val="left"/>
              <w:rPr>
                <w:rFonts w:ascii="Calibri" w:eastAsia="Times New Roman" w:hAnsi="Calibri" w:cs="Calibri"/>
                <w:color w:val="000000"/>
                <w:sz w:val="16"/>
                <w:szCs w:val="16"/>
                <w:lang w:eastAsia="fr-BE"/>
              </w:rPr>
            </w:pPr>
            <w:proofErr w:type="spellStart"/>
            <w:r w:rsidRPr="00997125">
              <w:rPr>
                <w:rFonts w:ascii="Calibri" w:hAnsi="Calibri" w:cs="Calibri"/>
                <w:color w:val="000000"/>
                <w:sz w:val="16"/>
                <w:szCs w:val="16"/>
              </w:rPr>
              <w:t>Boutabba</w:t>
            </w:r>
            <w:proofErr w:type="spellEnd"/>
            <w:r w:rsidRPr="00997125">
              <w:rPr>
                <w:rFonts w:ascii="Calibri" w:hAnsi="Calibri" w:cs="Calibri"/>
                <w:color w:val="000000"/>
                <w:sz w:val="16"/>
                <w:szCs w:val="16"/>
              </w:rPr>
              <w:t xml:space="preserve"> &amp; </w:t>
            </w:r>
            <w:proofErr w:type="spellStart"/>
            <w:r w:rsidRPr="00997125">
              <w:rPr>
                <w:rFonts w:ascii="Calibri" w:hAnsi="Calibri" w:cs="Calibri"/>
                <w:color w:val="000000"/>
                <w:sz w:val="16"/>
                <w:szCs w:val="16"/>
              </w:rPr>
              <w:t>Lardic</w:t>
            </w:r>
            <w:proofErr w:type="spellEnd"/>
          </w:p>
        </w:tc>
        <w:tc>
          <w:tcPr>
            <w:tcW w:w="477" w:type="dxa"/>
            <w:tcBorders>
              <w:top w:val="nil"/>
              <w:left w:val="nil"/>
              <w:bottom w:val="single" w:sz="4" w:space="0" w:color="auto"/>
              <w:right w:val="single" w:sz="4" w:space="0" w:color="auto"/>
            </w:tcBorders>
            <w:shd w:val="clear" w:color="auto" w:fill="auto"/>
            <w:noWrap/>
            <w:hideMark/>
          </w:tcPr>
          <w:p w14:paraId="047679FF"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2017</w:t>
            </w:r>
          </w:p>
        </w:tc>
        <w:tc>
          <w:tcPr>
            <w:tcW w:w="939" w:type="dxa"/>
            <w:tcBorders>
              <w:top w:val="nil"/>
              <w:left w:val="nil"/>
              <w:bottom w:val="single" w:sz="4" w:space="0" w:color="auto"/>
              <w:right w:val="single" w:sz="4" w:space="0" w:color="auto"/>
            </w:tcBorders>
            <w:shd w:val="clear" w:color="auto" w:fill="auto"/>
            <w:noWrap/>
            <w:hideMark/>
          </w:tcPr>
          <w:p w14:paraId="5032E1F6"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hideMark/>
          </w:tcPr>
          <w:p w14:paraId="4B13684B"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hideMark/>
          </w:tcPr>
          <w:p w14:paraId="4294DB7D"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Cement &amp; Steel</w:t>
            </w:r>
          </w:p>
        </w:tc>
        <w:tc>
          <w:tcPr>
            <w:tcW w:w="628" w:type="dxa"/>
            <w:tcBorders>
              <w:top w:val="nil"/>
              <w:left w:val="nil"/>
              <w:bottom w:val="single" w:sz="4" w:space="0" w:color="auto"/>
              <w:right w:val="single" w:sz="4" w:space="0" w:color="auto"/>
            </w:tcBorders>
            <w:shd w:val="clear" w:color="auto" w:fill="auto"/>
            <w:noWrap/>
            <w:hideMark/>
          </w:tcPr>
          <w:p w14:paraId="63B526DF"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2005-2015</w:t>
            </w:r>
          </w:p>
        </w:tc>
        <w:tc>
          <w:tcPr>
            <w:tcW w:w="1075" w:type="dxa"/>
            <w:tcBorders>
              <w:top w:val="single" w:sz="4" w:space="0" w:color="auto"/>
              <w:left w:val="nil"/>
              <w:bottom w:val="single" w:sz="4" w:space="0" w:color="auto"/>
              <w:right w:val="single" w:sz="4" w:space="0" w:color="auto"/>
            </w:tcBorders>
          </w:tcPr>
          <w:p w14:paraId="37A11865"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 xml:space="preserve">Time series, rolling cointegration </w:t>
            </w:r>
          </w:p>
        </w:tc>
        <w:tc>
          <w:tcPr>
            <w:tcW w:w="2976" w:type="dxa"/>
            <w:tcBorders>
              <w:top w:val="nil"/>
              <w:left w:val="single" w:sz="4" w:space="0" w:color="auto"/>
              <w:bottom w:val="single" w:sz="4" w:space="0" w:color="auto"/>
              <w:right w:val="single" w:sz="4" w:space="0" w:color="auto"/>
            </w:tcBorders>
            <w:shd w:val="clear" w:color="auto" w:fill="auto"/>
            <w:noWrap/>
            <w:hideMark/>
          </w:tcPr>
          <w:p w14:paraId="3A31BD4C"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Modest effect of EAU price on net imports, more in steel than in cement</w:t>
            </w:r>
          </w:p>
        </w:tc>
      </w:tr>
      <w:tr w:rsidR="004219DF" w:rsidRPr="00C11D4F" w:rsidDel="00371605" w14:paraId="00161F67"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78CA18DC"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 xml:space="preserve">Rammer et al. </w:t>
            </w:r>
          </w:p>
        </w:tc>
        <w:tc>
          <w:tcPr>
            <w:tcW w:w="477" w:type="dxa"/>
            <w:tcBorders>
              <w:top w:val="nil"/>
              <w:left w:val="nil"/>
              <w:bottom w:val="single" w:sz="4" w:space="0" w:color="auto"/>
              <w:right w:val="single" w:sz="4" w:space="0" w:color="auto"/>
            </w:tcBorders>
            <w:shd w:val="clear" w:color="auto" w:fill="auto"/>
            <w:noWrap/>
          </w:tcPr>
          <w:p w14:paraId="7C28A9FA"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2017</w:t>
            </w:r>
          </w:p>
        </w:tc>
        <w:tc>
          <w:tcPr>
            <w:tcW w:w="939" w:type="dxa"/>
            <w:tcBorders>
              <w:top w:val="nil"/>
              <w:left w:val="nil"/>
              <w:bottom w:val="single" w:sz="4" w:space="0" w:color="auto"/>
              <w:right w:val="single" w:sz="4" w:space="0" w:color="auto"/>
            </w:tcBorders>
            <w:shd w:val="clear" w:color="auto" w:fill="auto"/>
            <w:noWrap/>
          </w:tcPr>
          <w:p w14:paraId="3F0DD7FA"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Germany, Switzerland, Austria</w:t>
            </w:r>
          </w:p>
        </w:tc>
        <w:tc>
          <w:tcPr>
            <w:tcW w:w="779" w:type="dxa"/>
            <w:tcBorders>
              <w:top w:val="nil"/>
              <w:left w:val="nil"/>
              <w:bottom w:val="single" w:sz="4" w:space="0" w:color="auto"/>
              <w:right w:val="single" w:sz="4" w:space="0" w:color="auto"/>
            </w:tcBorders>
            <w:shd w:val="clear" w:color="auto" w:fill="auto"/>
            <w:noWrap/>
          </w:tcPr>
          <w:p w14:paraId="11236AEA"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5 energy policies (not ETS)</w:t>
            </w:r>
          </w:p>
        </w:tc>
        <w:tc>
          <w:tcPr>
            <w:tcW w:w="1105" w:type="dxa"/>
            <w:tcBorders>
              <w:top w:val="nil"/>
              <w:left w:val="nil"/>
              <w:bottom w:val="single" w:sz="4" w:space="0" w:color="auto"/>
              <w:right w:val="single" w:sz="4" w:space="0" w:color="auto"/>
            </w:tcBorders>
            <w:shd w:val="clear" w:color="auto" w:fill="auto"/>
            <w:noWrap/>
          </w:tcPr>
          <w:p w14:paraId="16C9455D"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 xml:space="preserve">Manufacturing and services </w:t>
            </w:r>
          </w:p>
        </w:tc>
        <w:tc>
          <w:tcPr>
            <w:tcW w:w="628" w:type="dxa"/>
            <w:tcBorders>
              <w:top w:val="nil"/>
              <w:left w:val="nil"/>
              <w:bottom w:val="single" w:sz="4" w:space="0" w:color="auto"/>
              <w:right w:val="single" w:sz="4" w:space="0" w:color="auto"/>
            </w:tcBorders>
            <w:shd w:val="clear" w:color="auto" w:fill="auto"/>
            <w:noWrap/>
          </w:tcPr>
          <w:p w14:paraId="4276B6A9"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2013-2014</w:t>
            </w:r>
          </w:p>
        </w:tc>
        <w:tc>
          <w:tcPr>
            <w:tcW w:w="1075" w:type="dxa"/>
            <w:tcBorders>
              <w:top w:val="single" w:sz="4" w:space="0" w:color="auto"/>
              <w:left w:val="nil"/>
              <w:bottom w:val="single" w:sz="4" w:space="0" w:color="auto"/>
              <w:right w:val="single" w:sz="4" w:space="0" w:color="auto"/>
            </w:tcBorders>
          </w:tcPr>
          <w:p w14:paraId="5F4A3BDF"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Survey (N=4634</w:t>
            </w:r>
            <w:proofErr w:type="gramStart"/>
            <w:r w:rsidRPr="00997125">
              <w:rPr>
                <w:rFonts w:ascii="Calibri" w:hAnsi="Calibri" w:cs="Calibri"/>
                <w:color w:val="000000"/>
                <w:sz w:val="16"/>
                <w:szCs w:val="16"/>
              </w:rPr>
              <w:t>),  regression</w:t>
            </w:r>
            <w:proofErr w:type="gramEnd"/>
            <w:r w:rsidRPr="00997125">
              <w:rPr>
                <w:rFonts w:ascii="Calibri" w:hAnsi="Calibri" w:cs="Calibri"/>
                <w:color w:val="000000"/>
                <w:sz w:val="16"/>
                <w:szCs w:val="16"/>
              </w:rPr>
              <w:t>, matching</w:t>
            </w:r>
          </w:p>
        </w:tc>
        <w:tc>
          <w:tcPr>
            <w:tcW w:w="2976" w:type="dxa"/>
            <w:tcBorders>
              <w:top w:val="nil"/>
              <w:left w:val="single" w:sz="4" w:space="0" w:color="auto"/>
              <w:bottom w:val="single" w:sz="4" w:space="0" w:color="auto"/>
              <w:right w:val="single" w:sz="4" w:space="0" w:color="auto"/>
            </w:tcBorders>
            <w:shd w:val="clear" w:color="auto" w:fill="auto"/>
            <w:noWrap/>
          </w:tcPr>
          <w:p w14:paraId="3DE7C8FB" w14:textId="77777777" w:rsidR="006256D9" w:rsidRPr="00997125" w:rsidDel="0037160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Energy policy has no relevant influence on firms’ international market position</w:t>
            </w:r>
          </w:p>
        </w:tc>
      </w:tr>
      <w:tr w:rsidR="004219DF" w:rsidRPr="0050224D" w14:paraId="51DAF92F"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6BBF5A34" w14:textId="77777777" w:rsidR="006256D9" w:rsidRPr="00997125" w:rsidRDefault="006256D9" w:rsidP="006C5ABA">
            <w:pPr>
              <w:jc w:val="left"/>
              <w:rPr>
                <w:rFonts w:ascii="Calibri" w:hAnsi="Calibri" w:cs="Calibri"/>
                <w:color w:val="000000"/>
                <w:sz w:val="16"/>
                <w:szCs w:val="16"/>
              </w:rPr>
            </w:pPr>
            <w:proofErr w:type="spellStart"/>
            <w:r w:rsidRPr="00997125">
              <w:rPr>
                <w:rFonts w:ascii="Calibri" w:hAnsi="Calibri" w:cs="Calibri"/>
                <w:color w:val="000000"/>
                <w:sz w:val="16"/>
                <w:szCs w:val="16"/>
              </w:rPr>
              <w:t>Branger</w:t>
            </w:r>
            <w:proofErr w:type="spellEnd"/>
            <w:r w:rsidRPr="00997125">
              <w:rPr>
                <w:rFonts w:ascii="Calibri" w:hAnsi="Calibri" w:cs="Calibri"/>
                <w:color w:val="000000"/>
                <w:sz w:val="16"/>
                <w:szCs w:val="16"/>
              </w:rPr>
              <w:t xml:space="preserve">, </w:t>
            </w:r>
            <w:proofErr w:type="spellStart"/>
            <w:r w:rsidRPr="00997125">
              <w:rPr>
                <w:rFonts w:ascii="Calibri" w:hAnsi="Calibri" w:cs="Calibri"/>
                <w:color w:val="000000"/>
                <w:sz w:val="16"/>
                <w:szCs w:val="16"/>
              </w:rPr>
              <w:t>Quirion</w:t>
            </w:r>
            <w:proofErr w:type="spellEnd"/>
            <w:r w:rsidRPr="00997125">
              <w:rPr>
                <w:rFonts w:ascii="Calibri" w:hAnsi="Calibri" w:cs="Calibri"/>
                <w:color w:val="000000"/>
                <w:sz w:val="16"/>
                <w:szCs w:val="16"/>
              </w:rPr>
              <w:t xml:space="preserve"> &amp; </w:t>
            </w:r>
            <w:proofErr w:type="spellStart"/>
            <w:r w:rsidRPr="00997125">
              <w:rPr>
                <w:rFonts w:ascii="Calibri" w:hAnsi="Calibri" w:cs="Calibri"/>
                <w:color w:val="000000"/>
                <w:sz w:val="16"/>
                <w:szCs w:val="16"/>
              </w:rPr>
              <w:t>Chevallier</w:t>
            </w:r>
            <w:proofErr w:type="spellEnd"/>
          </w:p>
        </w:tc>
        <w:tc>
          <w:tcPr>
            <w:tcW w:w="477" w:type="dxa"/>
            <w:tcBorders>
              <w:top w:val="nil"/>
              <w:left w:val="nil"/>
              <w:bottom w:val="single" w:sz="4" w:space="0" w:color="auto"/>
              <w:right w:val="single" w:sz="4" w:space="0" w:color="auto"/>
            </w:tcBorders>
            <w:shd w:val="clear" w:color="auto" w:fill="auto"/>
            <w:noWrap/>
          </w:tcPr>
          <w:p w14:paraId="26F4680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2016</w:t>
            </w:r>
          </w:p>
        </w:tc>
        <w:tc>
          <w:tcPr>
            <w:tcW w:w="939" w:type="dxa"/>
            <w:tcBorders>
              <w:top w:val="nil"/>
              <w:left w:val="nil"/>
              <w:bottom w:val="single" w:sz="4" w:space="0" w:color="auto"/>
              <w:right w:val="single" w:sz="4" w:space="0" w:color="auto"/>
            </w:tcBorders>
            <w:shd w:val="clear" w:color="auto" w:fill="auto"/>
            <w:noWrap/>
          </w:tcPr>
          <w:p w14:paraId="09482586"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tcPr>
          <w:p w14:paraId="2FD429A6"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tcPr>
          <w:p w14:paraId="794E7FF8"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Cement &amp; Steel</w:t>
            </w:r>
          </w:p>
        </w:tc>
        <w:tc>
          <w:tcPr>
            <w:tcW w:w="628" w:type="dxa"/>
            <w:tcBorders>
              <w:top w:val="nil"/>
              <w:left w:val="nil"/>
              <w:bottom w:val="single" w:sz="4" w:space="0" w:color="auto"/>
              <w:right w:val="single" w:sz="4" w:space="0" w:color="auto"/>
            </w:tcBorders>
            <w:shd w:val="clear" w:color="auto" w:fill="auto"/>
            <w:noWrap/>
          </w:tcPr>
          <w:p w14:paraId="539055E9"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1999-2012</w:t>
            </w:r>
          </w:p>
        </w:tc>
        <w:tc>
          <w:tcPr>
            <w:tcW w:w="1075" w:type="dxa"/>
            <w:tcBorders>
              <w:top w:val="single" w:sz="4" w:space="0" w:color="auto"/>
              <w:left w:val="nil"/>
              <w:bottom w:val="single" w:sz="4" w:space="0" w:color="auto"/>
              <w:right w:val="single" w:sz="4" w:space="0" w:color="auto"/>
            </w:tcBorders>
          </w:tcPr>
          <w:p w14:paraId="633CBF8F"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Time series (ARIMA)</w:t>
            </w:r>
          </w:p>
        </w:tc>
        <w:tc>
          <w:tcPr>
            <w:tcW w:w="2976" w:type="dxa"/>
            <w:tcBorders>
              <w:top w:val="nil"/>
              <w:left w:val="single" w:sz="4" w:space="0" w:color="auto"/>
              <w:bottom w:val="single" w:sz="4" w:space="0" w:color="auto"/>
              <w:right w:val="single" w:sz="4" w:space="0" w:color="auto"/>
            </w:tcBorders>
            <w:shd w:val="clear" w:color="auto" w:fill="auto"/>
            <w:noWrap/>
          </w:tcPr>
          <w:p w14:paraId="2C8DAAB7"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Insignificant effect of EAU price on net imports</w:t>
            </w:r>
          </w:p>
        </w:tc>
      </w:tr>
      <w:tr w:rsidR="004219DF" w:rsidRPr="00C11D4F" w14:paraId="4298BCAF"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58965D95" w14:textId="77777777" w:rsidR="006256D9" w:rsidRPr="00997125" w:rsidRDefault="006256D9" w:rsidP="006C5ABA">
            <w:pPr>
              <w:jc w:val="left"/>
              <w:rPr>
                <w:rFonts w:ascii="Calibri" w:eastAsia="Times New Roman" w:hAnsi="Calibri" w:cs="Calibri"/>
                <w:color w:val="000000"/>
                <w:sz w:val="16"/>
                <w:szCs w:val="16"/>
                <w:lang w:eastAsia="fr-BE"/>
              </w:rPr>
            </w:pPr>
            <w:proofErr w:type="spellStart"/>
            <w:r w:rsidRPr="00997125">
              <w:rPr>
                <w:rFonts w:ascii="Calibri" w:hAnsi="Calibri" w:cs="Calibri"/>
                <w:color w:val="000000"/>
                <w:sz w:val="16"/>
                <w:szCs w:val="16"/>
              </w:rPr>
              <w:t>Aldy</w:t>
            </w:r>
            <w:proofErr w:type="spellEnd"/>
            <w:r w:rsidRPr="00997125">
              <w:rPr>
                <w:rFonts w:ascii="Calibri" w:hAnsi="Calibri" w:cs="Calibri"/>
                <w:color w:val="000000"/>
                <w:sz w:val="16"/>
                <w:szCs w:val="16"/>
              </w:rPr>
              <w:t xml:space="preserve"> &amp; </w:t>
            </w:r>
            <w:proofErr w:type="spellStart"/>
            <w:r w:rsidRPr="00997125">
              <w:rPr>
                <w:rFonts w:ascii="Calibri" w:hAnsi="Calibri" w:cs="Calibri"/>
                <w:color w:val="000000"/>
                <w:sz w:val="16"/>
                <w:szCs w:val="16"/>
              </w:rPr>
              <w:t>Pizer</w:t>
            </w:r>
            <w:proofErr w:type="spellEnd"/>
          </w:p>
        </w:tc>
        <w:tc>
          <w:tcPr>
            <w:tcW w:w="477" w:type="dxa"/>
            <w:tcBorders>
              <w:top w:val="nil"/>
              <w:left w:val="nil"/>
              <w:bottom w:val="single" w:sz="4" w:space="0" w:color="auto"/>
              <w:right w:val="single" w:sz="4" w:space="0" w:color="auto"/>
            </w:tcBorders>
            <w:shd w:val="clear" w:color="auto" w:fill="auto"/>
            <w:noWrap/>
            <w:hideMark/>
          </w:tcPr>
          <w:p w14:paraId="1B911158"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2015</w:t>
            </w:r>
          </w:p>
        </w:tc>
        <w:tc>
          <w:tcPr>
            <w:tcW w:w="939" w:type="dxa"/>
            <w:tcBorders>
              <w:top w:val="nil"/>
              <w:left w:val="nil"/>
              <w:bottom w:val="single" w:sz="4" w:space="0" w:color="auto"/>
              <w:right w:val="single" w:sz="4" w:space="0" w:color="auto"/>
            </w:tcBorders>
            <w:shd w:val="clear" w:color="auto" w:fill="auto"/>
            <w:noWrap/>
            <w:hideMark/>
          </w:tcPr>
          <w:p w14:paraId="27532C3F"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US</w:t>
            </w:r>
          </w:p>
        </w:tc>
        <w:tc>
          <w:tcPr>
            <w:tcW w:w="779" w:type="dxa"/>
            <w:tcBorders>
              <w:top w:val="nil"/>
              <w:left w:val="nil"/>
              <w:bottom w:val="single" w:sz="4" w:space="0" w:color="auto"/>
              <w:right w:val="single" w:sz="4" w:space="0" w:color="auto"/>
            </w:tcBorders>
            <w:shd w:val="clear" w:color="auto" w:fill="auto"/>
            <w:noWrap/>
            <w:hideMark/>
          </w:tcPr>
          <w:p w14:paraId="3CD5271B"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Energy price</w:t>
            </w:r>
          </w:p>
        </w:tc>
        <w:tc>
          <w:tcPr>
            <w:tcW w:w="1105" w:type="dxa"/>
            <w:tcBorders>
              <w:top w:val="nil"/>
              <w:left w:val="nil"/>
              <w:bottom w:val="single" w:sz="4" w:space="0" w:color="auto"/>
              <w:right w:val="single" w:sz="4" w:space="0" w:color="auto"/>
            </w:tcBorders>
            <w:shd w:val="clear" w:color="auto" w:fill="auto"/>
            <w:noWrap/>
            <w:hideMark/>
          </w:tcPr>
          <w:p w14:paraId="584A15D1"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hideMark/>
          </w:tcPr>
          <w:p w14:paraId="2D33D90E"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1972-2005</w:t>
            </w:r>
          </w:p>
        </w:tc>
        <w:tc>
          <w:tcPr>
            <w:tcW w:w="1075" w:type="dxa"/>
            <w:tcBorders>
              <w:top w:val="single" w:sz="4" w:space="0" w:color="auto"/>
              <w:left w:val="nil"/>
              <w:bottom w:val="single" w:sz="4" w:space="0" w:color="auto"/>
              <w:right w:val="single" w:sz="4" w:space="0" w:color="auto"/>
            </w:tcBorders>
          </w:tcPr>
          <w:p w14:paraId="391AB7A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Panel with sector and time fixed effects (and their interaction)</w:t>
            </w:r>
          </w:p>
        </w:tc>
        <w:tc>
          <w:tcPr>
            <w:tcW w:w="2976" w:type="dxa"/>
            <w:tcBorders>
              <w:top w:val="nil"/>
              <w:left w:val="single" w:sz="4" w:space="0" w:color="auto"/>
              <w:bottom w:val="single" w:sz="4" w:space="0" w:color="auto"/>
              <w:right w:val="single" w:sz="4" w:space="0" w:color="auto"/>
            </w:tcBorders>
            <w:shd w:val="clear" w:color="auto" w:fill="auto"/>
            <w:noWrap/>
            <w:hideMark/>
          </w:tcPr>
          <w:p w14:paraId="5104DCD5"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Higher fuel prices lead to more imports in energy intensive sectors (and less imports in low energy intensive sectors). 15$ carbon price would lead to 0.8% increase in imports in energy intensive sectors</w:t>
            </w:r>
          </w:p>
        </w:tc>
      </w:tr>
      <w:tr w:rsidR="004219DF" w:rsidRPr="0050224D" w14:paraId="3FD4D237"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788B4F3A"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Flues &amp; Lutz</w:t>
            </w:r>
          </w:p>
        </w:tc>
        <w:tc>
          <w:tcPr>
            <w:tcW w:w="477" w:type="dxa"/>
            <w:tcBorders>
              <w:top w:val="nil"/>
              <w:left w:val="nil"/>
              <w:bottom w:val="single" w:sz="4" w:space="0" w:color="auto"/>
              <w:right w:val="single" w:sz="4" w:space="0" w:color="auto"/>
            </w:tcBorders>
            <w:shd w:val="clear" w:color="auto" w:fill="auto"/>
            <w:noWrap/>
            <w:hideMark/>
          </w:tcPr>
          <w:p w14:paraId="136B531E"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2015</w:t>
            </w:r>
          </w:p>
        </w:tc>
        <w:tc>
          <w:tcPr>
            <w:tcW w:w="939" w:type="dxa"/>
            <w:tcBorders>
              <w:top w:val="nil"/>
              <w:left w:val="nil"/>
              <w:bottom w:val="single" w:sz="4" w:space="0" w:color="auto"/>
              <w:right w:val="single" w:sz="4" w:space="0" w:color="auto"/>
            </w:tcBorders>
            <w:shd w:val="clear" w:color="auto" w:fill="auto"/>
            <w:noWrap/>
            <w:hideMark/>
          </w:tcPr>
          <w:p w14:paraId="176060DF"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Germany</w:t>
            </w:r>
          </w:p>
        </w:tc>
        <w:tc>
          <w:tcPr>
            <w:tcW w:w="779" w:type="dxa"/>
            <w:tcBorders>
              <w:top w:val="nil"/>
              <w:left w:val="nil"/>
              <w:bottom w:val="single" w:sz="4" w:space="0" w:color="auto"/>
              <w:right w:val="single" w:sz="4" w:space="0" w:color="auto"/>
            </w:tcBorders>
            <w:shd w:val="clear" w:color="auto" w:fill="auto"/>
            <w:noWrap/>
            <w:hideMark/>
          </w:tcPr>
          <w:p w14:paraId="6770FC9D"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Electricity Tax</w:t>
            </w:r>
          </w:p>
        </w:tc>
        <w:tc>
          <w:tcPr>
            <w:tcW w:w="1105" w:type="dxa"/>
            <w:tcBorders>
              <w:top w:val="nil"/>
              <w:left w:val="nil"/>
              <w:bottom w:val="single" w:sz="4" w:space="0" w:color="auto"/>
              <w:right w:val="single" w:sz="4" w:space="0" w:color="auto"/>
            </w:tcBorders>
            <w:shd w:val="clear" w:color="auto" w:fill="auto"/>
            <w:noWrap/>
            <w:hideMark/>
          </w:tcPr>
          <w:p w14:paraId="7497F650"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hideMark/>
          </w:tcPr>
          <w:p w14:paraId="04D14EC1"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1999-2004</w:t>
            </w:r>
          </w:p>
        </w:tc>
        <w:tc>
          <w:tcPr>
            <w:tcW w:w="1075" w:type="dxa"/>
            <w:tcBorders>
              <w:top w:val="single" w:sz="4" w:space="0" w:color="auto"/>
              <w:left w:val="nil"/>
              <w:bottom w:val="single" w:sz="4" w:space="0" w:color="auto"/>
              <w:right w:val="single" w:sz="4" w:space="0" w:color="auto"/>
            </w:tcBorders>
          </w:tcPr>
          <w:p w14:paraId="6CC706F8"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Regression discontinuity design </w:t>
            </w:r>
          </w:p>
        </w:tc>
        <w:tc>
          <w:tcPr>
            <w:tcW w:w="2976" w:type="dxa"/>
            <w:tcBorders>
              <w:top w:val="nil"/>
              <w:left w:val="single" w:sz="4" w:space="0" w:color="auto"/>
              <w:bottom w:val="single" w:sz="4" w:space="0" w:color="auto"/>
              <w:right w:val="single" w:sz="4" w:space="0" w:color="auto"/>
            </w:tcBorders>
            <w:shd w:val="clear" w:color="auto" w:fill="auto"/>
            <w:noWrap/>
            <w:hideMark/>
          </w:tcPr>
          <w:p w14:paraId="2A635586"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Insignificant</w:t>
            </w:r>
          </w:p>
        </w:tc>
      </w:tr>
      <w:tr w:rsidR="004219DF" w:rsidRPr="00C11D4F" w14:paraId="45BCD6CE"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62916E55"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Sato &amp; Dechezleprêtre</w:t>
            </w:r>
          </w:p>
        </w:tc>
        <w:tc>
          <w:tcPr>
            <w:tcW w:w="477" w:type="dxa"/>
            <w:tcBorders>
              <w:top w:val="nil"/>
              <w:left w:val="nil"/>
              <w:bottom w:val="single" w:sz="4" w:space="0" w:color="auto"/>
              <w:right w:val="single" w:sz="4" w:space="0" w:color="auto"/>
            </w:tcBorders>
            <w:shd w:val="clear" w:color="auto" w:fill="auto"/>
            <w:noWrap/>
          </w:tcPr>
          <w:p w14:paraId="0042915E"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2015</w:t>
            </w:r>
          </w:p>
        </w:tc>
        <w:tc>
          <w:tcPr>
            <w:tcW w:w="939" w:type="dxa"/>
            <w:tcBorders>
              <w:top w:val="nil"/>
              <w:left w:val="nil"/>
              <w:bottom w:val="single" w:sz="4" w:space="0" w:color="auto"/>
              <w:right w:val="single" w:sz="4" w:space="0" w:color="auto"/>
            </w:tcBorders>
            <w:shd w:val="clear" w:color="auto" w:fill="auto"/>
            <w:noWrap/>
          </w:tcPr>
          <w:p w14:paraId="14CF7880"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42 countries</w:t>
            </w:r>
          </w:p>
        </w:tc>
        <w:tc>
          <w:tcPr>
            <w:tcW w:w="779" w:type="dxa"/>
            <w:tcBorders>
              <w:top w:val="nil"/>
              <w:left w:val="nil"/>
              <w:bottom w:val="single" w:sz="4" w:space="0" w:color="auto"/>
              <w:right w:val="single" w:sz="4" w:space="0" w:color="auto"/>
            </w:tcBorders>
            <w:shd w:val="clear" w:color="auto" w:fill="auto"/>
            <w:noWrap/>
          </w:tcPr>
          <w:p w14:paraId="764E8690"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Energy Price</w:t>
            </w:r>
          </w:p>
        </w:tc>
        <w:tc>
          <w:tcPr>
            <w:tcW w:w="1105" w:type="dxa"/>
            <w:tcBorders>
              <w:top w:val="nil"/>
              <w:left w:val="nil"/>
              <w:bottom w:val="single" w:sz="4" w:space="0" w:color="auto"/>
              <w:right w:val="single" w:sz="4" w:space="0" w:color="auto"/>
            </w:tcBorders>
            <w:shd w:val="clear" w:color="auto" w:fill="auto"/>
            <w:noWrap/>
          </w:tcPr>
          <w:p w14:paraId="3D8D3622"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Manufacturing and agriculture</w:t>
            </w:r>
          </w:p>
        </w:tc>
        <w:tc>
          <w:tcPr>
            <w:tcW w:w="628" w:type="dxa"/>
            <w:tcBorders>
              <w:top w:val="nil"/>
              <w:left w:val="nil"/>
              <w:bottom w:val="single" w:sz="4" w:space="0" w:color="auto"/>
              <w:right w:val="single" w:sz="4" w:space="0" w:color="auto"/>
            </w:tcBorders>
            <w:shd w:val="clear" w:color="auto" w:fill="auto"/>
            <w:noWrap/>
          </w:tcPr>
          <w:p w14:paraId="6D629116"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1996-2011</w:t>
            </w:r>
          </w:p>
        </w:tc>
        <w:tc>
          <w:tcPr>
            <w:tcW w:w="1075" w:type="dxa"/>
            <w:tcBorders>
              <w:top w:val="single" w:sz="4" w:space="0" w:color="auto"/>
              <w:left w:val="nil"/>
              <w:bottom w:val="single" w:sz="4" w:space="0" w:color="auto"/>
              <w:right w:val="single" w:sz="4" w:space="0" w:color="auto"/>
            </w:tcBorders>
          </w:tcPr>
          <w:p w14:paraId="7964F7E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Gravity trade model</w:t>
            </w:r>
          </w:p>
        </w:tc>
        <w:tc>
          <w:tcPr>
            <w:tcW w:w="2976" w:type="dxa"/>
            <w:tcBorders>
              <w:top w:val="nil"/>
              <w:left w:val="single" w:sz="4" w:space="0" w:color="auto"/>
              <w:bottom w:val="single" w:sz="4" w:space="0" w:color="auto"/>
              <w:right w:val="single" w:sz="4" w:space="0" w:color="auto"/>
            </w:tcBorders>
            <w:shd w:val="clear" w:color="auto" w:fill="auto"/>
            <w:noWrap/>
          </w:tcPr>
          <w:p w14:paraId="3187E72F"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10% increase in the energy price difference between 2 countries reduces short term exports by 0.2%</w:t>
            </w:r>
          </w:p>
        </w:tc>
      </w:tr>
      <w:tr w:rsidR="004219DF" w:rsidRPr="00C11D4F" w14:paraId="2D6305D4"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788989C7"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Martin et al.</w:t>
            </w:r>
          </w:p>
        </w:tc>
        <w:tc>
          <w:tcPr>
            <w:tcW w:w="477" w:type="dxa"/>
            <w:tcBorders>
              <w:top w:val="nil"/>
              <w:left w:val="nil"/>
              <w:bottom w:val="single" w:sz="4" w:space="0" w:color="auto"/>
              <w:right w:val="single" w:sz="4" w:space="0" w:color="auto"/>
            </w:tcBorders>
            <w:shd w:val="clear" w:color="auto" w:fill="auto"/>
            <w:noWrap/>
            <w:hideMark/>
          </w:tcPr>
          <w:p w14:paraId="4F779B8A"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2014</w:t>
            </w:r>
          </w:p>
        </w:tc>
        <w:tc>
          <w:tcPr>
            <w:tcW w:w="939" w:type="dxa"/>
            <w:tcBorders>
              <w:top w:val="nil"/>
              <w:left w:val="nil"/>
              <w:bottom w:val="single" w:sz="4" w:space="0" w:color="auto"/>
              <w:right w:val="single" w:sz="4" w:space="0" w:color="auto"/>
            </w:tcBorders>
            <w:shd w:val="clear" w:color="auto" w:fill="auto"/>
            <w:noWrap/>
            <w:hideMark/>
          </w:tcPr>
          <w:p w14:paraId="3A96EDE7"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Belgium, France, Germany, Hungary, Poland, UK</w:t>
            </w:r>
          </w:p>
        </w:tc>
        <w:tc>
          <w:tcPr>
            <w:tcW w:w="779" w:type="dxa"/>
            <w:tcBorders>
              <w:top w:val="nil"/>
              <w:left w:val="nil"/>
              <w:bottom w:val="single" w:sz="4" w:space="0" w:color="auto"/>
              <w:right w:val="single" w:sz="4" w:space="0" w:color="auto"/>
            </w:tcBorders>
            <w:shd w:val="clear" w:color="auto" w:fill="auto"/>
            <w:noWrap/>
            <w:hideMark/>
          </w:tcPr>
          <w:p w14:paraId="4B31788E"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hideMark/>
          </w:tcPr>
          <w:p w14:paraId="43EABDEC"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hideMark/>
          </w:tcPr>
          <w:p w14:paraId="1F84D48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2009</w:t>
            </w:r>
          </w:p>
        </w:tc>
        <w:tc>
          <w:tcPr>
            <w:tcW w:w="1075" w:type="dxa"/>
            <w:tcBorders>
              <w:top w:val="single" w:sz="4" w:space="0" w:color="auto"/>
              <w:left w:val="nil"/>
              <w:bottom w:val="single" w:sz="4" w:space="0" w:color="auto"/>
              <w:right w:val="single" w:sz="4" w:space="0" w:color="auto"/>
            </w:tcBorders>
          </w:tcPr>
          <w:p w14:paraId="45D96DE5"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Interviews (N=761)</w:t>
            </w:r>
          </w:p>
        </w:tc>
        <w:tc>
          <w:tcPr>
            <w:tcW w:w="2976" w:type="dxa"/>
            <w:tcBorders>
              <w:top w:val="nil"/>
              <w:left w:val="single" w:sz="4" w:space="0" w:color="auto"/>
              <w:bottom w:val="single" w:sz="4" w:space="0" w:color="auto"/>
              <w:right w:val="single" w:sz="4" w:space="0" w:color="auto"/>
            </w:tcBorders>
            <w:shd w:val="clear" w:color="auto" w:fill="auto"/>
            <w:noWrap/>
            <w:hideMark/>
          </w:tcPr>
          <w:p w14:paraId="4159CEE5"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Expected outsourcing (relocation) by managers: cement and ceramics around 6%, Iron &amp; Steel, Glass, Fuels around 8%. This is not an ex-post estimation, not counted as such in conclusion.</w:t>
            </w:r>
          </w:p>
        </w:tc>
      </w:tr>
      <w:tr w:rsidR="004219DF" w:rsidRPr="00C11D4F" w14:paraId="1EA41DE7"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4AE3594D" w14:textId="77777777" w:rsidR="006256D9" w:rsidRPr="00997125" w:rsidRDefault="006256D9" w:rsidP="006C5ABA">
            <w:pPr>
              <w:jc w:val="left"/>
              <w:rPr>
                <w:rFonts w:ascii="Calibri" w:eastAsia="Times New Roman" w:hAnsi="Calibri" w:cs="Calibri"/>
                <w:color w:val="000000"/>
                <w:sz w:val="16"/>
                <w:szCs w:val="16"/>
                <w:lang w:eastAsia="fr-BE"/>
              </w:rPr>
            </w:pPr>
            <w:proofErr w:type="spellStart"/>
            <w:r w:rsidRPr="00997125">
              <w:rPr>
                <w:rFonts w:ascii="Calibri" w:hAnsi="Calibri" w:cs="Calibri"/>
                <w:color w:val="000000"/>
                <w:sz w:val="16"/>
                <w:szCs w:val="16"/>
              </w:rPr>
              <w:t>Petrick</w:t>
            </w:r>
            <w:proofErr w:type="spellEnd"/>
            <w:r w:rsidRPr="00997125">
              <w:rPr>
                <w:rFonts w:ascii="Calibri" w:hAnsi="Calibri" w:cs="Calibri"/>
                <w:color w:val="000000"/>
                <w:sz w:val="16"/>
                <w:szCs w:val="16"/>
              </w:rPr>
              <w:t xml:space="preserve"> &amp; Wagner</w:t>
            </w:r>
          </w:p>
        </w:tc>
        <w:tc>
          <w:tcPr>
            <w:tcW w:w="477" w:type="dxa"/>
            <w:tcBorders>
              <w:top w:val="nil"/>
              <w:left w:val="nil"/>
              <w:bottom w:val="single" w:sz="4" w:space="0" w:color="auto"/>
              <w:right w:val="single" w:sz="4" w:space="0" w:color="auto"/>
            </w:tcBorders>
            <w:shd w:val="clear" w:color="auto" w:fill="auto"/>
            <w:noWrap/>
            <w:hideMark/>
          </w:tcPr>
          <w:p w14:paraId="0EE5BD29"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2014</w:t>
            </w:r>
          </w:p>
        </w:tc>
        <w:tc>
          <w:tcPr>
            <w:tcW w:w="939" w:type="dxa"/>
            <w:tcBorders>
              <w:top w:val="nil"/>
              <w:left w:val="nil"/>
              <w:bottom w:val="single" w:sz="4" w:space="0" w:color="auto"/>
              <w:right w:val="single" w:sz="4" w:space="0" w:color="auto"/>
            </w:tcBorders>
            <w:shd w:val="clear" w:color="auto" w:fill="auto"/>
            <w:noWrap/>
            <w:hideMark/>
          </w:tcPr>
          <w:p w14:paraId="1E968DBC"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Germany</w:t>
            </w:r>
          </w:p>
        </w:tc>
        <w:tc>
          <w:tcPr>
            <w:tcW w:w="779" w:type="dxa"/>
            <w:tcBorders>
              <w:top w:val="nil"/>
              <w:left w:val="nil"/>
              <w:bottom w:val="single" w:sz="4" w:space="0" w:color="auto"/>
              <w:right w:val="single" w:sz="4" w:space="0" w:color="auto"/>
            </w:tcBorders>
            <w:shd w:val="clear" w:color="auto" w:fill="auto"/>
            <w:noWrap/>
            <w:hideMark/>
          </w:tcPr>
          <w:p w14:paraId="10C835D9"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hideMark/>
          </w:tcPr>
          <w:p w14:paraId="6BC6836C"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hideMark/>
          </w:tcPr>
          <w:p w14:paraId="39ACABEA"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2000-2010</w:t>
            </w:r>
          </w:p>
        </w:tc>
        <w:tc>
          <w:tcPr>
            <w:tcW w:w="1075" w:type="dxa"/>
            <w:tcBorders>
              <w:top w:val="single" w:sz="4" w:space="0" w:color="auto"/>
              <w:left w:val="nil"/>
              <w:bottom w:val="single" w:sz="4" w:space="0" w:color="auto"/>
              <w:right w:val="single" w:sz="4" w:space="0" w:color="auto"/>
            </w:tcBorders>
          </w:tcPr>
          <w:p w14:paraId="304BF638"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 xml:space="preserve">Difference in Difference and matching within </w:t>
            </w:r>
            <w:proofErr w:type="gramStart"/>
            <w:r w:rsidRPr="00997125">
              <w:rPr>
                <w:rFonts w:ascii="Calibri" w:hAnsi="Calibri" w:cs="Calibri"/>
                <w:color w:val="000000"/>
                <w:sz w:val="16"/>
                <w:szCs w:val="16"/>
              </w:rPr>
              <w:t>2 digit</w:t>
            </w:r>
            <w:proofErr w:type="gramEnd"/>
            <w:r w:rsidRPr="00997125">
              <w:rPr>
                <w:rFonts w:ascii="Calibri" w:hAnsi="Calibri" w:cs="Calibri"/>
                <w:color w:val="000000"/>
                <w:sz w:val="16"/>
                <w:szCs w:val="16"/>
              </w:rPr>
              <w:t xml:space="preserve"> sector</w:t>
            </w:r>
          </w:p>
        </w:tc>
        <w:tc>
          <w:tcPr>
            <w:tcW w:w="2976" w:type="dxa"/>
            <w:tcBorders>
              <w:top w:val="nil"/>
              <w:left w:val="single" w:sz="4" w:space="0" w:color="auto"/>
              <w:bottom w:val="single" w:sz="4" w:space="0" w:color="auto"/>
              <w:right w:val="single" w:sz="4" w:space="0" w:color="auto"/>
            </w:tcBorders>
            <w:shd w:val="clear" w:color="auto" w:fill="auto"/>
            <w:noWrap/>
            <w:hideMark/>
          </w:tcPr>
          <w:p w14:paraId="6D317D6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Net exports +9% to +18%, depending on model specification</w:t>
            </w:r>
          </w:p>
        </w:tc>
      </w:tr>
      <w:tr w:rsidR="004219DF" w:rsidRPr="00C11D4F" w14:paraId="3B120E64"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191BDFCB" w14:textId="77777777" w:rsidR="006256D9" w:rsidRPr="00997125" w:rsidRDefault="006256D9" w:rsidP="006C5ABA">
            <w:pPr>
              <w:jc w:val="left"/>
              <w:rPr>
                <w:rFonts w:ascii="Calibri" w:hAnsi="Calibri" w:cs="Calibri"/>
                <w:color w:val="000000"/>
                <w:sz w:val="16"/>
                <w:szCs w:val="16"/>
              </w:rPr>
            </w:pPr>
            <w:proofErr w:type="spellStart"/>
            <w:r w:rsidRPr="00997125">
              <w:rPr>
                <w:rFonts w:ascii="Calibri" w:hAnsi="Calibri" w:cs="Calibri"/>
                <w:color w:val="000000"/>
                <w:sz w:val="16"/>
                <w:szCs w:val="16"/>
              </w:rPr>
              <w:t>Costantini</w:t>
            </w:r>
            <w:proofErr w:type="spellEnd"/>
            <w:r w:rsidRPr="00997125">
              <w:rPr>
                <w:rFonts w:ascii="Calibri" w:hAnsi="Calibri" w:cs="Calibri"/>
                <w:color w:val="000000"/>
                <w:sz w:val="16"/>
                <w:szCs w:val="16"/>
              </w:rPr>
              <w:t xml:space="preserve"> &amp; </w:t>
            </w:r>
            <w:proofErr w:type="spellStart"/>
            <w:r w:rsidRPr="00997125">
              <w:rPr>
                <w:rFonts w:ascii="Calibri" w:hAnsi="Calibri" w:cs="Calibri"/>
                <w:color w:val="000000"/>
                <w:sz w:val="16"/>
                <w:szCs w:val="16"/>
              </w:rPr>
              <w:t>Mazzanti</w:t>
            </w:r>
            <w:proofErr w:type="spellEnd"/>
          </w:p>
        </w:tc>
        <w:tc>
          <w:tcPr>
            <w:tcW w:w="477" w:type="dxa"/>
            <w:tcBorders>
              <w:top w:val="nil"/>
              <w:left w:val="nil"/>
              <w:bottom w:val="single" w:sz="4" w:space="0" w:color="auto"/>
              <w:right w:val="single" w:sz="4" w:space="0" w:color="auto"/>
            </w:tcBorders>
            <w:shd w:val="clear" w:color="auto" w:fill="auto"/>
            <w:noWrap/>
          </w:tcPr>
          <w:p w14:paraId="5D651D0D"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2012</w:t>
            </w:r>
          </w:p>
        </w:tc>
        <w:tc>
          <w:tcPr>
            <w:tcW w:w="939" w:type="dxa"/>
            <w:tcBorders>
              <w:top w:val="nil"/>
              <w:left w:val="nil"/>
              <w:bottom w:val="single" w:sz="4" w:space="0" w:color="auto"/>
              <w:right w:val="single" w:sz="4" w:space="0" w:color="auto"/>
            </w:tcBorders>
            <w:shd w:val="clear" w:color="auto" w:fill="auto"/>
            <w:noWrap/>
          </w:tcPr>
          <w:p w14:paraId="0B185F4E"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tcPr>
          <w:p w14:paraId="410CF62C"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tcPr>
          <w:p w14:paraId="294CD0B9"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Manufacturing</w:t>
            </w:r>
          </w:p>
        </w:tc>
        <w:tc>
          <w:tcPr>
            <w:tcW w:w="628" w:type="dxa"/>
            <w:tcBorders>
              <w:top w:val="nil"/>
              <w:left w:val="nil"/>
              <w:bottom w:val="single" w:sz="4" w:space="0" w:color="auto"/>
              <w:right w:val="single" w:sz="4" w:space="0" w:color="auto"/>
            </w:tcBorders>
            <w:shd w:val="clear" w:color="auto" w:fill="auto"/>
            <w:noWrap/>
          </w:tcPr>
          <w:p w14:paraId="02F021C7"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1996-2007</w:t>
            </w:r>
          </w:p>
        </w:tc>
        <w:tc>
          <w:tcPr>
            <w:tcW w:w="1075" w:type="dxa"/>
            <w:tcBorders>
              <w:top w:val="single" w:sz="4" w:space="0" w:color="auto"/>
              <w:left w:val="nil"/>
              <w:bottom w:val="single" w:sz="4" w:space="0" w:color="auto"/>
              <w:right w:val="single" w:sz="4" w:space="0" w:color="auto"/>
            </w:tcBorders>
          </w:tcPr>
          <w:p w14:paraId="514C773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Gravity trade model</w:t>
            </w:r>
          </w:p>
        </w:tc>
        <w:tc>
          <w:tcPr>
            <w:tcW w:w="2976" w:type="dxa"/>
            <w:tcBorders>
              <w:top w:val="nil"/>
              <w:left w:val="single" w:sz="4" w:space="0" w:color="auto"/>
              <w:bottom w:val="single" w:sz="4" w:space="0" w:color="auto"/>
              <w:right w:val="single" w:sz="4" w:space="0" w:color="auto"/>
            </w:tcBorders>
            <w:shd w:val="clear" w:color="auto" w:fill="auto"/>
            <w:noWrap/>
          </w:tcPr>
          <w:p w14:paraId="7D86E527"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 xml:space="preserve">Exports increase under an energy tax </w:t>
            </w:r>
          </w:p>
        </w:tc>
      </w:tr>
      <w:tr w:rsidR="004219DF" w:rsidRPr="00A15B7C" w14:paraId="64157F61"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hideMark/>
          </w:tcPr>
          <w:p w14:paraId="3EBEEAAB" w14:textId="77777777" w:rsidR="006256D9" w:rsidRPr="00997125" w:rsidRDefault="006256D9" w:rsidP="006C5ABA">
            <w:pPr>
              <w:jc w:val="left"/>
              <w:rPr>
                <w:rFonts w:ascii="Calibri" w:eastAsia="Times New Roman" w:hAnsi="Calibri" w:cs="Calibri"/>
                <w:color w:val="000000"/>
                <w:sz w:val="16"/>
                <w:szCs w:val="16"/>
                <w:lang w:eastAsia="fr-BE"/>
              </w:rPr>
            </w:pPr>
            <w:proofErr w:type="spellStart"/>
            <w:r w:rsidRPr="00997125">
              <w:rPr>
                <w:rFonts w:ascii="Calibri" w:hAnsi="Calibri" w:cs="Calibri"/>
                <w:color w:val="000000"/>
                <w:sz w:val="16"/>
                <w:szCs w:val="16"/>
              </w:rPr>
              <w:t>Sartor</w:t>
            </w:r>
            <w:proofErr w:type="spellEnd"/>
          </w:p>
        </w:tc>
        <w:tc>
          <w:tcPr>
            <w:tcW w:w="477" w:type="dxa"/>
            <w:tcBorders>
              <w:top w:val="nil"/>
              <w:left w:val="nil"/>
              <w:bottom w:val="single" w:sz="4" w:space="0" w:color="auto"/>
              <w:right w:val="single" w:sz="4" w:space="0" w:color="auto"/>
            </w:tcBorders>
            <w:shd w:val="clear" w:color="auto" w:fill="auto"/>
            <w:noWrap/>
            <w:hideMark/>
          </w:tcPr>
          <w:p w14:paraId="3D3D81E1"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2012</w:t>
            </w:r>
          </w:p>
        </w:tc>
        <w:tc>
          <w:tcPr>
            <w:tcW w:w="939" w:type="dxa"/>
            <w:tcBorders>
              <w:top w:val="nil"/>
              <w:left w:val="nil"/>
              <w:bottom w:val="single" w:sz="4" w:space="0" w:color="auto"/>
              <w:right w:val="single" w:sz="4" w:space="0" w:color="auto"/>
            </w:tcBorders>
            <w:shd w:val="clear" w:color="auto" w:fill="auto"/>
            <w:noWrap/>
            <w:hideMark/>
          </w:tcPr>
          <w:p w14:paraId="7BAC73D2"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EU</w:t>
            </w:r>
          </w:p>
        </w:tc>
        <w:tc>
          <w:tcPr>
            <w:tcW w:w="779" w:type="dxa"/>
            <w:tcBorders>
              <w:top w:val="nil"/>
              <w:left w:val="nil"/>
              <w:bottom w:val="single" w:sz="4" w:space="0" w:color="auto"/>
              <w:right w:val="single" w:sz="4" w:space="0" w:color="auto"/>
            </w:tcBorders>
            <w:shd w:val="clear" w:color="auto" w:fill="auto"/>
            <w:noWrap/>
            <w:hideMark/>
          </w:tcPr>
          <w:p w14:paraId="21E42C63"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hideMark/>
          </w:tcPr>
          <w:p w14:paraId="4987976C"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Aluminium</w:t>
            </w:r>
          </w:p>
        </w:tc>
        <w:tc>
          <w:tcPr>
            <w:tcW w:w="628" w:type="dxa"/>
            <w:tcBorders>
              <w:top w:val="nil"/>
              <w:left w:val="nil"/>
              <w:bottom w:val="single" w:sz="4" w:space="0" w:color="auto"/>
              <w:right w:val="single" w:sz="4" w:space="0" w:color="auto"/>
            </w:tcBorders>
            <w:shd w:val="clear" w:color="auto" w:fill="auto"/>
            <w:noWrap/>
            <w:hideMark/>
          </w:tcPr>
          <w:p w14:paraId="71C8F2AF"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1999-2011</w:t>
            </w:r>
          </w:p>
        </w:tc>
        <w:tc>
          <w:tcPr>
            <w:tcW w:w="1075" w:type="dxa"/>
            <w:tcBorders>
              <w:top w:val="single" w:sz="4" w:space="0" w:color="auto"/>
              <w:left w:val="nil"/>
              <w:bottom w:val="single" w:sz="4" w:space="0" w:color="auto"/>
              <w:right w:val="single" w:sz="4" w:space="0" w:color="auto"/>
            </w:tcBorders>
          </w:tcPr>
          <w:p w14:paraId="4513055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Time series, cointegration</w:t>
            </w:r>
          </w:p>
        </w:tc>
        <w:tc>
          <w:tcPr>
            <w:tcW w:w="2976" w:type="dxa"/>
            <w:tcBorders>
              <w:top w:val="nil"/>
              <w:left w:val="single" w:sz="4" w:space="0" w:color="auto"/>
              <w:bottom w:val="single" w:sz="4" w:space="0" w:color="auto"/>
              <w:right w:val="single" w:sz="4" w:space="0" w:color="auto"/>
            </w:tcBorders>
            <w:shd w:val="clear" w:color="auto" w:fill="auto"/>
            <w:noWrap/>
            <w:hideMark/>
          </w:tcPr>
          <w:p w14:paraId="05C14F8D" w14:textId="77777777" w:rsidR="006256D9" w:rsidRPr="00997125" w:rsidRDefault="006256D9"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Insignificant effect of EAU price on net imports</w:t>
            </w:r>
          </w:p>
        </w:tc>
      </w:tr>
      <w:tr w:rsidR="004219DF" w:rsidRPr="0050224D" w14:paraId="3ED7364F" w14:textId="77777777" w:rsidTr="004219DF">
        <w:trPr>
          <w:trHeight w:val="288"/>
        </w:trPr>
        <w:tc>
          <w:tcPr>
            <w:tcW w:w="1138" w:type="dxa"/>
            <w:tcBorders>
              <w:top w:val="nil"/>
              <w:left w:val="single" w:sz="4" w:space="0" w:color="auto"/>
              <w:bottom w:val="single" w:sz="4" w:space="0" w:color="auto"/>
              <w:right w:val="single" w:sz="4" w:space="0" w:color="auto"/>
            </w:tcBorders>
            <w:shd w:val="clear" w:color="auto" w:fill="auto"/>
            <w:noWrap/>
          </w:tcPr>
          <w:p w14:paraId="27C49E0E" w14:textId="77777777" w:rsidR="006256D9" w:rsidRPr="00997125" w:rsidRDefault="006256D9" w:rsidP="006C5ABA">
            <w:pPr>
              <w:jc w:val="left"/>
              <w:rPr>
                <w:rFonts w:ascii="Calibri" w:hAnsi="Calibri" w:cs="Calibri"/>
                <w:color w:val="000000"/>
                <w:sz w:val="16"/>
                <w:szCs w:val="16"/>
              </w:rPr>
            </w:pPr>
            <w:proofErr w:type="spellStart"/>
            <w:r w:rsidRPr="00997125">
              <w:rPr>
                <w:rFonts w:ascii="Calibri" w:hAnsi="Calibri" w:cs="Calibri"/>
                <w:color w:val="000000"/>
                <w:sz w:val="16"/>
                <w:szCs w:val="16"/>
              </w:rPr>
              <w:t>Reinaud</w:t>
            </w:r>
            <w:proofErr w:type="spellEnd"/>
          </w:p>
        </w:tc>
        <w:tc>
          <w:tcPr>
            <w:tcW w:w="477" w:type="dxa"/>
            <w:tcBorders>
              <w:top w:val="nil"/>
              <w:left w:val="nil"/>
              <w:bottom w:val="single" w:sz="4" w:space="0" w:color="auto"/>
              <w:right w:val="single" w:sz="4" w:space="0" w:color="auto"/>
            </w:tcBorders>
            <w:shd w:val="clear" w:color="auto" w:fill="auto"/>
            <w:noWrap/>
          </w:tcPr>
          <w:p w14:paraId="3CF0558E"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2008</w:t>
            </w:r>
          </w:p>
        </w:tc>
        <w:tc>
          <w:tcPr>
            <w:tcW w:w="939" w:type="dxa"/>
            <w:tcBorders>
              <w:top w:val="nil"/>
              <w:left w:val="nil"/>
              <w:bottom w:val="single" w:sz="4" w:space="0" w:color="auto"/>
              <w:right w:val="single" w:sz="4" w:space="0" w:color="auto"/>
            </w:tcBorders>
            <w:shd w:val="clear" w:color="auto" w:fill="auto"/>
            <w:noWrap/>
          </w:tcPr>
          <w:p w14:paraId="6B0EF396"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 xml:space="preserve">EU </w:t>
            </w:r>
          </w:p>
        </w:tc>
        <w:tc>
          <w:tcPr>
            <w:tcW w:w="779" w:type="dxa"/>
            <w:tcBorders>
              <w:top w:val="nil"/>
              <w:left w:val="nil"/>
              <w:bottom w:val="single" w:sz="4" w:space="0" w:color="auto"/>
              <w:right w:val="single" w:sz="4" w:space="0" w:color="auto"/>
            </w:tcBorders>
            <w:shd w:val="clear" w:color="auto" w:fill="auto"/>
            <w:noWrap/>
          </w:tcPr>
          <w:p w14:paraId="37A3BAE0"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ETS</w:t>
            </w:r>
          </w:p>
        </w:tc>
        <w:tc>
          <w:tcPr>
            <w:tcW w:w="1105" w:type="dxa"/>
            <w:tcBorders>
              <w:top w:val="nil"/>
              <w:left w:val="nil"/>
              <w:bottom w:val="single" w:sz="4" w:space="0" w:color="auto"/>
              <w:right w:val="single" w:sz="4" w:space="0" w:color="auto"/>
            </w:tcBorders>
            <w:shd w:val="clear" w:color="auto" w:fill="auto"/>
            <w:noWrap/>
          </w:tcPr>
          <w:p w14:paraId="1F45071B"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Aluminium</w:t>
            </w:r>
          </w:p>
        </w:tc>
        <w:tc>
          <w:tcPr>
            <w:tcW w:w="628" w:type="dxa"/>
            <w:tcBorders>
              <w:top w:val="nil"/>
              <w:left w:val="nil"/>
              <w:bottom w:val="single" w:sz="4" w:space="0" w:color="auto"/>
              <w:right w:val="single" w:sz="4" w:space="0" w:color="auto"/>
            </w:tcBorders>
            <w:shd w:val="clear" w:color="auto" w:fill="auto"/>
            <w:noWrap/>
          </w:tcPr>
          <w:p w14:paraId="362E6795"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1999-2007</w:t>
            </w:r>
          </w:p>
        </w:tc>
        <w:tc>
          <w:tcPr>
            <w:tcW w:w="1075" w:type="dxa"/>
            <w:tcBorders>
              <w:top w:val="single" w:sz="4" w:space="0" w:color="auto"/>
              <w:left w:val="nil"/>
              <w:bottom w:val="single" w:sz="4" w:space="0" w:color="auto"/>
              <w:right w:val="single" w:sz="4" w:space="0" w:color="auto"/>
            </w:tcBorders>
          </w:tcPr>
          <w:p w14:paraId="2D4891A0"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Time series</w:t>
            </w:r>
          </w:p>
        </w:tc>
        <w:tc>
          <w:tcPr>
            <w:tcW w:w="2976" w:type="dxa"/>
            <w:tcBorders>
              <w:top w:val="nil"/>
              <w:left w:val="single" w:sz="4" w:space="0" w:color="auto"/>
              <w:bottom w:val="single" w:sz="4" w:space="0" w:color="auto"/>
              <w:right w:val="single" w:sz="4" w:space="0" w:color="auto"/>
            </w:tcBorders>
            <w:shd w:val="clear" w:color="auto" w:fill="auto"/>
            <w:noWrap/>
          </w:tcPr>
          <w:p w14:paraId="54078070" w14:textId="77777777" w:rsidR="006256D9" w:rsidRPr="00997125" w:rsidRDefault="006256D9" w:rsidP="006C5ABA">
            <w:pPr>
              <w:jc w:val="left"/>
              <w:rPr>
                <w:rFonts w:ascii="Calibri" w:hAnsi="Calibri" w:cs="Calibri"/>
                <w:color w:val="000000"/>
                <w:sz w:val="16"/>
                <w:szCs w:val="16"/>
              </w:rPr>
            </w:pPr>
            <w:r w:rsidRPr="00997125">
              <w:rPr>
                <w:rFonts w:ascii="Calibri" w:hAnsi="Calibri" w:cs="Calibri"/>
                <w:color w:val="000000"/>
                <w:sz w:val="16"/>
                <w:szCs w:val="16"/>
              </w:rPr>
              <w:t>Insignificant effect of EAU price on net imports</w:t>
            </w:r>
          </w:p>
        </w:tc>
      </w:tr>
    </w:tbl>
    <w:p w14:paraId="56FF3AF5" w14:textId="4796A10B" w:rsidR="006256D9" w:rsidRPr="00997125" w:rsidRDefault="004219DF" w:rsidP="00997125">
      <w:pPr>
        <w:pStyle w:val="Para0"/>
        <w:ind w:left="0"/>
        <w:rPr>
          <w:spacing w:val="-2"/>
          <w:sz w:val="18"/>
          <w:szCs w:val="18"/>
          <w:highlight w:val="lightGray"/>
        </w:rPr>
      </w:pPr>
      <w:r w:rsidRPr="00997125">
        <w:rPr>
          <w:sz w:val="18"/>
          <w:szCs w:val="18"/>
        </w:rPr>
        <w:t xml:space="preserve">Note: </w:t>
      </w:r>
      <w:r>
        <w:rPr>
          <w:sz w:val="18"/>
          <w:szCs w:val="18"/>
        </w:rPr>
        <w:t xml:space="preserve">*RGGI = </w:t>
      </w:r>
      <w:r w:rsidRPr="004219DF">
        <w:rPr>
          <w:sz w:val="18"/>
          <w:szCs w:val="18"/>
        </w:rPr>
        <w:t>Regional Greenhouse Gas Initiative</w:t>
      </w:r>
      <w:r w:rsidRPr="00997125">
        <w:rPr>
          <w:sz w:val="18"/>
          <w:szCs w:val="18"/>
        </w:rPr>
        <w:t>.</w:t>
      </w:r>
    </w:p>
    <w:p w14:paraId="5C76EB1A" w14:textId="77777777" w:rsidR="006256D9" w:rsidRDefault="006256D9">
      <w:pPr>
        <w:tabs>
          <w:tab w:val="clear" w:pos="850"/>
          <w:tab w:val="clear" w:pos="1191"/>
          <w:tab w:val="clear" w:pos="1531"/>
        </w:tabs>
        <w:spacing w:after="160" w:line="259" w:lineRule="auto"/>
        <w:jc w:val="left"/>
        <w:rPr>
          <w:rFonts w:eastAsia="SimSun"/>
          <w:spacing w:val="-2"/>
          <w:szCs w:val="22"/>
          <w:highlight w:val="lightGray"/>
        </w:rPr>
      </w:pPr>
      <w:r>
        <w:rPr>
          <w:spacing w:val="-2"/>
          <w:szCs w:val="22"/>
          <w:highlight w:val="lightGray"/>
        </w:rPr>
        <w:br w:type="page"/>
      </w:r>
    </w:p>
    <w:p w14:paraId="2FABEC26" w14:textId="77777777" w:rsidR="004D61AD" w:rsidRPr="00FC2112" w:rsidRDefault="004D61AD" w:rsidP="004D61AD">
      <w:pPr>
        <w:pStyle w:val="Para0"/>
        <w:rPr>
          <w:highlight w:val="lightGray"/>
        </w:rPr>
      </w:pPr>
      <w:r w:rsidRPr="00FC2112">
        <w:lastRenderedPageBreak/>
        <w:t xml:space="preserve">Foreign Direct Investment (FDI) measures the flow of capital across national borders and reflects the expectations of firms about the profitability of foreign versus domestic investments. On the one hand, an increase in outward FDI can be a proxy for the extent to which carbon pricing leads to “offshoring”. Offshoring may be driven by firms’ perception that carbon prices will hamper future profits and will make the country less attractive as a manufacturing base. On the other hand, if carbon pricing leads to a positive competitiveness effect (e.g. through innovation, higher </w:t>
      </w:r>
      <w:proofErr w:type="gramStart"/>
      <w:r w:rsidRPr="00FC2112">
        <w:t>productivity</w:t>
      </w:r>
      <w:proofErr w:type="gramEnd"/>
      <w:r w:rsidRPr="00FC2112">
        <w:t xml:space="preserve"> or resource efficiency), firms may prioritise domestic investments at the expense of FDI.</w:t>
      </w:r>
    </w:p>
    <w:p w14:paraId="718F2CD1" w14:textId="176BEE26" w:rsidR="004D61AD" w:rsidRPr="00FC2112" w:rsidRDefault="004D61AD" w:rsidP="004D61AD">
      <w:pPr>
        <w:pStyle w:val="Para0"/>
        <w:rPr>
          <w:highlight w:val="lightGray"/>
        </w:rPr>
      </w:pPr>
      <w:r w:rsidRPr="00FC2112">
        <w:t xml:space="preserve">The evidence for the impact of the EU ETS on FDI is so far mixed and based on a small number of European countries. </w:t>
      </w:r>
      <w:proofErr w:type="spellStart"/>
      <w:r w:rsidRPr="00FC2112">
        <w:t>Borghesi</w:t>
      </w:r>
      <w:proofErr w:type="spellEnd"/>
      <w:r w:rsidRPr="00FC2112">
        <w:t xml:space="preserve">, Franco &amp; Marin </w:t>
      </w:r>
      <w:r w:rsidR="002B3291" w:rsidRPr="0096259C">
        <w:rPr>
          <w:noProof/>
        </w:rPr>
        <w:t>(2018</w:t>
      </w:r>
      <w:r w:rsidR="002B3291" w:rsidRPr="0096259C">
        <w:rPr>
          <w:noProof/>
          <w:vertAlign w:val="subscript"/>
        </w:rPr>
        <w:t>[27]</w:t>
      </w:r>
      <w:r w:rsidR="002B3291" w:rsidRPr="0096259C">
        <w:rPr>
          <w:noProof/>
        </w:rPr>
        <w:t>)</w:t>
      </w:r>
      <w:r w:rsidRPr="00FC2112">
        <w:t xml:space="preserve"> investigate Italian firms and find the ETS increased both the number of subsidiaries opened outside the EU and increased the turnover in these subsidiaries. Both effects are more pronounced for competition-exposed sectors. In contrast, </w:t>
      </w:r>
      <w:proofErr w:type="gramStart"/>
      <w:r w:rsidRPr="00FC2112">
        <w:t>Koch</w:t>
      </w:r>
      <w:proofErr w:type="gramEnd"/>
      <w:r w:rsidRPr="00FC2112">
        <w:t xml:space="preserve"> and Basse </w:t>
      </w:r>
      <w:r w:rsidR="004B3466" w:rsidRPr="0096259C">
        <w:rPr>
          <w:noProof/>
        </w:rPr>
        <w:t>(2016</w:t>
      </w:r>
      <w:r w:rsidR="004B3466" w:rsidRPr="0096259C">
        <w:rPr>
          <w:noProof/>
          <w:vertAlign w:val="subscript"/>
        </w:rPr>
        <w:t>[28]</w:t>
      </w:r>
      <w:r w:rsidR="004B3466" w:rsidRPr="0096259C">
        <w:rPr>
          <w:noProof/>
        </w:rPr>
        <w:t>)</w:t>
      </w:r>
      <w:r w:rsidRPr="00FC2112">
        <w:t xml:space="preserve"> focus on German firms and do not find an effect on FDI both in general and for sectors deemed at risk of carbon leakage.</w:t>
      </w:r>
    </w:p>
    <w:p w14:paraId="1CB744EA" w14:textId="1A8D0EF8" w:rsidR="004D61AD" w:rsidRPr="00FC2112" w:rsidRDefault="004D61AD" w:rsidP="004D61AD">
      <w:pPr>
        <w:pStyle w:val="Para0"/>
        <w:rPr>
          <w:highlight w:val="lightGray"/>
        </w:rPr>
      </w:pPr>
      <w:r w:rsidRPr="00FC2112">
        <w:t xml:space="preserve">Carbon prices can increase outward FDI, but the effects are small and tend to be heterogeneous across sectors. Both Dlugosch and </w:t>
      </w:r>
      <w:proofErr w:type="spellStart"/>
      <w:r w:rsidRPr="00FC2112">
        <w:t>Koźluk</w:t>
      </w:r>
      <w:proofErr w:type="spellEnd"/>
      <w:r w:rsidRPr="00FC2112">
        <w:t xml:space="preserve"> </w:t>
      </w:r>
      <w:r w:rsidR="004B3466" w:rsidRPr="0096259C">
        <w:rPr>
          <w:noProof/>
        </w:rPr>
        <w:t>(2017</w:t>
      </w:r>
      <w:r w:rsidR="004B3466" w:rsidRPr="0096259C">
        <w:rPr>
          <w:noProof/>
          <w:vertAlign w:val="subscript"/>
        </w:rPr>
        <w:t>[29]</w:t>
      </w:r>
      <w:r w:rsidR="004B3466" w:rsidRPr="0096259C">
        <w:rPr>
          <w:noProof/>
        </w:rPr>
        <w:t>)</w:t>
      </w:r>
      <w:r w:rsidRPr="00FC2112">
        <w:t xml:space="preserve"> and </w:t>
      </w:r>
      <w:proofErr w:type="spellStart"/>
      <w:r w:rsidRPr="00FC2112">
        <w:t>Garsous</w:t>
      </w:r>
      <w:proofErr w:type="spellEnd"/>
      <w:r w:rsidR="00B8106B">
        <w:t>,</w:t>
      </w:r>
      <w:r w:rsidRPr="00FC2112">
        <w:t xml:space="preserve"> </w:t>
      </w:r>
      <w:proofErr w:type="spellStart"/>
      <w:r w:rsidRPr="00FC2112">
        <w:t>Koźluk</w:t>
      </w:r>
      <w:proofErr w:type="spellEnd"/>
      <w:r w:rsidR="00B8106B">
        <w:t xml:space="preserve"> and Dlugosch</w:t>
      </w:r>
      <w:r w:rsidRPr="00FC2112">
        <w:t xml:space="preserve"> </w:t>
      </w:r>
      <w:r w:rsidR="004B3466" w:rsidRPr="0096259C">
        <w:rPr>
          <w:noProof/>
        </w:rPr>
        <w:t>(20</w:t>
      </w:r>
      <w:r w:rsidR="00B8106B">
        <w:rPr>
          <w:noProof/>
        </w:rPr>
        <w:t>20</w:t>
      </w:r>
      <w:r w:rsidR="004B3466" w:rsidRPr="0096259C">
        <w:rPr>
          <w:noProof/>
          <w:vertAlign w:val="subscript"/>
        </w:rPr>
        <w:t>[30]</w:t>
      </w:r>
      <w:r w:rsidR="004B3466" w:rsidRPr="0096259C">
        <w:rPr>
          <w:noProof/>
        </w:rPr>
        <w:t>)</w:t>
      </w:r>
      <w:r w:rsidRPr="00FC2112">
        <w:t xml:space="preserve"> use energy prices as proxy for carbon pricing for assessing the impact on FDI</w:t>
      </w:r>
      <w:r w:rsidR="00C850C4">
        <w:t xml:space="preserve"> in the OECD</w:t>
      </w:r>
      <w:r w:rsidRPr="00FC2112">
        <w:t xml:space="preserve">. Dlugosch and </w:t>
      </w:r>
      <w:proofErr w:type="spellStart"/>
      <w:r w:rsidRPr="00FC2112">
        <w:t>Koźluk</w:t>
      </w:r>
      <w:proofErr w:type="spellEnd"/>
      <w:r w:rsidRPr="00FC2112">
        <w:t xml:space="preserve"> </w:t>
      </w:r>
      <w:r w:rsidR="004B3466" w:rsidRPr="0096259C">
        <w:rPr>
          <w:noProof/>
        </w:rPr>
        <w:t>(2017</w:t>
      </w:r>
      <w:r w:rsidR="004B3466" w:rsidRPr="0096259C">
        <w:rPr>
          <w:noProof/>
          <w:vertAlign w:val="subscript"/>
        </w:rPr>
        <w:t>[29]</w:t>
      </w:r>
      <w:r w:rsidR="004B3466" w:rsidRPr="0096259C">
        <w:rPr>
          <w:noProof/>
        </w:rPr>
        <w:t>)</w:t>
      </w:r>
      <w:r w:rsidRPr="00FC2112">
        <w:t xml:space="preserve"> find that increases in domestic energy prices lead to a decline in domestic investment across all manufacturing sectors and to an increase in outward FDI from firms operating in high-energy sectors. The findings of </w:t>
      </w:r>
      <w:proofErr w:type="spellStart"/>
      <w:r w:rsidRPr="00FC2112">
        <w:t>Garsous</w:t>
      </w:r>
      <w:proofErr w:type="spellEnd"/>
      <w:r w:rsidR="00C809D7">
        <w:t>,</w:t>
      </w:r>
      <w:r w:rsidRPr="00FC2112">
        <w:t xml:space="preserve"> </w:t>
      </w:r>
      <w:proofErr w:type="spellStart"/>
      <w:r w:rsidRPr="00FC2112">
        <w:t>Kozluk</w:t>
      </w:r>
      <w:proofErr w:type="spellEnd"/>
      <w:r w:rsidR="00C809D7">
        <w:t xml:space="preserve"> and Dlugosch (2020)</w:t>
      </w:r>
      <w:r w:rsidRPr="00FC2112">
        <w:t xml:space="preserve"> suggest that a 10% increase in domestic energy prices</w:t>
      </w:r>
      <w:r w:rsidR="00C809D7">
        <w:t xml:space="preserve"> of listed companies</w:t>
      </w:r>
      <w:r w:rsidRPr="00FC2112">
        <w:t xml:space="preserve"> leads to an increase of 5 percentage points in the ratio between foreign and total assets (from a mean of 14%), indicating an increase in outward FDI. </w:t>
      </w:r>
      <w:r w:rsidR="00C2207A">
        <w:t>Table 3 reports further details regarding the region, covered period, sample size and method of the studies on FDI.</w:t>
      </w:r>
    </w:p>
    <w:p w14:paraId="5323E7D7" w14:textId="15A55A79" w:rsidR="00F938C4" w:rsidRDefault="00F938C4" w:rsidP="00F4660B">
      <w:pPr>
        <w:pStyle w:val="Para0"/>
      </w:pPr>
    </w:p>
    <w:p w14:paraId="050DCE0E" w14:textId="53B19D05" w:rsidR="008053C5" w:rsidRDefault="008053C5" w:rsidP="00F4660B">
      <w:pPr>
        <w:pStyle w:val="Para0"/>
      </w:pPr>
      <w:r>
        <w:rPr>
          <w:b/>
          <w:bCs/>
        </w:rPr>
        <w:t xml:space="preserve">Table 3: </w:t>
      </w:r>
      <w:r w:rsidRPr="00512445">
        <w:rPr>
          <w:b/>
          <w:bCs/>
        </w:rPr>
        <w:t xml:space="preserve">Overview of empirical studies on </w:t>
      </w:r>
      <w:r>
        <w:rPr>
          <w:b/>
          <w:bCs/>
        </w:rPr>
        <w:t>Foreign Direct Investment</w:t>
      </w:r>
    </w:p>
    <w:tbl>
      <w:tblPr>
        <w:tblW w:w="9351" w:type="dxa"/>
        <w:tblCellMar>
          <w:left w:w="70" w:type="dxa"/>
          <w:right w:w="70" w:type="dxa"/>
        </w:tblCellMar>
        <w:tblLook w:val="04A0" w:firstRow="1" w:lastRow="0" w:firstColumn="1" w:lastColumn="0" w:noHBand="0" w:noVBand="1"/>
      </w:tblPr>
      <w:tblGrid>
        <w:gridCol w:w="846"/>
        <w:gridCol w:w="567"/>
        <w:gridCol w:w="749"/>
        <w:gridCol w:w="586"/>
        <w:gridCol w:w="1105"/>
        <w:gridCol w:w="674"/>
        <w:gridCol w:w="1663"/>
        <w:gridCol w:w="3161"/>
      </w:tblGrid>
      <w:tr w:rsidR="008053C5" w:rsidRPr="00A15B7C" w14:paraId="5ED8FACE" w14:textId="77777777" w:rsidTr="00997125">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64DEB3C9"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 xml:space="preserve">Authors </w:t>
            </w:r>
          </w:p>
        </w:tc>
        <w:tc>
          <w:tcPr>
            <w:tcW w:w="567" w:type="dxa"/>
            <w:tcBorders>
              <w:top w:val="single" w:sz="4" w:space="0" w:color="auto"/>
              <w:left w:val="nil"/>
              <w:bottom w:val="single" w:sz="4" w:space="0" w:color="auto"/>
              <w:right w:val="single" w:sz="4" w:space="0" w:color="auto"/>
            </w:tcBorders>
            <w:shd w:val="clear" w:color="auto" w:fill="auto"/>
            <w:noWrap/>
            <w:hideMark/>
          </w:tcPr>
          <w:p w14:paraId="4EA4015B"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Year</w:t>
            </w:r>
          </w:p>
        </w:tc>
        <w:tc>
          <w:tcPr>
            <w:tcW w:w="737" w:type="dxa"/>
            <w:tcBorders>
              <w:top w:val="single" w:sz="4" w:space="0" w:color="auto"/>
              <w:left w:val="nil"/>
              <w:bottom w:val="single" w:sz="4" w:space="0" w:color="auto"/>
              <w:right w:val="single" w:sz="4" w:space="0" w:color="auto"/>
            </w:tcBorders>
            <w:shd w:val="clear" w:color="auto" w:fill="auto"/>
            <w:noWrap/>
            <w:hideMark/>
          </w:tcPr>
          <w:p w14:paraId="04D4EA03"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Country</w:t>
            </w:r>
          </w:p>
        </w:tc>
        <w:tc>
          <w:tcPr>
            <w:tcW w:w="582" w:type="dxa"/>
            <w:tcBorders>
              <w:top w:val="single" w:sz="4" w:space="0" w:color="auto"/>
              <w:left w:val="nil"/>
              <w:bottom w:val="single" w:sz="4" w:space="0" w:color="auto"/>
              <w:right w:val="single" w:sz="4" w:space="0" w:color="auto"/>
            </w:tcBorders>
            <w:shd w:val="clear" w:color="auto" w:fill="auto"/>
            <w:noWrap/>
            <w:hideMark/>
          </w:tcPr>
          <w:p w14:paraId="7722226B"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 xml:space="preserve">Policy </w:t>
            </w:r>
          </w:p>
        </w:tc>
        <w:tc>
          <w:tcPr>
            <w:tcW w:w="984" w:type="dxa"/>
            <w:tcBorders>
              <w:top w:val="single" w:sz="4" w:space="0" w:color="auto"/>
              <w:left w:val="nil"/>
              <w:bottom w:val="single" w:sz="4" w:space="0" w:color="auto"/>
              <w:right w:val="single" w:sz="4" w:space="0" w:color="auto"/>
            </w:tcBorders>
            <w:shd w:val="clear" w:color="auto" w:fill="auto"/>
            <w:noWrap/>
            <w:hideMark/>
          </w:tcPr>
          <w:p w14:paraId="738F5EF3"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Sectors</w:t>
            </w:r>
          </w:p>
        </w:tc>
        <w:tc>
          <w:tcPr>
            <w:tcW w:w="674" w:type="dxa"/>
            <w:tcBorders>
              <w:top w:val="single" w:sz="4" w:space="0" w:color="auto"/>
              <w:left w:val="nil"/>
              <w:bottom w:val="single" w:sz="4" w:space="0" w:color="auto"/>
              <w:right w:val="single" w:sz="4" w:space="0" w:color="auto"/>
            </w:tcBorders>
            <w:shd w:val="clear" w:color="auto" w:fill="auto"/>
            <w:noWrap/>
            <w:hideMark/>
          </w:tcPr>
          <w:p w14:paraId="5E3A88B0"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Period</w:t>
            </w:r>
          </w:p>
        </w:tc>
        <w:tc>
          <w:tcPr>
            <w:tcW w:w="1701" w:type="dxa"/>
            <w:tcBorders>
              <w:top w:val="single" w:sz="4" w:space="0" w:color="auto"/>
              <w:left w:val="nil"/>
              <w:bottom w:val="single" w:sz="4" w:space="0" w:color="auto"/>
              <w:right w:val="single" w:sz="4" w:space="0" w:color="auto"/>
            </w:tcBorders>
          </w:tcPr>
          <w:p w14:paraId="069A9DE2" w14:textId="77777777" w:rsidR="00F938C4" w:rsidRPr="00997125" w:rsidRDefault="00F938C4"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Method</w:t>
            </w:r>
          </w:p>
        </w:tc>
        <w:tc>
          <w:tcPr>
            <w:tcW w:w="3260" w:type="dxa"/>
            <w:tcBorders>
              <w:top w:val="single" w:sz="4" w:space="0" w:color="auto"/>
              <w:left w:val="single" w:sz="4" w:space="0" w:color="auto"/>
              <w:bottom w:val="single" w:sz="4" w:space="0" w:color="auto"/>
              <w:right w:val="single" w:sz="4" w:space="0" w:color="auto"/>
            </w:tcBorders>
          </w:tcPr>
          <w:p w14:paraId="74A7A7B0" w14:textId="72FE4EF1" w:rsidR="00F938C4" w:rsidRPr="00997125" w:rsidRDefault="008053C5" w:rsidP="006C5ABA">
            <w:pPr>
              <w:jc w:val="left"/>
              <w:rPr>
                <w:rFonts w:ascii="Calibri" w:eastAsia="Times New Roman" w:hAnsi="Calibri" w:cs="Calibri"/>
                <w:b/>
                <w:bCs/>
                <w:color w:val="000000"/>
                <w:sz w:val="16"/>
                <w:szCs w:val="16"/>
                <w:lang w:eastAsia="fr-BE"/>
              </w:rPr>
            </w:pPr>
            <w:r w:rsidRPr="00997125">
              <w:rPr>
                <w:rFonts w:ascii="Calibri" w:eastAsia="Times New Roman" w:hAnsi="Calibri" w:cs="Calibri"/>
                <w:b/>
                <w:bCs/>
                <w:color w:val="000000"/>
                <w:sz w:val="16"/>
                <w:szCs w:val="16"/>
                <w:lang w:eastAsia="fr-BE"/>
              </w:rPr>
              <w:t xml:space="preserve">Effects on </w:t>
            </w:r>
            <w:r w:rsidR="00F938C4" w:rsidRPr="00997125">
              <w:rPr>
                <w:rFonts w:ascii="Calibri" w:eastAsia="Times New Roman" w:hAnsi="Calibri" w:cs="Calibri"/>
                <w:b/>
                <w:bCs/>
                <w:color w:val="000000"/>
                <w:sz w:val="16"/>
                <w:szCs w:val="16"/>
                <w:lang w:eastAsia="fr-BE"/>
              </w:rPr>
              <w:t>FDI</w:t>
            </w:r>
          </w:p>
        </w:tc>
      </w:tr>
      <w:tr w:rsidR="008053C5" w:rsidRPr="00C11D4F" w14:paraId="4572EB6A" w14:textId="77777777" w:rsidTr="00997125">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451A9205" w14:textId="77777777" w:rsidR="00F938C4" w:rsidRPr="00997125" w:rsidRDefault="00F938C4" w:rsidP="006C5ABA">
            <w:pPr>
              <w:jc w:val="left"/>
              <w:rPr>
                <w:rFonts w:ascii="Calibri" w:hAnsi="Calibri" w:cs="Calibri"/>
                <w:color w:val="000000"/>
                <w:sz w:val="16"/>
                <w:szCs w:val="16"/>
              </w:rPr>
            </w:pPr>
            <w:proofErr w:type="spellStart"/>
            <w:r w:rsidRPr="00997125">
              <w:rPr>
                <w:rFonts w:ascii="Calibri" w:hAnsi="Calibri" w:cs="Calibri"/>
                <w:color w:val="000000"/>
                <w:sz w:val="16"/>
                <w:szCs w:val="16"/>
              </w:rPr>
              <w:t>Garsous</w:t>
            </w:r>
            <w:proofErr w:type="spellEnd"/>
            <w:r w:rsidRPr="00997125">
              <w:rPr>
                <w:rFonts w:ascii="Calibri" w:hAnsi="Calibri" w:cs="Calibri"/>
                <w:color w:val="000000"/>
                <w:sz w:val="16"/>
                <w:szCs w:val="16"/>
              </w:rPr>
              <w:t xml:space="preserve">, </w:t>
            </w:r>
            <w:proofErr w:type="spellStart"/>
            <w:proofErr w:type="gramStart"/>
            <w:r w:rsidRPr="00997125">
              <w:rPr>
                <w:rFonts w:ascii="Calibri" w:hAnsi="Calibri" w:cs="Calibri"/>
                <w:color w:val="000000"/>
                <w:sz w:val="16"/>
                <w:szCs w:val="16"/>
              </w:rPr>
              <w:t>Kozluk</w:t>
            </w:r>
            <w:proofErr w:type="spellEnd"/>
            <w:r w:rsidRPr="00997125">
              <w:rPr>
                <w:rFonts w:ascii="Calibri" w:hAnsi="Calibri" w:cs="Calibri"/>
                <w:color w:val="000000"/>
                <w:sz w:val="16"/>
                <w:szCs w:val="16"/>
              </w:rPr>
              <w:t>,&amp;</w:t>
            </w:r>
            <w:proofErr w:type="gramEnd"/>
            <w:r w:rsidRPr="00997125">
              <w:rPr>
                <w:rFonts w:ascii="Calibri" w:hAnsi="Calibri" w:cs="Calibri"/>
                <w:color w:val="000000"/>
                <w:sz w:val="16"/>
                <w:szCs w:val="16"/>
              </w:rPr>
              <w:t xml:space="preserve"> Dlugosch</w:t>
            </w:r>
          </w:p>
        </w:tc>
        <w:tc>
          <w:tcPr>
            <w:tcW w:w="567" w:type="dxa"/>
            <w:tcBorders>
              <w:top w:val="single" w:sz="4" w:space="0" w:color="auto"/>
              <w:left w:val="nil"/>
              <w:bottom w:val="single" w:sz="4" w:space="0" w:color="auto"/>
              <w:right w:val="single" w:sz="4" w:space="0" w:color="auto"/>
            </w:tcBorders>
            <w:shd w:val="clear" w:color="auto" w:fill="auto"/>
            <w:noWrap/>
          </w:tcPr>
          <w:p w14:paraId="276093D9"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2020</w:t>
            </w:r>
          </w:p>
        </w:tc>
        <w:tc>
          <w:tcPr>
            <w:tcW w:w="737" w:type="dxa"/>
            <w:tcBorders>
              <w:top w:val="single" w:sz="4" w:space="0" w:color="auto"/>
              <w:left w:val="nil"/>
              <w:bottom w:val="single" w:sz="4" w:space="0" w:color="auto"/>
              <w:right w:val="single" w:sz="4" w:space="0" w:color="auto"/>
            </w:tcBorders>
            <w:shd w:val="clear" w:color="auto" w:fill="auto"/>
            <w:noWrap/>
          </w:tcPr>
          <w:p w14:paraId="3F14B0FE"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24 OECD countries </w:t>
            </w:r>
          </w:p>
        </w:tc>
        <w:tc>
          <w:tcPr>
            <w:tcW w:w="582" w:type="dxa"/>
            <w:tcBorders>
              <w:top w:val="single" w:sz="4" w:space="0" w:color="auto"/>
              <w:left w:val="nil"/>
              <w:bottom w:val="single" w:sz="4" w:space="0" w:color="auto"/>
              <w:right w:val="single" w:sz="4" w:space="0" w:color="auto"/>
            </w:tcBorders>
            <w:shd w:val="clear" w:color="auto" w:fill="auto"/>
            <w:noWrap/>
          </w:tcPr>
          <w:p w14:paraId="17D6CCDA"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Energy price</w:t>
            </w:r>
          </w:p>
        </w:tc>
        <w:tc>
          <w:tcPr>
            <w:tcW w:w="984" w:type="dxa"/>
            <w:tcBorders>
              <w:top w:val="single" w:sz="4" w:space="0" w:color="auto"/>
              <w:left w:val="nil"/>
              <w:bottom w:val="single" w:sz="4" w:space="0" w:color="auto"/>
              <w:right w:val="single" w:sz="4" w:space="0" w:color="auto"/>
            </w:tcBorders>
            <w:shd w:val="clear" w:color="auto" w:fill="auto"/>
            <w:noWrap/>
          </w:tcPr>
          <w:p w14:paraId="267D9319"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Manufacturing</w:t>
            </w:r>
          </w:p>
        </w:tc>
        <w:tc>
          <w:tcPr>
            <w:tcW w:w="674" w:type="dxa"/>
            <w:tcBorders>
              <w:top w:val="single" w:sz="4" w:space="0" w:color="auto"/>
              <w:left w:val="nil"/>
              <w:bottom w:val="single" w:sz="4" w:space="0" w:color="auto"/>
              <w:right w:val="single" w:sz="4" w:space="0" w:color="auto"/>
            </w:tcBorders>
            <w:shd w:val="clear" w:color="auto" w:fill="auto"/>
            <w:noWrap/>
          </w:tcPr>
          <w:p w14:paraId="3A80FFFF"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1995-2008</w:t>
            </w:r>
          </w:p>
        </w:tc>
        <w:tc>
          <w:tcPr>
            <w:tcW w:w="1701" w:type="dxa"/>
            <w:tcBorders>
              <w:top w:val="single" w:sz="4" w:space="0" w:color="auto"/>
              <w:left w:val="nil"/>
              <w:bottom w:val="single" w:sz="4" w:space="0" w:color="auto"/>
              <w:right w:val="single" w:sz="4" w:space="0" w:color="auto"/>
            </w:tcBorders>
          </w:tcPr>
          <w:p w14:paraId="01E9B248"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Panel with company, </w:t>
            </w:r>
            <w:proofErr w:type="gramStart"/>
            <w:r w:rsidRPr="00997125">
              <w:rPr>
                <w:rFonts w:ascii="Calibri" w:hAnsi="Calibri" w:cs="Calibri"/>
                <w:color w:val="000000"/>
                <w:sz w:val="16"/>
                <w:szCs w:val="16"/>
              </w:rPr>
              <w:t>sector</w:t>
            </w:r>
            <w:proofErr w:type="gramEnd"/>
            <w:r w:rsidRPr="00997125">
              <w:rPr>
                <w:rFonts w:ascii="Calibri" w:hAnsi="Calibri" w:cs="Calibri"/>
                <w:color w:val="000000"/>
                <w:sz w:val="16"/>
                <w:szCs w:val="16"/>
              </w:rPr>
              <w:t xml:space="preserve"> and year fixed effects. 2SLS (N=3364)</w:t>
            </w:r>
          </w:p>
        </w:tc>
        <w:tc>
          <w:tcPr>
            <w:tcW w:w="3260" w:type="dxa"/>
            <w:tcBorders>
              <w:top w:val="single" w:sz="4" w:space="0" w:color="auto"/>
              <w:left w:val="single" w:sz="4" w:space="0" w:color="auto"/>
              <w:bottom w:val="single" w:sz="4" w:space="0" w:color="auto"/>
              <w:right w:val="single" w:sz="4" w:space="0" w:color="auto"/>
            </w:tcBorders>
          </w:tcPr>
          <w:p w14:paraId="7D69230F"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A 10% increase in energy prices in the country where a company is listed, leads to a 5% increase in its international assets as a proportion of its total assets.</w:t>
            </w:r>
          </w:p>
        </w:tc>
      </w:tr>
      <w:tr w:rsidR="008053C5" w:rsidRPr="00C11D4F" w14:paraId="26121B52" w14:textId="77777777" w:rsidTr="00997125">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64BE20BD"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Dlugosch &amp; </w:t>
            </w:r>
            <w:proofErr w:type="spellStart"/>
            <w:r w:rsidRPr="00997125">
              <w:rPr>
                <w:rFonts w:ascii="Calibri" w:hAnsi="Calibri" w:cs="Calibri"/>
                <w:color w:val="000000"/>
                <w:sz w:val="16"/>
                <w:szCs w:val="16"/>
              </w:rPr>
              <w:t>Kozluk</w:t>
            </w:r>
            <w:proofErr w:type="spellEnd"/>
          </w:p>
        </w:tc>
        <w:tc>
          <w:tcPr>
            <w:tcW w:w="567" w:type="dxa"/>
            <w:tcBorders>
              <w:top w:val="single" w:sz="4" w:space="0" w:color="auto"/>
              <w:left w:val="nil"/>
              <w:bottom w:val="single" w:sz="4" w:space="0" w:color="auto"/>
              <w:right w:val="single" w:sz="4" w:space="0" w:color="auto"/>
            </w:tcBorders>
            <w:shd w:val="clear" w:color="auto" w:fill="auto"/>
            <w:noWrap/>
          </w:tcPr>
          <w:p w14:paraId="6CFAEDB1"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2017</w:t>
            </w:r>
          </w:p>
        </w:tc>
        <w:tc>
          <w:tcPr>
            <w:tcW w:w="737" w:type="dxa"/>
            <w:tcBorders>
              <w:top w:val="single" w:sz="4" w:space="0" w:color="auto"/>
              <w:left w:val="nil"/>
              <w:bottom w:val="single" w:sz="4" w:space="0" w:color="auto"/>
              <w:right w:val="single" w:sz="4" w:space="0" w:color="auto"/>
            </w:tcBorders>
            <w:shd w:val="clear" w:color="auto" w:fill="auto"/>
            <w:noWrap/>
          </w:tcPr>
          <w:p w14:paraId="717D82E1"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30 OECD countries</w:t>
            </w:r>
          </w:p>
        </w:tc>
        <w:tc>
          <w:tcPr>
            <w:tcW w:w="582" w:type="dxa"/>
            <w:tcBorders>
              <w:top w:val="single" w:sz="4" w:space="0" w:color="auto"/>
              <w:left w:val="nil"/>
              <w:bottom w:val="single" w:sz="4" w:space="0" w:color="auto"/>
              <w:right w:val="single" w:sz="4" w:space="0" w:color="auto"/>
            </w:tcBorders>
            <w:shd w:val="clear" w:color="auto" w:fill="auto"/>
            <w:noWrap/>
          </w:tcPr>
          <w:p w14:paraId="7712DB02"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Energy price</w:t>
            </w:r>
          </w:p>
        </w:tc>
        <w:tc>
          <w:tcPr>
            <w:tcW w:w="984" w:type="dxa"/>
            <w:tcBorders>
              <w:top w:val="single" w:sz="4" w:space="0" w:color="auto"/>
              <w:left w:val="nil"/>
              <w:bottom w:val="single" w:sz="4" w:space="0" w:color="auto"/>
              <w:right w:val="single" w:sz="4" w:space="0" w:color="auto"/>
            </w:tcBorders>
            <w:shd w:val="clear" w:color="auto" w:fill="auto"/>
            <w:noWrap/>
          </w:tcPr>
          <w:p w14:paraId="2968E3DF"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Manufacturing</w:t>
            </w:r>
          </w:p>
        </w:tc>
        <w:tc>
          <w:tcPr>
            <w:tcW w:w="674" w:type="dxa"/>
            <w:tcBorders>
              <w:top w:val="single" w:sz="4" w:space="0" w:color="auto"/>
              <w:left w:val="nil"/>
              <w:bottom w:val="single" w:sz="4" w:space="0" w:color="auto"/>
              <w:right w:val="single" w:sz="4" w:space="0" w:color="auto"/>
            </w:tcBorders>
            <w:shd w:val="clear" w:color="auto" w:fill="auto"/>
            <w:noWrap/>
          </w:tcPr>
          <w:p w14:paraId="37FABD80"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1995-2011</w:t>
            </w:r>
          </w:p>
        </w:tc>
        <w:tc>
          <w:tcPr>
            <w:tcW w:w="1701" w:type="dxa"/>
            <w:tcBorders>
              <w:top w:val="single" w:sz="4" w:space="0" w:color="auto"/>
              <w:left w:val="nil"/>
              <w:bottom w:val="single" w:sz="4" w:space="0" w:color="auto"/>
              <w:right w:val="single" w:sz="4" w:space="0" w:color="auto"/>
            </w:tcBorders>
          </w:tcPr>
          <w:p w14:paraId="2944A906"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Panel with company and year fixed effects. </w:t>
            </w:r>
          </w:p>
        </w:tc>
        <w:tc>
          <w:tcPr>
            <w:tcW w:w="3260" w:type="dxa"/>
            <w:tcBorders>
              <w:top w:val="single" w:sz="4" w:space="0" w:color="auto"/>
              <w:left w:val="single" w:sz="4" w:space="0" w:color="auto"/>
              <w:bottom w:val="single" w:sz="4" w:space="0" w:color="auto"/>
              <w:right w:val="single" w:sz="4" w:space="0" w:color="auto"/>
            </w:tcBorders>
          </w:tcPr>
          <w:p w14:paraId="4A1516A2" w14:textId="423A133A"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An increase in energy prices is associated with </w:t>
            </w:r>
            <w:r w:rsidR="0016611D">
              <w:rPr>
                <w:rFonts w:ascii="Calibri" w:hAnsi="Calibri" w:cs="Calibri"/>
                <w:color w:val="000000"/>
                <w:sz w:val="16"/>
                <w:szCs w:val="16"/>
              </w:rPr>
              <w:t>lower domestic investment. However, total investment is unaffected for medium energy intensive companies and increases for energy intensive companies</w:t>
            </w:r>
            <w:r w:rsidRPr="00997125">
              <w:rPr>
                <w:rFonts w:ascii="Calibri" w:hAnsi="Calibri" w:cs="Calibri"/>
                <w:color w:val="000000"/>
                <w:sz w:val="16"/>
                <w:szCs w:val="16"/>
              </w:rPr>
              <w:t xml:space="preserve">. </w:t>
            </w:r>
          </w:p>
        </w:tc>
      </w:tr>
      <w:tr w:rsidR="008053C5" w:rsidRPr="00C11D4F" w14:paraId="78EB5793" w14:textId="77777777" w:rsidTr="00997125">
        <w:trPr>
          <w:trHeight w:val="288"/>
        </w:trPr>
        <w:tc>
          <w:tcPr>
            <w:tcW w:w="846" w:type="dxa"/>
            <w:tcBorders>
              <w:top w:val="nil"/>
              <w:left w:val="single" w:sz="4" w:space="0" w:color="auto"/>
              <w:bottom w:val="single" w:sz="4" w:space="0" w:color="auto"/>
              <w:right w:val="single" w:sz="4" w:space="0" w:color="auto"/>
            </w:tcBorders>
            <w:shd w:val="clear" w:color="auto" w:fill="auto"/>
            <w:noWrap/>
            <w:hideMark/>
          </w:tcPr>
          <w:p w14:paraId="1FAEE3CB" w14:textId="77777777" w:rsidR="00F938C4" w:rsidRPr="00997125" w:rsidRDefault="00F938C4" w:rsidP="006C5ABA">
            <w:pPr>
              <w:jc w:val="left"/>
              <w:rPr>
                <w:rFonts w:ascii="Calibri" w:eastAsia="Times New Roman" w:hAnsi="Calibri" w:cs="Calibri"/>
                <w:color w:val="000000"/>
                <w:sz w:val="16"/>
                <w:szCs w:val="16"/>
                <w:lang w:eastAsia="fr-BE"/>
              </w:rPr>
            </w:pPr>
            <w:proofErr w:type="spellStart"/>
            <w:r w:rsidRPr="00997125">
              <w:rPr>
                <w:rFonts w:ascii="Calibri" w:hAnsi="Calibri" w:cs="Calibri"/>
                <w:color w:val="000000"/>
                <w:sz w:val="16"/>
                <w:szCs w:val="16"/>
              </w:rPr>
              <w:t>Borghesi</w:t>
            </w:r>
            <w:proofErr w:type="spellEnd"/>
            <w:r w:rsidRPr="00997125">
              <w:rPr>
                <w:rFonts w:ascii="Calibri" w:hAnsi="Calibri" w:cs="Calibri"/>
                <w:color w:val="000000"/>
                <w:sz w:val="16"/>
                <w:szCs w:val="16"/>
              </w:rPr>
              <w:t xml:space="preserve">, Franco &amp; Marin </w:t>
            </w:r>
          </w:p>
        </w:tc>
        <w:tc>
          <w:tcPr>
            <w:tcW w:w="567" w:type="dxa"/>
            <w:tcBorders>
              <w:top w:val="nil"/>
              <w:left w:val="nil"/>
              <w:bottom w:val="single" w:sz="4" w:space="0" w:color="auto"/>
              <w:right w:val="single" w:sz="4" w:space="0" w:color="auto"/>
            </w:tcBorders>
            <w:shd w:val="clear" w:color="auto" w:fill="auto"/>
            <w:noWrap/>
            <w:hideMark/>
          </w:tcPr>
          <w:p w14:paraId="1365B5C5"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2018</w:t>
            </w:r>
          </w:p>
        </w:tc>
        <w:tc>
          <w:tcPr>
            <w:tcW w:w="737" w:type="dxa"/>
            <w:tcBorders>
              <w:top w:val="nil"/>
              <w:left w:val="nil"/>
              <w:bottom w:val="single" w:sz="4" w:space="0" w:color="auto"/>
              <w:right w:val="single" w:sz="4" w:space="0" w:color="auto"/>
            </w:tcBorders>
            <w:shd w:val="clear" w:color="auto" w:fill="auto"/>
            <w:noWrap/>
            <w:hideMark/>
          </w:tcPr>
          <w:p w14:paraId="3FFB03EF"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Italy</w:t>
            </w:r>
          </w:p>
        </w:tc>
        <w:tc>
          <w:tcPr>
            <w:tcW w:w="582" w:type="dxa"/>
            <w:tcBorders>
              <w:top w:val="nil"/>
              <w:left w:val="nil"/>
              <w:bottom w:val="single" w:sz="4" w:space="0" w:color="auto"/>
              <w:right w:val="single" w:sz="4" w:space="0" w:color="auto"/>
            </w:tcBorders>
            <w:shd w:val="clear" w:color="auto" w:fill="auto"/>
            <w:noWrap/>
            <w:hideMark/>
          </w:tcPr>
          <w:p w14:paraId="1BD2B899"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984" w:type="dxa"/>
            <w:tcBorders>
              <w:top w:val="nil"/>
              <w:left w:val="nil"/>
              <w:bottom w:val="single" w:sz="4" w:space="0" w:color="auto"/>
              <w:right w:val="single" w:sz="4" w:space="0" w:color="auto"/>
            </w:tcBorders>
            <w:shd w:val="clear" w:color="auto" w:fill="auto"/>
            <w:noWrap/>
            <w:hideMark/>
          </w:tcPr>
          <w:p w14:paraId="7E009813"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74" w:type="dxa"/>
            <w:tcBorders>
              <w:top w:val="nil"/>
              <w:left w:val="nil"/>
              <w:bottom w:val="single" w:sz="4" w:space="0" w:color="auto"/>
              <w:right w:val="single" w:sz="4" w:space="0" w:color="auto"/>
            </w:tcBorders>
            <w:shd w:val="clear" w:color="auto" w:fill="auto"/>
            <w:noWrap/>
            <w:hideMark/>
          </w:tcPr>
          <w:p w14:paraId="77D71094"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2002-2010</w:t>
            </w:r>
          </w:p>
        </w:tc>
        <w:tc>
          <w:tcPr>
            <w:tcW w:w="1701" w:type="dxa"/>
            <w:tcBorders>
              <w:top w:val="single" w:sz="4" w:space="0" w:color="auto"/>
              <w:left w:val="nil"/>
              <w:bottom w:val="single" w:sz="4" w:space="0" w:color="auto"/>
              <w:right w:val="single" w:sz="4" w:space="0" w:color="auto"/>
            </w:tcBorders>
          </w:tcPr>
          <w:p w14:paraId="10A3EB64"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Difference in Difference at firm level, matching</w:t>
            </w:r>
          </w:p>
        </w:tc>
        <w:tc>
          <w:tcPr>
            <w:tcW w:w="3260" w:type="dxa"/>
            <w:tcBorders>
              <w:top w:val="nil"/>
              <w:left w:val="single" w:sz="4" w:space="0" w:color="auto"/>
              <w:bottom w:val="single" w:sz="4" w:space="0" w:color="auto"/>
              <w:right w:val="single" w:sz="4" w:space="0" w:color="auto"/>
            </w:tcBorders>
          </w:tcPr>
          <w:p w14:paraId="7B8A04E9"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ETS had significant effect on FDI for all sectors during 2008-2010, effect is more pronounced in leakage-exposed sectors.</w:t>
            </w:r>
          </w:p>
        </w:tc>
      </w:tr>
      <w:tr w:rsidR="008053C5" w:rsidRPr="00C11D4F" w14:paraId="61053B31" w14:textId="77777777" w:rsidTr="00997125">
        <w:trPr>
          <w:trHeight w:val="288"/>
        </w:trPr>
        <w:tc>
          <w:tcPr>
            <w:tcW w:w="846" w:type="dxa"/>
            <w:tcBorders>
              <w:top w:val="nil"/>
              <w:left w:val="single" w:sz="4" w:space="0" w:color="auto"/>
              <w:bottom w:val="single" w:sz="4" w:space="0" w:color="auto"/>
              <w:right w:val="single" w:sz="4" w:space="0" w:color="auto"/>
            </w:tcBorders>
            <w:shd w:val="clear" w:color="auto" w:fill="auto"/>
            <w:noWrap/>
            <w:hideMark/>
          </w:tcPr>
          <w:p w14:paraId="778BA932"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Koch &amp; Basse</w:t>
            </w:r>
          </w:p>
        </w:tc>
        <w:tc>
          <w:tcPr>
            <w:tcW w:w="567" w:type="dxa"/>
            <w:tcBorders>
              <w:top w:val="nil"/>
              <w:left w:val="nil"/>
              <w:bottom w:val="single" w:sz="4" w:space="0" w:color="auto"/>
              <w:right w:val="single" w:sz="4" w:space="0" w:color="auto"/>
            </w:tcBorders>
            <w:shd w:val="clear" w:color="auto" w:fill="auto"/>
            <w:noWrap/>
            <w:hideMark/>
          </w:tcPr>
          <w:p w14:paraId="43E6DAAD"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2016</w:t>
            </w:r>
          </w:p>
        </w:tc>
        <w:tc>
          <w:tcPr>
            <w:tcW w:w="737" w:type="dxa"/>
            <w:tcBorders>
              <w:top w:val="nil"/>
              <w:left w:val="nil"/>
              <w:bottom w:val="single" w:sz="4" w:space="0" w:color="auto"/>
              <w:right w:val="single" w:sz="4" w:space="0" w:color="auto"/>
            </w:tcBorders>
            <w:shd w:val="clear" w:color="auto" w:fill="auto"/>
            <w:noWrap/>
            <w:hideMark/>
          </w:tcPr>
          <w:p w14:paraId="0A5FEDE7"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Germany</w:t>
            </w:r>
          </w:p>
        </w:tc>
        <w:tc>
          <w:tcPr>
            <w:tcW w:w="582" w:type="dxa"/>
            <w:tcBorders>
              <w:top w:val="nil"/>
              <w:left w:val="nil"/>
              <w:bottom w:val="single" w:sz="4" w:space="0" w:color="auto"/>
              <w:right w:val="single" w:sz="4" w:space="0" w:color="auto"/>
            </w:tcBorders>
            <w:shd w:val="clear" w:color="auto" w:fill="auto"/>
            <w:noWrap/>
            <w:hideMark/>
          </w:tcPr>
          <w:p w14:paraId="1D365C3C"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ETS</w:t>
            </w:r>
          </w:p>
        </w:tc>
        <w:tc>
          <w:tcPr>
            <w:tcW w:w="984" w:type="dxa"/>
            <w:tcBorders>
              <w:top w:val="nil"/>
              <w:left w:val="nil"/>
              <w:bottom w:val="single" w:sz="4" w:space="0" w:color="auto"/>
              <w:right w:val="single" w:sz="4" w:space="0" w:color="auto"/>
            </w:tcBorders>
            <w:shd w:val="clear" w:color="auto" w:fill="auto"/>
            <w:noWrap/>
            <w:hideMark/>
          </w:tcPr>
          <w:p w14:paraId="497D2ECE"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Manufacturing</w:t>
            </w:r>
          </w:p>
        </w:tc>
        <w:tc>
          <w:tcPr>
            <w:tcW w:w="674" w:type="dxa"/>
            <w:tcBorders>
              <w:top w:val="nil"/>
              <w:left w:val="nil"/>
              <w:bottom w:val="single" w:sz="4" w:space="0" w:color="auto"/>
              <w:right w:val="single" w:sz="4" w:space="0" w:color="auto"/>
            </w:tcBorders>
            <w:shd w:val="clear" w:color="auto" w:fill="auto"/>
            <w:noWrap/>
            <w:hideMark/>
          </w:tcPr>
          <w:p w14:paraId="627979D6" w14:textId="77777777" w:rsidR="00F938C4" w:rsidRPr="00997125" w:rsidRDefault="00F938C4" w:rsidP="006C5ABA">
            <w:pPr>
              <w:jc w:val="left"/>
              <w:rPr>
                <w:rFonts w:ascii="Calibri" w:eastAsia="Times New Roman" w:hAnsi="Calibri" w:cs="Calibri"/>
                <w:color w:val="000000"/>
                <w:sz w:val="16"/>
                <w:szCs w:val="16"/>
                <w:lang w:eastAsia="fr-BE"/>
              </w:rPr>
            </w:pPr>
            <w:r w:rsidRPr="00997125">
              <w:rPr>
                <w:rFonts w:ascii="Calibri" w:hAnsi="Calibri" w:cs="Calibri"/>
                <w:color w:val="000000"/>
                <w:sz w:val="16"/>
                <w:szCs w:val="16"/>
              </w:rPr>
              <w:t>1999-2013</w:t>
            </w:r>
          </w:p>
        </w:tc>
        <w:tc>
          <w:tcPr>
            <w:tcW w:w="1701" w:type="dxa"/>
            <w:tcBorders>
              <w:top w:val="single" w:sz="4" w:space="0" w:color="auto"/>
              <w:left w:val="nil"/>
              <w:bottom w:val="single" w:sz="4" w:space="0" w:color="auto"/>
              <w:right w:val="single" w:sz="4" w:space="0" w:color="auto"/>
            </w:tcBorders>
          </w:tcPr>
          <w:p w14:paraId="6944013F"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 Difference in Difference at firm level, matching</w:t>
            </w:r>
          </w:p>
        </w:tc>
        <w:tc>
          <w:tcPr>
            <w:tcW w:w="3260" w:type="dxa"/>
            <w:tcBorders>
              <w:top w:val="nil"/>
              <w:left w:val="single" w:sz="4" w:space="0" w:color="auto"/>
              <w:bottom w:val="single" w:sz="4" w:space="0" w:color="auto"/>
              <w:right w:val="single" w:sz="4" w:space="0" w:color="auto"/>
            </w:tcBorders>
          </w:tcPr>
          <w:p w14:paraId="70F0CD69" w14:textId="77777777" w:rsidR="00F938C4" w:rsidRPr="00997125" w:rsidRDefault="00F938C4" w:rsidP="006C5ABA">
            <w:pPr>
              <w:jc w:val="left"/>
              <w:rPr>
                <w:rFonts w:ascii="Calibri" w:hAnsi="Calibri" w:cs="Calibri"/>
                <w:color w:val="000000"/>
                <w:sz w:val="16"/>
                <w:szCs w:val="16"/>
              </w:rPr>
            </w:pPr>
            <w:r w:rsidRPr="00997125">
              <w:rPr>
                <w:rFonts w:ascii="Calibri" w:hAnsi="Calibri" w:cs="Calibri"/>
                <w:color w:val="000000"/>
                <w:sz w:val="16"/>
                <w:szCs w:val="16"/>
              </w:rPr>
              <w:t xml:space="preserve">Insignificant effect on FDI overall, "non-process" regulated sectors (machinery, electrical </w:t>
            </w:r>
            <w:proofErr w:type="gramStart"/>
            <w:r w:rsidRPr="00997125">
              <w:rPr>
                <w:rFonts w:ascii="Calibri" w:hAnsi="Calibri" w:cs="Calibri"/>
                <w:color w:val="000000"/>
                <w:sz w:val="16"/>
                <w:szCs w:val="16"/>
              </w:rPr>
              <w:t>equipment</w:t>
            </w:r>
            <w:proofErr w:type="gramEnd"/>
            <w:r w:rsidRPr="00997125">
              <w:rPr>
                <w:rFonts w:ascii="Calibri" w:hAnsi="Calibri" w:cs="Calibri"/>
                <w:color w:val="000000"/>
                <w:sz w:val="16"/>
                <w:szCs w:val="16"/>
              </w:rPr>
              <w:t xml:space="preserve"> and automotive sectors), increase FDI by 50%</w:t>
            </w:r>
          </w:p>
        </w:tc>
      </w:tr>
    </w:tbl>
    <w:p w14:paraId="29612679" w14:textId="49007A14" w:rsidR="009239BD" w:rsidRPr="00EF7889" w:rsidRDefault="009239BD" w:rsidP="00997125">
      <w:pPr>
        <w:pStyle w:val="Para0"/>
        <w:ind w:left="0"/>
        <w:rPr>
          <w:highlight w:val="lightGray"/>
        </w:rPr>
      </w:pPr>
    </w:p>
    <w:p w14:paraId="0F0DAF93" w14:textId="7B969942" w:rsidR="004D61AD" w:rsidRDefault="004D61AD" w:rsidP="004D61AD">
      <w:pPr>
        <w:pStyle w:val="Titre2"/>
      </w:pPr>
      <w:bookmarkStart w:id="50" w:name="_Toc8153895"/>
      <w:bookmarkStart w:id="51" w:name="_Toc19721939"/>
      <w:r>
        <w:t xml:space="preserve">Economic outcomes: Turnover, value added, total assets, investment, employment, </w:t>
      </w:r>
      <w:proofErr w:type="gramStart"/>
      <w:r>
        <w:t>productivity</w:t>
      </w:r>
      <w:proofErr w:type="gramEnd"/>
      <w:r>
        <w:t xml:space="preserve"> and profit</w:t>
      </w:r>
      <w:bookmarkEnd w:id="50"/>
      <w:bookmarkEnd w:id="51"/>
    </w:p>
    <w:p w14:paraId="1B15560C" w14:textId="52382EDC" w:rsidR="004D61AD" w:rsidRPr="00FC2112" w:rsidRDefault="004D61AD" w:rsidP="004D61AD">
      <w:pPr>
        <w:pStyle w:val="Para0"/>
        <w:rPr>
          <w:highlight w:val="lightGray"/>
        </w:rPr>
      </w:pPr>
      <w:r w:rsidRPr="00FC2112">
        <w:t xml:space="preserve">The results from empirical studies on the impact of carbon pricing on selected economic variables are mixed, with most studies finding no statistically significant effects. </w:t>
      </w:r>
      <w:r w:rsidR="003B3DEA">
        <w:t xml:space="preserve">Table 4 </w:t>
      </w:r>
      <w:r w:rsidRPr="00FC2112">
        <w:t xml:space="preserve">lists several recent studies that robustly apply state-of-the-art econometric techniques. The datasets used for most </w:t>
      </w:r>
      <w:r w:rsidRPr="00FC2112">
        <w:lastRenderedPageBreak/>
        <w:t>studies allow the authors to investigate the effect of carbon pricing on many economic variables simultaneously. Most studies do not find a statistically significant effect from carbon pricing on variables such as turnover, value added, total assets, investment, and employment, meaning that the current design of pricing schemes ha</w:t>
      </w:r>
      <w:r w:rsidR="00BD27DE">
        <w:t>s</w:t>
      </w:r>
      <w:r w:rsidRPr="00FC2112">
        <w:t xml:space="preserve"> had no detrimental impact on proxies for competitiveness.</w:t>
      </w:r>
    </w:p>
    <w:p w14:paraId="1C92D451" w14:textId="78087945" w:rsidR="004D61AD" w:rsidRPr="00FC2112" w:rsidRDefault="004D61AD" w:rsidP="004D61AD">
      <w:pPr>
        <w:pStyle w:val="Para0"/>
        <w:rPr>
          <w:highlight w:val="lightGray"/>
        </w:rPr>
      </w:pPr>
      <w:r w:rsidRPr="00FC2112">
        <w:t>Carbon pricing has recently been assessed as having a positive effect on the turnover of regulated firms. Turnover (value of sales) and value added (value of sales minus costs of intermediary inputs) is a proxy for the market share of firms subject to international competition. Finding a positive impact of carbon pricing on turnover can be the result of cost pass through of carbon (opportunity) costs as</w:t>
      </w:r>
      <w:r w:rsidR="008C70EB">
        <w:t xml:space="preserve"> well </w:t>
      </w:r>
      <w:proofErr w:type="gramStart"/>
      <w:r w:rsidR="008C70EB">
        <w:t>as</w:t>
      </w:r>
      <w:r w:rsidRPr="00FC2112">
        <w:t xml:space="preserve"> a result of</w:t>
      </w:r>
      <w:proofErr w:type="gramEnd"/>
      <w:r w:rsidRPr="00FC2112">
        <w:t xml:space="preserve"> efficiency gains. This will be discussed further below.</w:t>
      </w:r>
      <w:r w:rsidR="009803D3">
        <w:t xml:space="preserve"> </w:t>
      </w:r>
      <w:r w:rsidR="00BC12A8">
        <w:t>Evidence from China suggests that the 6 pilot ETSs reduced GHG emissions without coming at the expense of reducing economic growth (Dong et al., 2019).</w:t>
      </w:r>
    </w:p>
    <w:p w14:paraId="47E7E59E" w14:textId="506A8596" w:rsidR="004D61AD" w:rsidRPr="00EF7889" w:rsidRDefault="004D61AD" w:rsidP="004D61AD">
      <w:pPr>
        <w:pStyle w:val="Para0"/>
        <w:rPr>
          <w:highlight w:val="lightGray"/>
        </w:rPr>
      </w:pPr>
      <w:r w:rsidRPr="00FC2112">
        <w:t>Carbon pricing tends to increase total assets and investments. Finding a positive effect of carbon pricing on investment and total assets is in line with firms investing in abatement technology (see second-order effect above). Many abatement options require investments in more modern fixed assets, e.g. better insulated kilns, variable speed drive motors, and installations for heat recovery. On the other hand, expectations about lower production levels and</w:t>
      </w:r>
      <w:r>
        <w:t xml:space="preserve"> profitability may hamper investment. Only one out of the six studies in our sample find</w:t>
      </w:r>
      <w:r w:rsidR="008F3F9E">
        <w:t>s</w:t>
      </w:r>
      <w:r>
        <w:t xml:space="preserve"> a negative effect</w:t>
      </w:r>
      <w:r w:rsidR="008F3F9E">
        <w:t xml:space="preserve">; </w:t>
      </w:r>
      <w:r>
        <w:t>three report a positive effect, one finds effects to be mixed</w:t>
      </w:r>
      <w:r w:rsidR="008F3F9E">
        <w:t>;</w:t>
      </w:r>
      <w:r>
        <w:t xml:space="preserve"> and one could not find a statistically significant effect.</w:t>
      </w:r>
    </w:p>
    <w:p w14:paraId="14E4A0A2" w14:textId="60A42375" w:rsidR="004D61AD" w:rsidRPr="00FC2112" w:rsidRDefault="004D61AD" w:rsidP="004D61AD">
      <w:pPr>
        <w:pStyle w:val="Para0"/>
      </w:pPr>
      <w:r w:rsidRPr="00FC2112">
        <w:t xml:space="preserve">Carbon pricing can impact employment via </w:t>
      </w:r>
      <w:r w:rsidR="006A1E1E">
        <w:t>three</w:t>
      </w:r>
      <w:r w:rsidRPr="00FC2112">
        <w:t xml:space="preserve"> channels</w:t>
      </w:r>
      <w:r w:rsidR="006A1E1E">
        <w:t xml:space="preserve"> (</w:t>
      </w:r>
      <w:proofErr w:type="spellStart"/>
      <w:r w:rsidR="006A1E1E">
        <w:t>Hille</w:t>
      </w:r>
      <w:proofErr w:type="spellEnd"/>
      <w:r w:rsidR="006A1E1E">
        <w:t xml:space="preserve"> </w:t>
      </w:r>
      <w:r w:rsidR="00311CDD">
        <w:t>and</w:t>
      </w:r>
      <w:r w:rsidR="006A1E1E">
        <w:t xml:space="preserve"> Möbius 2020)</w:t>
      </w:r>
      <w:r w:rsidRPr="00FC2112">
        <w:t xml:space="preserve">. First, increasing production costs may force firms to increase product prices, resulting in lower product demand and thus lower levels of employment. Second, abating emissions </w:t>
      </w:r>
      <w:r w:rsidR="008777A0">
        <w:t>can</w:t>
      </w:r>
      <w:r w:rsidR="006A1E1E">
        <w:t xml:space="preserve"> be obtained by substituting </w:t>
      </w:r>
      <w:r w:rsidR="00646BF9">
        <w:t>fossil fuels</w:t>
      </w:r>
      <w:r w:rsidR="006A1E1E">
        <w:t xml:space="preserve"> for labour, increasing employment. Third</w:t>
      </w:r>
      <w:r w:rsidR="0074741A">
        <w:t>,</w:t>
      </w:r>
      <w:r w:rsidR="006A1E1E">
        <w:t xml:space="preserve"> </w:t>
      </w:r>
      <w:r w:rsidR="00646BF9">
        <w:t>substituting fossil fuels for emission</w:t>
      </w:r>
      <w:r w:rsidRPr="00FC2112">
        <w:t xml:space="preserve"> abatement technologies increases the demand for labour</w:t>
      </w:r>
      <w:r w:rsidR="006A1E1E">
        <w:t xml:space="preserve"> </w:t>
      </w:r>
      <w:r w:rsidR="00F0354E">
        <w:t xml:space="preserve">in </w:t>
      </w:r>
      <w:r w:rsidR="006A1E1E">
        <w:t>upstream</w:t>
      </w:r>
      <w:r w:rsidR="00F0354E">
        <w:t xml:space="preserve"> sectors</w:t>
      </w:r>
      <w:r w:rsidR="00174073">
        <w:t xml:space="preserve"> (</w:t>
      </w:r>
      <w:proofErr w:type="spellStart"/>
      <w:r w:rsidR="00174073">
        <w:t>Hille</w:t>
      </w:r>
      <w:proofErr w:type="spellEnd"/>
      <w:r w:rsidR="00174073">
        <w:t xml:space="preserve"> </w:t>
      </w:r>
      <w:r w:rsidR="006C5382">
        <w:t>and</w:t>
      </w:r>
      <w:r w:rsidR="00174073">
        <w:t xml:space="preserve"> Möbius 2020)</w:t>
      </w:r>
      <w:r w:rsidRPr="00FC2112">
        <w:t xml:space="preserve">. Empirically, most studies find an insignificant effect of the EU ETS on employment. When effects of the EU ETS on employment have been noted, they tend to be small ranging from a decrease 2% (Marin, Marino and </w:t>
      </w:r>
      <w:proofErr w:type="spellStart"/>
      <w:r w:rsidRPr="00FC2112">
        <w:t>Pellegrin</w:t>
      </w:r>
      <w:proofErr w:type="spellEnd"/>
      <w:r w:rsidRPr="00FC2112">
        <w:t xml:space="preserve"> </w:t>
      </w:r>
      <w:r w:rsidR="00311CDD" w:rsidRPr="0096259C">
        <w:rPr>
          <w:noProof/>
        </w:rPr>
        <w:t>(2018</w:t>
      </w:r>
      <w:r w:rsidR="00311CDD" w:rsidRPr="0096259C">
        <w:rPr>
          <w:noProof/>
          <w:vertAlign w:val="subscript"/>
        </w:rPr>
        <w:t>[31]</w:t>
      </w:r>
      <w:r w:rsidR="00311CDD" w:rsidRPr="0096259C">
        <w:rPr>
          <w:noProof/>
        </w:rPr>
        <w:t>)</w:t>
      </w:r>
      <w:r w:rsidRPr="00FC2112">
        <w:t xml:space="preserve"> for phase I of the EU ETS) to an increase of 1.5% (</w:t>
      </w:r>
      <w:proofErr w:type="spellStart"/>
      <w:r w:rsidRPr="00FC2112">
        <w:t>Commins</w:t>
      </w:r>
      <w:proofErr w:type="spellEnd"/>
      <w:r w:rsidRPr="00FC2112">
        <w:t xml:space="preserve"> et al. </w:t>
      </w:r>
      <w:r w:rsidR="00311CDD" w:rsidRPr="0096259C">
        <w:rPr>
          <w:noProof/>
        </w:rPr>
        <w:t>(2011</w:t>
      </w:r>
      <w:r w:rsidR="00311CDD" w:rsidRPr="0096259C">
        <w:rPr>
          <w:noProof/>
          <w:vertAlign w:val="subscript"/>
        </w:rPr>
        <w:t>[32]</w:t>
      </w:r>
      <w:r w:rsidR="00311CDD" w:rsidRPr="0096259C">
        <w:rPr>
          <w:noProof/>
        </w:rPr>
        <w:t>)</w:t>
      </w:r>
      <w:r w:rsidRPr="00FC2112">
        <w:t xml:space="preserve"> for phase I). </w:t>
      </w:r>
      <w:r w:rsidR="006A1E1E">
        <w:t>Other studies have investigated the effect of energy price</w:t>
      </w:r>
      <w:r w:rsidR="00646BF9">
        <w:t>s</w:t>
      </w:r>
      <w:r w:rsidR="006A1E1E">
        <w:t xml:space="preserve"> on employment. Earlier studies in the US found that higher electricity prices led to </w:t>
      </w:r>
      <w:r w:rsidR="0074741A">
        <w:t>lower</w:t>
      </w:r>
      <w:r w:rsidR="006A1E1E">
        <w:t xml:space="preserve"> employment</w:t>
      </w:r>
      <w:r w:rsidR="0074741A">
        <w:t>, essentially in energy-intensive sectors</w:t>
      </w:r>
      <w:r w:rsidR="006A1E1E">
        <w:t xml:space="preserve"> (</w:t>
      </w:r>
      <w:proofErr w:type="spellStart"/>
      <w:r w:rsidR="006A1E1E">
        <w:t>Deschênes</w:t>
      </w:r>
      <w:proofErr w:type="spellEnd"/>
      <w:r w:rsidR="006A1E1E">
        <w:t xml:space="preserve"> 2001</w:t>
      </w:r>
      <w:r w:rsidR="0074741A">
        <w:t xml:space="preserve">, Kahn </w:t>
      </w:r>
      <w:r w:rsidR="00311CDD">
        <w:t>and</w:t>
      </w:r>
      <w:r w:rsidR="0074741A">
        <w:t xml:space="preserve"> Mansur 2013</w:t>
      </w:r>
      <w:r w:rsidR="00F0354E">
        <w:t>). But</w:t>
      </w:r>
      <w:r w:rsidR="0074741A">
        <w:t xml:space="preserve"> more recent studies</w:t>
      </w:r>
      <w:r w:rsidR="00174073" w:rsidRPr="00174073">
        <w:t xml:space="preserve"> </w:t>
      </w:r>
      <w:r w:rsidR="00174073">
        <w:t xml:space="preserve">concluded the opposite, that higher energy costs lead to higher employment. This was due to </w:t>
      </w:r>
      <w:r w:rsidR="0074741A">
        <w:t>spill overs</w:t>
      </w:r>
      <w:r w:rsidR="00174073">
        <w:t xml:space="preserve"> effects</w:t>
      </w:r>
      <w:r w:rsidR="0074741A">
        <w:t xml:space="preserve"> </w:t>
      </w:r>
      <w:r w:rsidR="00174073">
        <w:t>i</w:t>
      </w:r>
      <w:r w:rsidR="0074741A">
        <w:t>n sectors</w:t>
      </w:r>
      <w:r w:rsidR="00174073">
        <w:t xml:space="preserve"> with low energy consumption</w:t>
      </w:r>
      <w:r w:rsidR="0074741A">
        <w:t xml:space="preserve"> </w:t>
      </w:r>
      <w:r w:rsidR="00646BF9">
        <w:t xml:space="preserve">(Yamazaki 2017) </w:t>
      </w:r>
      <w:r w:rsidR="0074741A">
        <w:t xml:space="preserve">and </w:t>
      </w:r>
      <w:r w:rsidR="00174073">
        <w:t xml:space="preserve">due to </w:t>
      </w:r>
      <w:r w:rsidR="0074741A">
        <w:t xml:space="preserve">substitution </w:t>
      </w:r>
      <w:r w:rsidR="00174073">
        <w:t>effects in production</w:t>
      </w:r>
      <w:r w:rsidR="00646BF9">
        <w:t xml:space="preserve"> (</w:t>
      </w:r>
      <w:proofErr w:type="spellStart"/>
      <w:r w:rsidR="00646BF9">
        <w:t>Hille</w:t>
      </w:r>
      <w:proofErr w:type="spellEnd"/>
      <w:r w:rsidR="00646BF9">
        <w:t xml:space="preserve"> </w:t>
      </w:r>
      <w:r w:rsidR="00311CDD">
        <w:t>and</w:t>
      </w:r>
      <w:r w:rsidR="00646BF9">
        <w:t xml:space="preserve"> Möbius 2020)</w:t>
      </w:r>
      <w:r w:rsidR="00174073">
        <w:t>.</w:t>
      </w:r>
      <w:r w:rsidR="0074741A">
        <w:t xml:space="preserve"> </w:t>
      </w:r>
    </w:p>
    <w:p w14:paraId="21F32EA3" w14:textId="64546EBB" w:rsidR="004D61AD" w:rsidRPr="00FC2112" w:rsidRDefault="004D61AD" w:rsidP="004D61AD">
      <w:pPr>
        <w:pStyle w:val="Para0"/>
      </w:pPr>
      <w:r w:rsidRPr="00FC2112">
        <w:t>Carbon pricing has been found by most studies to increase productivity</w:t>
      </w:r>
      <w:r>
        <w:t xml:space="preserve"> (</w:t>
      </w:r>
      <w:r w:rsidR="00E90440">
        <w:t xml:space="preserve">Table </w:t>
      </w:r>
      <w:r w:rsidR="003B3DEA">
        <w:t>4</w:t>
      </w:r>
      <w:r w:rsidRPr="00FC2112">
        <w:t xml:space="preserve">). Environmental regulation increases innovation (see below) which will improve productivity, i.e. the efficiency of turning inputs (labour, </w:t>
      </w:r>
      <w:proofErr w:type="gramStart"/>
      <w:r w:rsidRPr="00FC2112">
        <w:t>capital</w:t>
      </w:r>
      <w:proofErr w:type="gramEnd"/>
      <w:r w:rsidRPr="00FC2112">
        <w:t xml:space="preserve"> and natural resources) into output. The effect on total factor productivity are found to be either small (</w:t>
      </w:r>
      <w:r w:rsidR="00311CDD" w:rsidRPr="0096259C">
        <w:rPr>
          <w:noProof/>
        </w:rPr>
        <w:t>(</w:t>
      </w:r>
      <w:proofErr w:type="spellStart"/>
      <w:r w:rsidR="00311CDD" w:rsidRPr="0096259C">
        <w:rPr>
          <w:noProof/>
        </w:rPr>
        <w:t>Calligaris</w:t>
      </w:r>
      <w:proofErr w:type="spellEnd"/>
      <w:r w:rsidR="00311CDD" w:rsidRPr="0096259C">
        <w:rPr>
          <w:noProof/>
        </w:rPr>
        <w:t>, Arcangelo and Pavan, 2018</w:t>
      </w:r>
      <w:r w:rsidR="00311CDD" w:rsidRPr="0096259C">
        <w:rPr>
          <w:noProof/>
          <w:vertAlign w:val="subscript"/>
        </w:rPr>
        <w:t>[33]</w:t>
      </w:r>
      <w:r w:rsidR="00311CDD" w:rsidRPr="0096259C">
        <w:rPr>
          <w:noProof/>
        </w:rPr>
        <w:t>)</w:t>
      </w:r>
      <w:r w:rsidRPr="00FC2112">
        <w:t xml:space="preserve">, </w:t>
      </w:r>
      <w:r w:rsidR="00311CDD" w:rsidRPr="0096259C">
        <w:rPr>
          <w:noProof/>
        </w:rPr>
        <w:t>(Commins et al., 2011</w:t>
      </w:r>
      <w:r w:rsidR="00311CDD" w:rsidRPr="0096259C">
        <w:rPr>
          <w:noProof/>
          <w:vertAlign w:val="subscript"/>
        </w:rPr>
        <w:t>[32]</w:t>
      </w:r>
      <w:r w:rsidR="00311CDD" w:rsidRPr="0096259C">
        <w:rPr>
          <w:noProof/>
        </w:rPr>
        <w:t>)</w:t>
      </w:r>
      <w:r w:rsidRPr="00FC2112">
        <w:t xml:space="preserve">) or statistically insignificant </w:t>
      </w:r>
      <w:r w:rsidR="00311CDD" w:rsidRPr="0096259C">
        <w:rPr>
          <w:noProof/>
        </w:rPr>
        <w:t>(Löschel, Lutz and Managi, 2018</w:t>
      </w:r>
      <w:r w:rsidR="00311CDD" w:rsidRPr="0096259C">
        <w:rPr>
          <w:noProof/>
          <w:vertAlign w:val="subscript"/>
        </w:rPr>
        <w:t>[34]</w:t>
      </w:r>
      <w:r w:rsidR="00311CDD" w:rsidRPr="0096259C">
        <w:rPr>
          <w:noProof/>
        </w:rPr>
        <w:t>)</w:t>
      </w:r>
      <w:r w:rsidRPr="00FC2112">
        <w:t xml:space="preserve">. </w:t>
      </w:r>
      <w:r w:rsidR="00D4435F">
        <w:t>Effects may be heterogenous, however. Some studies find that environmental costs boost productivity only for firms with high human capital (</w:t>
      </w:r>
      <w:proofErr w:type="spellStart"/>
      <w:r w:rsidR="00D4435F">
        <w:t>Gonseth</w:t>
      </w:r>
      <w:proofErr w:type="spellEnd"/>
      <w:r w:rsidR="00D4435F">
        <w:t xml:space="preserve"> et al. 2015) or firms that are already highly productive (</w:t>
      </w:r>
      <w:proofErr w:type="spellStart"/>
      <w:r w:rsidR="00D4435F">
        <w:t>Albrizio</w:t>
      </w:r>
      <w:proofErr w:type="spellEnd"/>
      <w:r w:rsidR="00D4435F">
        <w:t xml:space="preserve"> 2014) and reduces productivity otherwise. </w:t>
      </w:r>
      <w:r w:rsidRPr="00FC2112">
        <w:t xml:space="preserve">Many studies find large increases in labour productivity measured as value added per unit of labour of up to 26% </w:t>
      </w:r>
      <w:r w:rsidR="00311CDD" w:rsidRPr="0096259C">
        <w:rPr>
          <w:noProof/>
        </w:rPr>
        <w:t>(Klemetsen, Rosendahl and Jakobsen, 2016</w:t>
      </w:r>
      <w:r w:rsidR="00311CDD" w:rsidRPr="0096259C">
        <w:rPr>
          <w:noProof/>
          <w:vertAlign w:val="subscript"/>
        </w:rPr>
        <w:t>[35]</w:t>
      </w:r>
      <w:r w:rsidR="00311CDD" w:rsidRPr="0096259C">
        <w:rPr>
          <w:noProof/>
        </w:rPr>
        <w:t>)</w:t>
      </w:r>
      <w:r w:rsidRPr="00FC2112">
        <w:t>. This reflects the results reported above as the effect on employment tends to be very small while turnover increased</w:t>
      </w:r>
      <w:r w:rsidR="00B85D14">
        <w:t xml:space="preserve"> (Mar</w:t>
      </w:r>
      <w:r w:rsidR="00311CDD">
        <w:t>in</w:t>
      </w:r>
      <w:r w:rsidR="00B85D14">
        <w:t>, Marino</w:t>
      </w:r>
      <w:r w:rsidR="00B163F7">
        <w:t xml:space="preserve"> and</w:t>
      </w:r>
      <w:r w:rsidR="00B85D14">
        <w:t xml:space="preserve"> </w:t>
      </w:r>
      <w:proofErr w:type="spellStart"/>
      <w:r w:rsidR="00B85D14">
        <w:t>Pellegrin</w:t>
      </w:r>
      <w:proofErr w:type="spellEnd"/>
      <w:r w:rsidR="00B85D14">
        <w:t xml:space="preserve"> 2018)</w:t>
      </w:r>
      <w:r w:rsidRPr="00FC2112">
        <w:t xml:space="preserve">.  </w:t>
      </w:r>
    </w:p>
    <w:p w14:paraId="0950D725" w14:textId="13AA3545" w:rsidR="004D61AD" w:rsidRPr="000B7215" w:rsidRDefault="004D61AD" w:rsidP="004D61AD">
      <w:pPr>
        <w:pStyle w:val="Para0"/>
      </w:pPr>
      <w:r w:rsidRPr="00FC2112">
        <w:t>The ability of sectors to pass through costs differs considerably between economic sectors. Sectors with low international competition can pass through their carbon costs on sales prices and firms can be expected to preserve both their profit margin and in</w:t>
      </w:r>
      <w:r>
        <w:t>centive for future investment. In contrast, sectors subject to strong international competition cannot fully pass through carbon costs because an increase in sales prices will have a strong effect on sales. Cost</w:t>
      </w:r>
      <w:r w:rsidR="008F3F9E">
        <w:t xml:space="preserve"> </w:t>
      </w:r>
      <w:r>
        <w:t>pass</w:t>
      </w:r>
      <w:r w:rsidR="008F3F9E">
        <w:t>-</w:t>
      </w:r>
      <w:r>
        <w:t xml:space="preserve">through rates have been found </w:t>
      </w:r>
      <w:r>
        <w:lastRenderedPageBreak/>
        <w:t xml:space="preserve">to be around 30% in the cement sector (de </w:t>
      </w:r>
      <w:proofErr w:type="spellStart"/>
      <w:r>
        <w:t>Bruyn</w:t>
      </w:r>
      <w:proofErr w:type="spellEnd"/>
      <w:r>
        <w:t xml:space="preserve"> et al. </w:t>
      </w:r>
      <w:r w:rsidR="00311CDD" w:rsidRPr="0096259C">
        <w:rPr>
          <w:noProof/>
        </w:rPr>
        <w:t>(2015</w:t>
      </w:r>
      <w:r w:rsidR="00311CDD" w:rsidRPr="0096259C">
        <w:rPr>
          <w:noProof/>
          <w:vertAlign w:val="subscript"/>
        </w:rPr>
        <w:t>[36]</w:t>
      </w:r>
      <w:r w:rsidR="00311CDD" w:rsidRPr="0096259C">
        <w:rPr>
          <w:noProof/>
        </w:rPr>
        <w:t>)</w:t>
      </w:r>
      <w:r>
        <w:t xml:space="preserve">), between 55 and 85% in the iron and steel sector (de </w:t>
      </w:r>
      <w:proofErr w:type="spellStart"/>
      <w:r>
        <w:t>Bruyn</w:t>
      </w:r>
      <w:proofErr w:type="spellEnd"/>
      <w:r>
        <w:t xml:space="preserve"> et al. </w:t>
      </w:r>
      <w:r w:rsidR="00311CDD" w:rsidRPr="0096259C">
        <w:rPr>
          <w:noProof/>
        </w:rPr>
        <w:t>(2015</w:t>
      </w:r>
      <w:r w:rsidR="00311CDD" w:rsidRPr="0096259C">
        <w:rPr>
          <w:noProof/>
          <w:vertAlign w:val="subscript"/>
        </w:rPr>
        <w:t>[36]</w:t>
      </w:r>
      <w:r w:rsidR="00311CDD" w:rsidRPr="0096259C">
        <w:rPr>
          <w:noProof/>
        </w:rPr>
        <w:t>)</w:t>
      </w:r>
      <w:r>
        <w:t xml:space="preserve">) and above 80% in the petrochemical sector </w:t>
      </w:r>
      <w:r w:rsidR="00311CDD" w:rsidRPr="0096259C">
        <w:rPr>
          <w:noProof/>
        </w:rPr>
        <w:t>(Alexeeva-Talebi, 2011</w:t>
      </w:r>
      <w:r w:rsidR="00311CDD" w:rsidRPr="0096259C">
        <w:rPr>
          <w:noProof/>
          <w:vertAlign w:val="subscript"/>
        </w:rPr>
        <w:t>[37]</w:t>
      </w:r>
      <w:r w:rsidR="00311CDD" w:rsidRPr="0096259C">
        <w:rPr>
          <w:noProof/>
        </w:rPr>
        <w:t>)</w:t>
      </w:r>
      <w:r>
        <w:t>.</w:t>
      </w:r>
      <w:r w:rsidRPr="009F702F">
        <w:t xml:space="preserve"> </w:t>
      </w:r>
      <w:r w:rsidRPr="00FB5DE5">
        <w:t>Generally, a higher market</w:t>
      </w:r>
      <w:r>
        <w:t xml:space="preserve"> </w:t>
      </w:r>
      <w:r w:rsidRPr="00FB5DE5">
        <w:t xml:space="preserve">concentration seems to be associated with a higher ability to </w:t>
      </w:r>
      <w:r>
        <w:t>pass through</w:t>
      </w:r>
      <w:r w:rsidRPr="00FB5DE5">
        <w:t xml:space="preserve"> costs</w:t>
      </w:r>
      <w:r>
        <w:t xml:space="preserve"> (de </w:t>
      </w:r>
      <w:proofErr w:type="spellStart"/>
      <w:r>
        <w:t>Bruyn</w:t>
      </w:r>
      <w:proofErr w:type="spellEnd"/>
      <w:r>
        <w:t xml:space="preserve"> et al. </w:t>
      </w:r>
      <w:r w:rsidR="00311CDD" w:rsidRPr="0096259C">
        <w:rPr>
          <w:noProof/>
        </w:rPr>
        <w:t>(2015</w:t>
      </w:r>
      <w:r w:rsidR="00311CDD" w:rsidRPr="0096259C">
        <w:rPr>
          <w:noProof/>
          <w:vertAlign w:val="subscript"/>
        </w:rPr>
        <w:t>[36]</w:t>
      </w:r>
      <w:r w:rsidR="00311CDD" w:rsidRPr="0096259C">
        <w:rPr>
          <w:noProof/>
        </w:rPr>
        <w:t>)</w:t>
      </w:r>
      <w:r>
        <w:t>)</w:t>
      </w:r>
      <w:r w:rsidRPr="00FB5DE5">
        <w:t>.</w:t>
      </w:r>
    </w:p>
    <w:p w14:paraId="7D5A5531" w14:textId="1A6BA3AA" w:rsidR="004D61AD" w:rsidRDefault="004D61AD" w:rsidP="004D61AD">
      <w:pPr>
        <w:pStyle w:val="Para0"/>
      </w:pPr>
      <w:r w:rsidRPr="00FC2112">
        <w:t>Carbon pricing has not been found to negatively impact profits, but differences between sectors exist. While abatement</w:t>
      </w:r>
      <w:r>
        <w:t xml:space="preserve"> costs as well as direct and indirect carbon costs decrease profits and hamper future investments, free</w:t>
      </w:r>
      <w:r w:rsidR="008F3F9E">
        <w:t xml:space="preserve"> </w:t>
      </w:r>
      <w:r>
        <w:t>allocation may at the same time have increased profits of regulated firms.</w:t>
      </w:r>
      <w:r>
        <w:rPr>
          <w:rStyle w:val="Appelnotedebasdep"/>
        </w:rPr>
        <w:footnoteReference w:id="14"/>
      </w:r>
      <w:r>
        <w:t xml:space="preserve"> Most ex-post studies do not find </w:t>
      </w:r>
      <w:r w:rsidR="008F3F9E">
        <w:t xml:space="preserve">any </w:t>
      </w:r>
      <w:r>
        <w:t>effects of the EU ETS on profits overall (</w:t>
      </w:r>
      <w:r w:rsidR="00311CDD" w:rsidRPr="0096259C">
        <w:rPr>
          <w:noProof/>
        </w:rPr>
        <w:t>(Dechezleprêtre, Nachtigall and Venmans, 2018</w:t>
      </w:r>
      <w:r w:rsidR="00311CDD" w:rsidRPr="0096259C">
        <w:rPr>
          <w:noProof/>
          <w:vertAlign w:val="subscript"/>
        </w:rPr>
        <w:t>[38]</w:t>
      </w:r>
      <w:r w:rsidR="00311CDD" w:rsidRPr="0096259C">
        <w:rPr>
          <w:noProof/>
        </w:rPr>
        <w:t>)</w:t>
      </w:r>
      <w:r>
        <w:t xml:space="preserve">, </w:t>
      </w:r>
      <w:r w:rsidR="00311CDD" w:rsidRPr="0096259C">
        <w:rPr>
          <w:noProof/>
        </w:rPr>
        <w:t>(Abrell, Ndoye Faye and Zachmann, 2011</w:t>
      </w:r>
      <w:r w:rsidR="00311CDD" w:rsidRPr="0096259C">
        <w:rPr>
          <w:noProof/>
          <w:vertAlign w:val="subscript"/>
        </w:rPr>
        <w:t>[39]</w:t>
      </w:r>
      <w:r w:rsidR="00311CDD" w:rsidRPr="0096259C">
        <w:rPr>
          <w:noProof/>
        </w:rPr>
        <w:t>)</w:t>
      </w:r>
      <w:r>
        <w:t>). However,</w:t>
      </w:r>
      <w:r w:rsidR="00373D04">
        <w:t xml:space="preserve"> </w:t>
      </w:r>
      <w:r w:rsidR="00BC12A8">
        <w:t xml:space="preserve">Makridou et al. (2019) </w:t>
      </w:r>
      <w:r w:rsidR="00373D04">
        <w:t>find increased profits</w:t>
      </w:r>
      <w:r>
        <w:t xml:space="preserve"> </w:t>
      </w:r>
      <w:r w:rsidR="00373D04">
        <w:t xml:space="preserve">for energy efficient firms whereas </w:t>
      </w:r>
      <w:proofErr w:type="spellStart"/>
      <w:r>
        <w:t>Abrell</w:t>
      </w:r>
      <w:proofErr w:type="spellEnd"/>
      <w:r>
        <w:t>,</w:t>
      </w:r>
      <w:r w:rsidRPr="00CE7489">
        <w:rPr>
          <w:noProof/>
        </w:rPr>
        <w:t xml:space="preserve"> </w:t>
      </w:r>
      <w:r w:rsidRPr="00781336">
        <w:rPr>
          <w:noProof/>
        </w:rPr>
        <w:t>Ndoye Faye and Zachmann</w:t>
      </w:r>
      <w:r>
        <w:rPr>
          <w:noProof/>
        </w:rPr>
        <w:t xml:space="preserve"> </w:t>
      </w:r>
      <w:r w:rsidR="00311CDD" w:rsidRPr="00707CCE">
        <w:rPr>
          <w:noProof/>
        </w:rPr>
        <w:t>(2011</w:t>
      </w:r>
      <w:r w:rsidR="00311CDD" w:rsidRPr="00707CCE">
        <w:rPr>
          <w:noProof/>
          <w:vertAlign w:val="subscript"/>
        </w:rPr>
        <w:t>[39]</w:t>
      </w:r>
      <w:r w:rsidR="00311CDD" w:rsidRPr="00707CCE">
        <w:rPr>
          <w:noProof/>
        </w:rPr>
        <w:t>)</w:t>
      </w:r>
      <w:r w:rsidR="00373D04">
        <w:rPr>
          <w:noProof/>
        </w:rPr>
        <w:t xml:space="preserve"> find an increase in profits </w:t>
      </w:r>
      <w:r>
        <w:t>for the electricity and heat sector and a decrease for non-metallic mineral products, pointing to the fact that the electricity sector may have been in a better position to pass through the carbon costs to end-users.</w:t>
      </w:r>
      <w:r>
        <w:rPr>
          <w:rStyle w:val="Appelnotedebasdep"/>
        </w:rPr>
        <w:footnoteReference w:id="15"/>
      </w:r>
      <w:r w:rsidR="00225696">
        <w:t xml:space="preserve"> In Indonesia, small manufacturing business in locations with higher energy prices show a significant but small decrease in profitability (Rentsch</w:t>
      </w:r>
      <w:r w:rsidR="00165F2B">
        <w:t xml:space="preserve">ler &amp; </w:t>
      </w:r>
      <w:proofErr w:type="spellStart"/>
      <w:r w:rsidR="00165F2B">
        <w:t>Kornejew</w:t>
      </w:r>
      <w:proofErr w:type="spellEnd"/>
      <w:r w:rsidR="00165F2B">
        <w:t xml:space="preserve"> 2017)</w:t>
      </w:r>
      <w:r w:rsidR="00225696">
        <w:t>.</w:t>
      </w:r>
      <w:r w:rsidR="00165F2B">
        <w:t xml:space="preserve"> The effect is small because companies switch to other fuels, are more energy efficient and pass on energy costs to end-users. </w:t>
      </w:r>
      <w:r w:rsidR="00225696">
        <w:t xml:space="preserve"> </w:t>
      </w:r>
    </w:p>
    <w:p w14:paraId="0D834632" w14:textId="77777777" w:rsidR="004D61AD" w:rsidRDefault="004D61AD" w:rsidP="004D61AD">
      <w:pPr>
        <w:pStyle w:val="Titre2"/>
      </w:pPr>
      <w:bookmarkStart w:id="52" w:name="_Toc8061898"/>
      <w:bookmarkStart w:id="53" w:name="_Toc8153896"/>
      <w:bookmarkStart w:id="54" w:name="_Toc19721940"/>
      <w:r>
        <w:t>Technological outcomes: Innovation</w:t>
      </w:r>
      <w:bookmarkEnd w:id="52"/>
      <w:bookmarkEnd w:id="53"/>
      <w:bookmarkEnd w:id="54"/>
    </w:p>
    <w:p w14:paraId="0028965A" w14:textId="7ED6B8A2" w:rsidR="004D61AD" w:rsidRDefault="004D61AD" w:rsidP="004D61AD">
      <w:pPr>
        <w:pStyle w:val="Para0"/>
        <w:rPr>
          <w:b/>
        </w:rPr>
      </w:pPr>
      <w:r w:rsidRPr="00FC2112">
        <w:t>Carbon pricing drives innovation in clean technologies to a large extent, in some cases even without crowding out innovation for other technologies. Innovation</w:t>
      </w:r>
      <w:r w:rsidR="00797429">
        <w:t xml:space="preserve"> is typically measured by the number of low-carbon patents</w:t>
      </w:r>
      <w:r w:rsidR="00A70CF6">
        <w:t>.</w:t>
      </w:r>
      <w:r w:rsidR="0048418D">
        <w:rPr>
          <w:rStyle w:val="Appelnotedebasdep"/>
        </w:rPr>
        <w:footnoteReference w:id="16"/>
      </w:r>
      <w:r w:rsidR="00A70CF6">
        <w:t xml:space="preserve"> It</w:t>
      </w:r>
      <w:r w:rsidR="00797429">
        <w:t xml:space="preserve"> </w:t>
      </w:r>
      <w:r w:rsidR="00A70CF6">
        <w:t>is</w:t>
      </w:r>
      <w:r w:rsidR="00797429">
        <w:t xml:space="preserve"> </w:t>
      </w:r>
      <w:r w:rsidRPr="00FC2112">
        <w:t>the key channel to strengthen the competitiveness of firms in the long-run. The empirical evidence on the impact of carbon pricing or energy prices is most robust</w:t>
      </w:r>
      <w:r w:rsidR="008F3F9E">
        <w:t xml:space="preserve"> on this factor</w:t>
      </w:r>
      <w:r w:rsidRPr="00FC2112">
        <w:t xml:space="preserve">: all studies so far report </w:t>
      </w:r>
      <w:r>
        <w:t xml:space="preserve">statistically </w:t>
      </w:r>
      <w:r w:rsidRPr="00FC2112">
        <w:t>significant increases in patenting in response to carbon pricing (Calel</w:t>
      </w:r>
      <w:r w:rsidRPr="00283E4D">
        <w:t xml:space="preserve"> and Dechezleprêtre </w:t>
      </w:r>
      <w:r w:rsidR="00311CDD" w:rsidRPr="0096259C">
        <w:rPr>
          <w:noProof/>
        </w:rPr>
        <w:t>(2016</w:t>
      </w:r>
      <w:r w:rsidR="00311CDD" w:rsidRPr="0096259C">
        <w:rPr>
          <w:noProof/>
          <w:vertAlign w:val="subscript"/>
        </w:rPr>
        <w:t>[40]</w:t>
      </w:r>
      <w:r w:rsidR="00311CDD" w:rsidRPr="0096259C">
        <w:rPr>
          <w:noProof/>
        </w:rPr>
        <w:t>)</w:t>
      </w:r>
      <w:r>
        <w:t xml:space="preserve"> for the EU ETS, Cui, </w:t>
      </w:r>
      <w:r w:rsidRPr="00283E4D">
        <w:t>Z</w:t>
      </w:r>
      <w:r>
        <w:t>h</w:t>
      </w:r>
      <w:r w:rsidRPr="00283E4D">
        <w:t>ang and Zheng</w:t>
      </w:r>
      <w:r>
        <w:t xml:space="preserve"> </w:t>
      </w:r>
      <w:r w:rsidR="00BC12A8" w:rsidRPr="0096259C">
        <w:rPr>
          <w:noProof/>
        </w:rPr>
        <w:t>(2018</w:t>
      </w:r>
      <w:r w:rsidR="00BC12A8" w:rsidRPr="0096259C">
        <w:rPr>
          <w:noProof/>
          <w:vertAlign w:val="subscript"/>
        </w:rPr>
        <w:t>[41]</w:t>
      </w:r>
      <w:r w:rsidR="00BC12A8" w:rsidRPr="0096259C">
        <w:rPr>
          <w:noProof/>
        </w:rPr>
        <w:t>)</w:t>
      </w:r>
      <w:r>
        <w:t xml:space="preserve"> for </w:t>
      </w:r>
      <w:r w:rsidR="00DA500B">
        <w:t xml:space="preserve">the </w:t>
      </w:r>
      <w:r>
        <w:t>Chin</w:t>
      </w:r>
      <w:r w:rsidR="00DA500B">
        <w:t>ese ETS</w:t>
      </w:r>
      <w:r>
        <w:t>) or energy prices (</w:t>
      </w:r>
      <w:r w:rsidR="00311CDD">
        <w:rPr>
          <w:noProof/>
        </w:rPr>
        <w:t xml:space="preserve"> </w:t>
      </w:r>
      <w:r w:rsidR="00311CDD" w:rsidRPr="0096259C">
        <w:rPr>
          <w:noProof/>
        </w:rPr>
        <w:t>(Ley, Stucki and Woerter, 2016</w:t>
      </w:r>
      <w:r w:rsidR="00311CDD" w:rsidRPr="0096259C">
        <w:rPr>
          <w:noProof/>
          <w:vertAlign w:val="subscript"/>
        </w:rPr>
        <w:t>[42]</w:t>
      </w:r>
      <w:r w:rsidR="00311CDD" w:rsidRPr="0096259C">
        <w:rPr>
          <w:noProof/>
        </w:rPr>
        <w:t>)</w:t>
      </w:r>
      <w:r>
        <w:t xml:space="preserve"> and</w:t>
      </w:r>
      <w:r w:rsidR="00311CDD">
        <w:rPr>
          <w:noProof/>
        </w:rPr>
        <w:t xml:space="preserve"> </w:t>
      </w:r>
      <w:r w:rsidR="00311CDD" w:rsidRPr="0096259C">
        <w:rPr>
          <w:noProof/>
        </w:rPr>
        <w:t>(Aghion et al., 2016</w:t>
      </w:r>
      <w:r w:rsidR="00311CDD" w:rsidRPr="0096259C">
        <w:rPr>
          <w:noProof/>
          <w:vertAlign w:val="subscript"/>
        </w:rPr>
        <w:t>[43]</w:t>
      </w:r>
      <w:r w:rsidR="00311CDD" w:rsidRPr="0096259C">
        <w:rPr>
          <w:noProof/>
        </w:rPr>
        <w:t>)</w:t>
      </w:r>
      <w:r>
        <w:t xml:space="preserve"> for OECD countries). Notably, </w:t>
      </w:r>
      <w:r w:rsidRPr="00283E4D">
        <w:t xml:space="preserve">Calel and Dechezleprêtre </w:t>
      </w:r>
      <w:r w:rsidR="00311CDD" w:rsidRPr="0096259C">
        <w:rPr>
          <w:noProof/>
        </w:rPr>
        <w:t>(2016</w:t>
      </w:r>
      <w:r w:rsidR="00311CDD" w:rsidRPr="0096259C">
        <w:rPr>
          <w:noProof/>
          <w:vertAlign w:val="subscript"/>
        </w:rPr>
        <w:t>[40]</w:t>
      </w:r>
      <w:r w:rsidR="00311CDD" w:rsidRPr="0096259C">
        <w:rPr>
          <w:noProof/>
        </w:rPr>
        <w:t>)</w:t>
      </w:r>
      <w:r>
        <w:t xml:space="preserve"> </w:t>
      </w:r>
      <w:r w:rsidRPr="00283E4D">
        <w:t xml:space="preserve">find that EU ETS regulated </w:t>
      </w:r>
      <w:r>
        <w:t>firms</w:t>
      </w:r>
      <w:r w:rsidRPr="00283E4D">
        <w:t xml:space="preserve"> increased green patents by 10% compared to their non-regulated European peers, while not crowding out patenting for other technologies. Ley</w:t>
      </w:r>
      <w:r>
        <w:t xml:space="preserve">, Stucki and </w:t>
      </w:r>
      <w:proofErr w:type="spellStart"/>
      <w:r>
        <w:t>Woerter</w:t>
      </w:r>
      <w:proofErr w:type="spellEnd"/>
      <w:r w:rsidRPr="00283E4D">
        <w:t xml:space="preserve"> </w:t>
      </w:r>
      <w:r w:rsidR="00311CDD" w:rsidRPr="0096259C">
        <w:rPr>
          <w:noProof/>
        </w:rPr>
        <w:t>(2016</w:t>
      </w:r>
      <w:r w:rsidR="00311CDD" w:rsidRPr="0096259C">
        <w:rPr>
          <w:noProof/>
          <w:vertAlign w:val="subscript"/>
        </w:rPr>
        <w:t>[42]</w:t>
      </w:r>
      <w:r w:rsidR="00311CDD" w:rsidRPr="0096259C">
        <w:rPr>
          <w:noProof/>
        </w:rPr>
        <w:t>)</w:t>
      </w:r>
      <w:r w:rsidRPr="00283E4D">
        <w:t xml:space="preserve"> find that a 10% increase in energy prices in OECD countries increases the number of green innovations</w:t>
      </w:r>
      <w:r>
        <w:t xml:space="preserve"> </w:t>
      </w:r>
      <w:r w:rsidRPr="00283E4D">
        <w:t>by 3</w:t>
      </w:r>
      <w:r>
        <w:t>.</w:t>
      </w:r>
      <w:r w:rsidRPr="00283E4D">
        <w:t>4%</w:t>
      </w:r>
      <w:r>
        <w:t xml:space="preserve"> and </w:t>
      </w:r>
      <w:r w:rsidRPr="00E744E2">
        <w:t>the ratio of green innovation to non-green innovations</w:t>
      </w:r>
      <w:r>
        <w:t xml:space="preserve"> by 4.</w:t>
      </w:r>
      <w:r w:rsidRPr="00E744E2">
        <w:t>8%</w:t>
      </w:r>
      <w:r>
        <w:t>.</w:t>
      </w:r>
      <w:r w:rsidRPr="00927691">
        <w:rPr>
          <w:b/>
        </w:rPr>
        <w:t xml:space="preserve">  </w:t>
      </w:r>
    </w:p>
    <w:p w14:paraId="301CB84A" w14:textId="77777777" w:rsidR="004D61AD" w:rsidRPr="00927691" w:rsidRDefault="004D61AD" w:rsidP="004D61AD">
      <w:pPr>
        <w:pStyle w:val="Para"/>
        <w:numPr>
          <w:ilvl w:val="0"/>
          <w:numId w:val="0"/>
        </w:numPr>
        <w:rPr>
          <w:b/>
        </w:rPr>
        <w:sectPr w:rsidR="004D61AD" w:rsidRPr="00927691" w:rsidSect="00FF416A">
          <w:endnotePr>
            <w:numFmt w:val="decimal"/>
            <w:numRestart w:val="eachSect"/>
          </w:endnotePr>
          <w:type w:val="continuous"/>
          <w:pgSz w:w="11907" w:h="16840" w:code="9"/>
          <w:pgMar w:top="2098" w:right="1304" w:bottom="1928" w:left="1304" w:header="1531" w:footer="1134" w:gutter="0"/>
          <w:cols w:space="720"/>
          <w:docGrid w:linePitch="360"/>
        </w:sectPr>
      </w:pPr>
    </w:p>
    <w:p w14:paraId="58D6AE33" w14:textId="0EFC353A" w:rsidR="004D61AD" w:rsidRPr="00B2058F" w:rsidRDefault="00E90440" w:rsidP="004D61AD">
      <w:pPr>
        <w:pStyle w:val="Lgende"/>
        <w:rPr>
          <w:rFonts w:eastAsia="Batang"/>
        </w:rPr>
      </w:pPr>
      <w:bookmarkStart w:id="55" w:name="_Toc19721951"/>
      <w:bookmarkStart w:id="56" w:name="_Toc8061899"/>
      <w:bookmarkStart w:id="57" w:name="_Toc8153897"/>
      <w:r>
        <w:lastRenderedPageBreak/>
        <w:t xml:space="preserve">Table </w:t>
      </w:r>
      <w:r w:rsidR="003B3DEA">
        <w:t>4</w:t>
      </w:r>
      <w:r w:rsidR="004D61AD" w:rsidRPr="00961F86">
        <w:rPr>
          <w:rFonts w:eastAsia="Batang"/>
        </w:rPr>
        <w:t xml:space="preserve">. </w:t>
      </w:r>
      <w:r w:rsidR="004D61AD">
        <w:rPr>
          <w:rFonts w:eastAsia="Batang"/>
        </w:rPr>
        <w:t xml:space="preserve">Studies reporting effects from carbon pricing on turnover, value added, assets, investment, </w:t>
      </w:r>
      <w:proofErr w:type="gramStart"/>
      <w:r w:rsidR="004D61AD">
        <w:rPr>
          <w:rFonts w:eastAsia="Batang"/>
        </w:rPr>
        <w:t>productivity</w:t>
      </w:r>
      <w:proofErr w:type="gramEnd"/>
      <w:r w:rsidR="004D61AD">
        <w:rPr>
          <w:rFonts w:eastAsia="Batang"/>
        </w:rPr>
        <w:t xml:space="preserve"> and profit.</w:t>
      </w:r>
      <w:bookmarkEnd w:id="55"/>
    </w:p>
    <w:p w14:paraId="3EE5AF0C" w14:textId="7C929E80" w:rsidR="004D61AD" w:rsidRDefault="004D61AD" w:rsidP="004D61AD">
      <w:pPr>
        <w:pStyle w:val="Figure"/>
      </w:pPr>
    </w:p>
    <w:tbl>
      <w:tblPr>
        <w:tblStyle w:val="OECD"/>
        <w:tblW w:w="15808" w:type="dxa"/>
        <w:tblLayout w:type="fixed"/>
        <w:tblLook w:val="04A0" w:firstRow="1" w:lastRow="0" w:firstColumn="1" w:lastColumn="0" w:noHBand="0" w:noVBand="1"/>
      </w:tblPr>
      <w:tblGrid>
        <w:gridCol w:w="1276"/>
        <w:gridCol w:w="567"/>
        <w:gridCol w:w="851"/>
        <w:gridCol w:w="708"/>
        <w:gridCol w:w="993"/>
        <w:gridCol w:w="68"/>
        <w:gridCol w:w="640"/>
        <w:gridCol w:w="1275"/>
        <w:gridCol w:w="1885"/>
        <w:gridCol w:w="1885"/>
        <w:gridCol w:w="1885"/>
        <w:gridCol w:w="1885"/>
        <w:gridCol w:w="1890"/>
      </w:tblGrid>
      <w:tr w:rsidR="00E90440" w:rsidRPr="0005433E" w14:paraId="4577C9B2" w14:textId="77777777" w:rsidTr="0099712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vMerge w:val="restart"/>
            <w:noWrap/>
            <w:hideMark/>
          </w:tcPr>
          <w:p w14:paraId="02C23192" w14:textId="77777777" w:rsidR="00E90440" w:rsidRPr="001D71D9" w:rsidRDefault="00E90440" w:rsidP="00082770">
            <w:pPr>
              <w:jc w:val="left"/>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Authors</w:t>
            </w:r>
          </w:p>
        </w:tc>
        <w:tc>
          <w:tcPr>
            <w:tcW w:w="0" w:type="dxa"/>
            <w:vMerge w:val="restart"/>
            <w:noWrap/>
            <w:hideMark/>
          </w:tcPr>
          <w:p w14:paraId="6EF4640F" w14:textId="77777777" w:rsidR="00E90440" w:rsidRPr="001D71D9" w:rsidRDefault="00E90440" w:rsidP="000827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Year</w:t>
            </w:r>
          </w:p>
        </w:tc>
        <w:tc>
          <w:tcPr>
            <w:tcW w:w="0" w:type="dxa"/>
            <w:vMerge w:val="restart"/>
            <w:noWrap/>
            <w:hideMark/>
          </w:tcPr>
          <w:p w14:paraId="30AF923B" w14:textId="77777777" w:rsidR="00E90440" w:rsidRPr="001D71D9" w:rsidRDefault="00E90440" w:rsidP="000827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Country</w:t>
            </w:r>
          </w:p>
        </w:tc>
        <w:tc>
          <w:tcPr>
            <w:tcW w:w="0" w:type="dxa"/>
            <w:vMerge w:val="restart"/>
            <w:noWrap/>
            <w:hideMark/>
          </w:tcPr>
          <w:p w14:paraId="5A89B8E0" w14:textId="77777777" w:rsidR="00E90440" w:rsidRPr="001D71D9" w:rsidRDefault="00E90440" w:rsidP="000827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Policy</w:t>
            </w:r>
          </w:p>
        </w:tc>
        <w:tc>
          <w:tcPr>
            <w:tcW w:w="993" w:type="dxa"/>
            <w:vMerge w:val="restart"/>
            <w:noWrap/>
            <w:hideMark/>
          </w:tcPr>
          <w:p w14:paraId="7086423D" w14:textId="77777777" w:rsidR="00E90440" w:rsidRPr="001D71D9" w:rsidRDefault="00E90440" w:rsidP="000827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Sectors</w:t>
            </w:r>
          </w:p>
        </w:tc>
        <w:tc>
          <w:tcPr>
            <w:tcW w:w="708" w:type="dxa"/>
            <w:gridSpan w:val="2"/>
            <w:vMerge w:val="restart"/>
            <w:noWrap/>
            <w:hideMark/>
          </w:tcPr>
          <w:p w14:paraId="69A80855" w14:textId="77777777" w:rsidR="00E90440" w:rsidRPr="001D71D9" w:rsidRDefault="00E90440" w:rsidP="000827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 xml:space="preserve">Period </w:t>
            </w:r>
          </w:p>
        </w:tc>
        <w:tc>
          <w:tcPr>
            <w:tcW w:w="0" w:type="dxa"/>
            <w:vMerge w:val="restart"/>
            <w:tcBorders>
              <w:right w:val="single" w:sz="12" w:space="0" w:color="auto"/>
            </w:tcBorders>
            <w:noWrap/>
            <w:hideMark/>
          </w:tcPr>
          <w:p w14:paraId="6E548D8D" w14:textId="77777777" w:rsidR="00E90440" w:rsidRPr="001D71D9" w:rsidRDefault="00E90440" w:rsidP="000827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Sample Size</w:t>
            </w:r>
          </w:p>
        </w:tc>
        <w:tc>
          <w:tcPr>
            <w:tcW w:w="0" w:type="dxa"/>
            <w:gridSpan w:val="5"/>
            <w:tcBorders>
              <w:left w:val="single" w:sz="12" w:space="0" w:color="auto"/>
            </w:tcBorders>
            <w:noWrap/>
          </w:tcPr>
          <w:p w14:paraId="3CC750E9" w14:textId="77777777" w:rsidR="00E90440" w:rsidRPr="001D71D9" w:rsidRDefault="00E90440" w:rsidP="000827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val="0"/>
                <w:color w:val="000000"/>
                <w:sz w:val="16"/>
                <w:szCs w:val="16"/>
                <w:lang w:eastAsia="fr-BE"/>
              </w:rPr>
            </w:pPr>
            <w:r w:rsidRPr="001D71D9">
              <w:rPr>
                <w:rFonts w:ascii="Calibri" w:eastAsia="Times New Roman" w:hAnsi="Calibri" w:cs="Calibri"/>
                <w:b/>
                <w:bCs w:val="0"/>
                <w:color w:val="000000"/>
                <w:sz w:val="16"/>
                <w:szCs w:val="16"/>
                <w:lang w:eastAsia="fr-BE"/>
              </w:rPr>
              <w:t>Explained variable (left hand side)</w:t>
            </w:r>
          </w:p>
        </w:tc>
      </w:tr>
      <w:tr w:rsidR="00437E65" w:rsidRPr="001A3570" w14:paraId="1EF00A12" w14:textId="77777777" w:rsidTr="00677B5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12" w:space="0" w:color="auto"/>
            </w:tcBorders>
            <w:noWrap/>
          </w:tcPr>
          <w:p w14:paraId="1F817D58" w14:textId="77777777" w:rsidR="00E90440" w:rsidRPr="001D71D9" w:rsidRDefault="00E90440" w:rsidP="00082770">
            <w:pPr>
              <w:jc w:val="left"/>
              <w:rPr>
                <w:rFonts w:ascii="Calibri" w:eastAsia="Times New Roman" w:hAnsi="Calibri" w:cs="Calibri"/>
                <w:b/>
                <w:bCs w:val="0"/>
                <w:color w:val="000000"/>
                <w:sz w:val="16"/>
                <w:szCs w:val="16"/>
                <w:lang w:eastAsia="fr-BE"/>
              </w:rPr>
            </w:pPr>
          </w:p>
        </w:tc>
        <w:tc>
          <w:tcPr>
            <w:tcW w:w="567" w:type="dxa"/>
            <w:vMerge/>
            <w:tcBorders>
              <w:bottom w:val="single" w:sz="12" w:space="0" w:color="auto"/>
            </w:tcBorders>
            <w:noWrap/>
          </w:tcPr>
          <w:p w14:paraId="45B25DFA"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p>
        </w:tc>
        <w:tc>
          <w:tcPr>
            <w:tcW w:w="851" w:type="dxa"/>
            <w:vMerge/>
            <w:tcBorders>
              <w:bottom w:val="single" w:sz="12" w:space="0" w:color="auto"/>
            </w:tcBorders>
            <w:noWrap/>
          </w:tcPr>
          <w:p w14:paraId="66CC24D2"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p>
        </w:tc>
        <w:tc>
          <w:tcPr>
            <w:tcW w:w="708" w:type="dxa"/>
            <w:vMerge/>
            <w:tcBorders>
              <w:bottom w:val="single" w:sz="12" w:space="0" w:color="auto"/>
            </w:tcBorders>
            <w:noWrap/>
          </w:tcPr>
          <w:p w14:paraId="40AD86CC"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p>
        </w:tc>
        <w:tc>
          <w:tcPr>
            <w:tcW w:w="993" w:type="dxa"/>
            <w:vMerge/>
            <w:tcBorders>
              <w:bottom w:val="single" w:sz="12" w:space="0" w:color="auto"/>
            </w:tcBorders>
            <w:noWrap/>
          </w:tcPr>
          <w:p w14:paraId="5C191946"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p>
        </w:tc>
        <w:tc>
          <w:tcPr>
            <w:tcW w:w="708" w:type="dxa"/>
            <w:gridSpan w:val="2"/>
            <w:vMerge/>
            <w:tcBorders>
              <w:bottom w:val="single" w:sz="12" w:space="0" w:color="auto"/>
            </w:tcBorders>
            <w:noWrap/>
          </w:tcPr>
          <w:p w14:paraId="49EB721D"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p>
        </w:tc>
        <w:tc>
          <w:tcPr>
            <w:tcW w:w="1275" w:type="dxa"/>
            <w:vMerge/>
            <w:tcBorders>
              <w:bottom w:val="single" w:sz="12" w:space="0" w:color="auto"/>
              <w:right w:val="single" w:sz="12" w:space="0" w:color="auto"/>
            </w:tcBorders>
            <w:noWrap/>
          </w:tcPr>
          <w:p w14:paraId="68859AA6"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p>
        </w:tc>
        <w:tc>
          <w:tcPr>
            <w:tcW w:w="1885" w:type="dxa"/>
            <w:tcBorders>
              <w:left w:val="single" w:sz="12" w:space="0" w:color="auto"/>
              <w:bottom w:val="single" w:sz="12" w:space="0" w:color="auto"/>
            </w:tcBorders>
            <w:noWrap/>
          </w:tcPr>
          <w:p w14:paraId="688AC385"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r w:rsidRPr="001D71D9">
              <w:rPr>
                <w:rFonts w:ascii="Calibri" w:eastAsia="Times New Roman" w:hAnsi="Calibri" w:cs="Calibri"/>
                <w:b/>
                <w:bCs/>
                <w:color w:val="000000"/>
                <w:sz w:val="16"/>
                <w:szCs w:val="16"/>
                <w:lang w:eastAsia="fr-BE"/>
              </w:rPr>
              <w:t>Turnover &amp; Value Added</w:t>
            </w:r>
          </w:p>
        </w:tc>
        <w:tc>
          <w:tcPr>
            <w:tcW w:w="1885" w:type="dxa"/>
            <w:tcBorders>
              <w:bottom w:val="single" w:sz="12" w:space="0" w:color="auto"/>
            </w:tcBorders>
          </w:tcPr>
          <w:p w14:paraId="2E7BB0C4"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r w:rsidRPr="001D71D9">
              <w:rPr>
                <w:rFonts w:ascii="Calibri" w:eastAsia="Times New Roman" w:hAnsi="Calibri" w:cs="Calibri"/>
                <w:b/>
                <w:bCs/>
                <w:color w:val="000000"/>
                <w:sz w:val="16"/>
                <w:szCs w:val="16"/>
                <w:lang w:eastAsia="fr-BE"/>
              </w:rPr>
              <w:t>Total Assets &amp; Investment</w:t>
            </w:r>
          </w:p>
        </w:tc>
        <w:tc>
          <w:tcPr>
            <w:tcW w:w="1885" w:type="dxa"/>
            <w:tcBorders>
              <w:bottom w:val="single" w:sz="12" w:space="0" w:color="auto"/>
            </w:tcBorders>
          </w:tcPr>
          <w:p w14:paraId="5A3914CF"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r w:rsidRPr="001D71D9">
              <w:rPr>
                <w:rFonts w:ascii="Calibri" w:eastAsia="Times New Roman" w:hAnsi="Calibri" w:cs="Calibri"/>
                <w:b/>
                <w:bCs/>
                <w:color w:val="000000"/>
                <w:sz w:val="16"/>
                <w:szCs w:val="16"/>
                <w:lang w:eastAsia="fr-BE"/>
              </w:rPr>
              <w:t>Employment</w:t>
            </w:r>
          </w:p>
        </w:tc>
        <w:tc>
          <w:tcPr>
            <w:tcW w:w="1885" w:type="dxa"/>
            <w:tcBorders>
              <w:bottom w:val="single" w:sz="12" w:space="0" w:color="auto"/>
            </w:tcBorders>
          </w:tcPr>
          <w:p w14:paraId="5AE03F96"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r w:rsidRPr="001D71D9">
              <w:rPr>
                <w:rFonts w:ascii="Calibri" w:eastAsia="Times New Roman" w:hAnsi="Calibri" w:cs="Calibri"/>
                <w:b/>
                <w:bCs/>
                <w:color w:val="000000"/>
                <w:sz w:val="16"/>
                <w:szCs w:val="16"/>
                <w:lang w:eastAsia="fr-BE"/>
              </w:rPr>
              <w:t>Productivity</w:t>
            </w:r>
          </w:p>
        </w:tc>
        <w:tc>
          <w:tcPr>
            <w:tcW w:w="1890" w:type="dxa"/>
            <w:tcBorders>
              <w:bottom w:val="single" w:sz="12" w:space="0" w:color="auto"/>
            </w:tcBorders>
          </w:tcPr>
          <w:p w14:paraId="67F43708"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fr-BE"/>
              </w:rPr>
            </w:pPr>
            <w:r w:rsidRPr="001D71D9">
              <w:rPr>
                <w:rFonts w:ascii="Calibri" w:eastAsia="Times New Roman" w:hAnsi="Calibri" w:cs="Calibri"/>
                <w:b/>
                <w:bCs/>
                <w:color w:val="000000"/>
                <w:sz w:val="16"/>
                <w:szCs w:val="16"/>
                <w:lang w:eastAsia="fr-BE"/>
              </w:rPr>
              <w:t>Profit</w:t>
            </w:r>
          </w:p>
        </w:tc>
      </w:tr>
      <w:tr w:rsidR="00437E65" w:rsidRPr="0005433E" w14:paraId="2A19C523"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auto"/>
              <w:bottom w:val="nil"/>
            </w:tcBorders>
            <w:noWrap/>
          </w:tcPr>
          <w:p w14:paraId="79BF180C" w14:textId="77777777" w:rsidR="00E90440" w:rsidRPr="001D71D9" w:rsidRDefault="00E90440" w:rsidP="00082770">
            <w:pPr>
              <w:jc w:val="left"/>
              <w:rPr>
                <w:rFonts w:ascii="Calibri" w:hAnsi="Calibri" w:cs="Calibri"/>
                <w:color w:val="000000"/>
                <w:sz w:val="16"/>
                <w:szCs w:val="16"/>
              </w:rPr>
            </w:pPr>
            <w:proofErr w:type="spellStart"/>
            <w:r w:rsidRPr="001D71D9">
              <w:rPr>
                <w:rFonts w:ascii="Calibri" w:hAnsi="Calibri" w:cs="Calibri"/>
                <w:color w:val="000000"/>
                <w:sz w:val="16"/>
                <w:szCs w:val="16"/>
              </w:rPr>
              <w:t>Hille</w:t>
            </w:r>
            <w:proofErr w:type="spellEnd"/>
            <w:r w:rsidRPr="001D71D9">
              <w:rPr>
                <w:rFonts w:ascii="Calibri" w:hAnsi="Calibri" w:cs="Calibri"/>
                <w:color w:val="000000"/>
                <w:sz w:val="16"/>
                <w:szCs w:val="16"/>
              </w:rPr>
              <w:t xml:space="preserve"> &amp; Möbius</w:t>
            </w:r>
          </w:p>
        </w:tc>
        <w:tc>
          <w:tcPr>
            <w:tcW w:w="567" w:type="dxa"/>
            <w:tcBorders>
              <w:top w:val="single" w:sz="12" w:space="0" w:color="auto"/>
              <w:bottom w:val="nil"/>
            </w:tcBorders>
            <w:noWrap/>
          </w:tcPr>
          <w:p w14:paraId="330A7773"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2020</w:t>
            </w:r>
          </w:p>
        </w:tc>
        <w:tc>
          <w:tcPr>
            <w:tcW w:w="851" w:type="dxa"/>
            <w:tcBorders>
              <w:top w:val="single" w:sz="12" w:space="0" w:color="auto"/>
              <w:bottom w:val="nil"/>
            </w:tcBorders>
            <w:noWrap/>
          </w:tcPr>
          <w:p w14:paraId="3395509E"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OECD</w:t>
            </w:r>
          </w:p>
        </w:tc>
        <w:tc>
          <w:tcPr>
            <w:tcW w:w="708" w:type="dxa"/>
            <w:tcBorders>
              <w:top w:val="single" w:sz="12" w:space="0" w:color="auto"/>
              <w:bottom w:val="nil"/>
            </w:tcBorders>
            <w:noWrap/>
          </w:tcPr>
          <w:p w14:paraId="02428F13"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Energy price</w:t>
            </w:r>
          </w:p>
        </w:tc>
        <w:tc>
          <w:tcPr>
            <w:tcW w:w="1061" w:type="dxa"/>
            <w:gridSpan w:val="2"/>
            <w:tcBorders>
              <w:top w:val="single" w:sz="12" w:space="0" w:color="auto"/>
              <w:bottom w:val="nil"/>
            </w:tcBorders>
            <w:noWrap/>
          </w:tcPr>
          <w:p w14:paraId="4E777EEE"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All sectors</w:t>
            </w:r>
          </w:p>
        </w:tc>
        <w:tc>
          <w:tcPr>
            <w:tcW w:w="640" w:type="dxa"/>
            <w:tcBorders>
              <w:top w:val="single" w:sz="12" w:space="0" w:color="auto"/>
              <w:bottom w:val="nil"/>
            </w:tcBorders>
            <w:noWrap/>
          </w:tcPr>
          <w:p w14:paraId="594D3EB0"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1996-2009</w:t>
            </w:r>
          </w:p>
        </w:tc>
        <w:tc>
          <w:tcPr>
            <w:tcW w:w="1275" w:type="dxa"/>
            <w:tcBorders>
              <w:top w:val="single" w:sz="12" w:space="0" w:color="auto"/>
              <w:bottom w:val="nil"/>
              <w:right w:val="single" w:sz="4" w:space="0" w:color="auto"/>
            </w:tcBorders>
            <w:noWrap/>
          </w:tcPr>
          <w:p w14:paraId="036AC8B2"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33 sectors in 27 countries</w:t>
            </w:r>
          </w:p>
        </w:tc>
        <w:tc>
          <w:tcPr>
            <w:tcW w:w="1885" w:type="dxa"/>
            <w:tcBorders>
              <w:top w:val="single" w:sz="12" w:space="0" w:color="auto"/>
              <w:left w:val="single" w:sz="4" w:space="0" w:color="auto"/>
              <w:bottom w:val="nil"/>
            </w:tcBorders>
            <w:noWrap/>
          </w:tcPr>
          <w:p w14:paraId="32A21793" w14:textId="77777777" w:rsidR="00E90440" w:rsidRPr="001D71D9" w:rsidRDefault="00E90440" w:rsidP="00082770">
            <w:pPr>
              <w:pStyle w:val="Sourcenotes"/>
              <w:ind w:left="0"/>
              <w:cnfStyle w:val="000000010000" w:firstRow="0" w:lastRow="0" w:firstColumn="0" w:lastColumn="0" w:oddVBand="0" w:evenVBand="0" w:oddHBand="0" w:evenHBand="1" w:firstRowFirstColumn="0" w:firstRowLastColumn="0" w:lastRowFirstColumn="0" w:lastRowLastColumn="0"/>
              <w:rPr>
                <w:rFonts w:ascii="Calibri" w:eastAsiaTheme="minorHAnsi" w:hAnsi="Calibri" w:cs="Calibri"/>
                <w:color w:val="000000"/>
                <w:sz w:val="16"/>
                <w:szCs w:val="16"/>
              </w:rPr>
            </w:pPr>
          </w:p>
        </w:tc>
        <w:tc>
          <w:tcPr>
            <w:tcW w:w="1885" w:type="dxa"/>
            <w:tcBorders>
              <w:top w:val="single" w:sz="12" w:space="0" w:color="auto"/>
              <w:bottom w:val="nil"/>
            </w:tcBorders>
            <w:noWrap/>
          </w:tcPr>
          <w:p w14:paraId="0F6F441D"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85" w:type="dxa"/>
            <w:tcBorders>
              <w:top w:val="single" w:sz="12" w:space="0" w:color="auto"/>
              <w:bottom w:val="nil"/>
            </w:tcBorders>
            <w:shd w:val="clear" w:color="auto" w:fill="00B050"/>
            <w:noWrap/>
          </w:tcPr>
          <w:p w14:paraId="3A94BA9E"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All sectors: increase. Manufacturing: insignificant.</w:t>
            </w:r>
          </w:p>
        </w:tc>
        <w:tc>
          <w:tcPr>
            <w:tcW w:w="1885" w:type="dxa"/>
            <w:tcBorders>
              <w:top w:val="single" w:sz="12" w:space="0" w:color="auto"/>
              <w:bottom w:val="nil"/>
            </w:tcBorders>
            <w:noWrap/>
          </w:tcPr>
          <w:p w14:paraId="76C80E12"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90" w:type="dxa"/>
            <w:tcBorders>
              <w:top w:val="single" w:sz="12" w:space="0" w:color="auto"/>
              <w:bottom w:val="nil"/>
            </w:tcBorders>
            <w:noWrap/>
          </w:tcPr>
          <w:p w14:paraId="73D0BE19"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r>
      <w:tr w:rsidR="00437E65" w:rsidRPr="0005433E" w14:paraId="1CE7165F"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noWrap/>
            <w:hideMark/>
          </w:tcPr>
          <w:p w14:paraId="39AC9387" w14:textId="77777777" w:rsidR="00E90440" w:rsidRPr="001D71D9" w:rsidRDefault="00E90440" w:rsidP="00082770">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Makridou et al.</w:t>
            </w:r>
          </w:p>
        </w:tc>
        <w:tc>
          <w:tcPr>
            <w:tcW w:w="567" w:type="dxa"/>
            <w:tcBorders>
              <w:top w:val="nil"/>
              <w:bottom w:val="nil"/>
            </w:tcBorders>
            <w:noWrap/>
            <w:hideMark/>
          </w:tcPr>
          <w:p w14:paraId="2CA46448"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2019</w:t>
            </w:r>
          </w:p>
        </w:tc>
        <w:tc>
          <w:tcPr>
            <w:tcW w:w="851" w:type="dxa"/>
            <w:tcBorders>
              <w:top w:val="nil"/>
              <w:bottom w:val="nil"/>
            </w:tcBorders>
            <w:noWrap/>
            <w:hideMark/>
          </w:tcPr>
          <w:p w14:paraId="39A7E783"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EU</w:t>
            </w:r>
          </w:p>
        </w:tc>
        <w:tc>
          <w:tcPr>
            <w:tcW w:w="708" w:type="dxa"/>
            <w:tcBorders>
              <w:top w:val="nil"/>
              <w:bottom w:val="nil"/>
            </w:tcBorders>
            <w:noWrap/>
            <w:hideMark/>
          </w:tcPr>
          <w:p w14:paraId="79695FC2"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tcBorders>
              <w:top w:val="nil"/>
              <w:bottom w:val="nil"/>
            </w:tcBorders>
            <w:noWrap/>
            <w:hideMark/>
          </w:tcPr>
          <w:p w14:paraId="5A8B8724"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xml:space="preserve">Manufacturing </w:t>
            </w:r>
          </w:p>
        </w:tc>
        <w:tc>
          <w:tcPr>
            <w:tcW w:w="640" w:type="dxa"/>
            <w:tcBorders>
              <w:top w:val="nil"/>
              <w:bottom w:val="nil"/>
            </w:tcBorders>
            <w:noWrap/>
            <w:hideMark/>
          </w:tcPr>
          <w:p w14:paraId="35CC5F0C"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2006-2014</w:t>
            </w:r>
          </w:p>
        </w:tc>
        <w:tc>
          <w:tcPr>
            <w:tcW w:w="1275" w:type="dxa"/>
            <w:tcBorders>
              <w:top w:val="nil"/>
              <w:bottom w:val="nil"/>
              <w:right w:val="single" w:sz="4" w:space="0" w:color="auto"/>
            </w:tcBorders>
            <w:noWrap/>
            <w:hideMark/>
          </w:tcPr>
          <w:p w14:paraId="7C672992"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xml:space="preserve">3952 ETS firms, no non-ETS </w:t>
            </w:r>
          </w:p>
        </w:tc>
        <w:tc>
          <w:tcPr>
            <w:tcW w:w="1885" w:type="dxa"/>
            <w:tcBorders>
              <w:top w:val="nil"/>
              <w:left w:val="single" w:sz="4" w:space="0" w:color="auto"/>
              <w:bottom w:val="nil"/>
            </w:tcBorders>
            <w:noWrap/>
            <w:hideMark/>
          </w:tcPr>
          <w:p w14:paraId="1CB2BA8E"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tcBorders>
              <w:top w:val="nil"/>
              <w:bottom w:val="nil"/>
            </w:tcBorders>
            <w:noWrap/>
            <w:hideMark/>
          </w:tcPr>
          <w:p w14:paraId="0FAB9E73"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tcBorders>
              <w:top w:val="nil"/>
              <w:bottom w:val="nil"/>
            </w:tcBorders>
            <w:noWrap/>
            <w:hideMark/>
          </w:tcPr>
          <w:p w14:paraId="45EA527B"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tcBorders>
              <w:top w:val="nil"/>
              <w:bottom w:val="nil"/>
            </w:tcBorders>
            <w:noWrap/>
            <w:hideMark/>
          </w:tcPr>
          <w:p w14:paraId="496B1512"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tcBorders>
              <w:top w:val="nil"/>
              <w:bottom w:val="nil"/>
            </w:tcBorders>
            <w:shd w:val="clear" w:color="auto" w:fill="00B050"/>
            <w:noWrap/>
            <w:hideMark/>
          </w:tcPr>
          <w:p w14:paraId="2C142BF5"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For energy efficient firms</w:t>
            </w:r>
          </w:p>
        </w:tc>
      </w:tr>
      <w:tr w:rsidR="00437E65" w:rsidRPr="001A3570" w14:paraId="449D3ACD"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nil"/>
            </w:tcBorders>
            <w:noWrap/>
            <w:hideMark/>
          </w:tcPr>
          <w:p w14:paraId="6851EF1C" w14:textId="77777777" w:rsidR="00E90440" w:rsidRPr="001D71D9" w:rsidRDefault="00E90440" w:rsidP="00082770">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Dong et al. </w:t>
            </w:r>
          </w:p>
        </w:tc>
        <w:tc>
          <w:tcPr>
            <w:tcW w:w="567" w:type="dxa"/>
            <w:tcBorders>
              <w:top w:val="nil"/>
            </w:tcBorders>
            <w:noWrap/>
            <w:hideMark/>
          </w:tcPr>
          <w:p w14:paraId="2A4EF2A5"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2019</w:t>
            </w:r>
          </w:p>
        </w:tc>
        <w:tc>
          <w:tcPr>
            <w:tcW w:w="851" w:type="dxa"/>
            <w:tcBorders>
              <w:top w:val="nil"/>
            </w:tcBorders>
            <w:noWrap/>
            <w:hideMark/>
          </w:tcPr>
          <w:p w14:paraId="31BF65E1"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China</w:t>
            </w:r>
          </w:p>
        </w:tc>
        <w:tc>
          <w:tcPr>
            <w:tcW w:w="708" w:type="dxa"/>
            <w:tcBorders>
              <w:top w:val="nil"/>
            </w:tcBorders>
            <w:noWrap/>
            <w:hideMark/>
          </w:tcPr>
          <w:p w14:paraId="16B43C96"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tcBorders>
              <w:top w:val="nil"/>
            </w:tcBorders>
            <w:noWrap/>
            <w:hideMark/>
          </w:tcPr>
          <w:p w14:paraId="1B8503C9"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tcBorders>
              <w:top w:val="nil"/>
            </w:tcBorders>
            <w:noWrap/>
            <w:hideMark/>
          </w:tcPr>
          <w:p w14:paraId="58EEFFD3"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2006-2015</w:t>
            </w:r>
          </w:p>
        </w:tc>
        <w:tc>
          <w:tcPr>
            <w:tcW w:w="1275" w:type="dxa"/>
            <w:tcBorders>
              <w:top w:val="nil"/>
              <w:right w:val="single" w:sz="12" w:space="0" w:color="auto"/>
            </w:tcBorders>
            <w:noWrap/>
            <w:hideMark/>
          </w:tcPr>
          <w:p w14:paraId="63D91845"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30 provinces (6 with ETS)</w:t>
            </w:r>
          </w:p>
        </w:tc>
        <w:tc>
          <w:tcPr>
            <w:tcW w:w="1885" w:type="dxa"/>
            <w:tcBorders>
              <w:top w:val="nil"/>
              <w:left w:val="single" w:sz="12" w:space="0" w:color="auto"/>
            </w:tcBorders>
            <w:shd w:val="clear" w:color="auto" w:fill="FFFF00"/>
            <w:noWrap/>
            <w:hideMark/>
          </w:tcPr>
          <w:p w14:paraId="1A84E802"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shd w:val="clear" w:color="auto" w:fill="FFFF00"/>
              </w:rPr>
              <w:t>Effect on GDP</w:t>
            </w:r>
            <w:r w:rsidRPr="001D71D9">
              <w:rPr>
                <w:rFonts w:ascii="Calibri" w:hAnsi="Calibri" w:cs="Calibri"/>
                <w:color w:val="000000"/>
                <w:sz w:val="16"/>
                <w:szCs w:val="16"/>
              </w:rPr>
              <w:t xml:space="preserve"> </w:t>
            </w:r>
          </w:p>
        </w:tc>
        <w:tc>
          <w:tcPr>
            <w:tcW w:w="1885" w:type="dxa"/>
            <w:tcBorders>
              <w:top w:val="nil"/>
            </w:tcBorders>
            <w:shd w:val="clear" w:color="auto" w:fill="auto"/>
            <w:noWrap/>
            <w:hideMark/>
          </w:tcPr>
          <w:p w14:paraId="77C55F80"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tcBorders>
              <w:top w:val="nil"/>
            </w:tcBorders>
            <w:shd w:val="clear" w:color="auto" w:fill="auto"/>
            <w:noWrap/>
            <w:hideMark/>
          </w:tcPr>
          <w:p w14:paraId="69EDBC5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tcBorders>
              <w:top w:val="nil"/>
            </w:tcBorders>
            <w:shd w:val="clear" w:color="auto" w:fill="auto"/>
            <w:noWrap/>
            <w:hideMark/>
          </w:tcPr>
          <w:p w14:paraId="605F45C5"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p>
        </w:tc>
        <w:tc>
          <w:tcPr>
            <w:tcW w:w="1890" w:type="dxa"/>
            <w:tcBorders>
              <w:top w:val="nil"/>
            </w:tcBorders>
            <w:shd w:val="clear" w:color="auto" w:fill="auto"/>
            <w:noWrap/>
            <w:hideMark/>
          </w:tcPr>
          <w:p w14:paraId="4204938C"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437E65" w:rsidRPr="0005433E" w14:paraId="799B54A2"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EE59540" w14:textId="77777777" w:rsidR="00E90440" w:rsidRPr="001D71D9" w:rsidRDefault="00E90440" w:rsidP="00082770">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Marin, Marino, </w:t>
            </w:r>
            <w:proofErr w:type="spellStart"/>
            <w:r w:rsidRPr="001D71D9">
              <w:rPr>
                <w:rFonts w:ascii="Calibri" w:hAnsi="Calibri" w:cs="Calibri"/>
                <w:color w:val="000000"/>
                <w:sz w:val="16"/>
                <w:szCs w:val="16"/>
              </w:rPr>
              <w:t>Pellegrin</w:t>
            </w:r>
            <w:proofErr w:type="spellEnd"/>
          </w:p>
        </w:tc>
        <w:tc>
          <w:tcPr>
            <w:tcW w:w="567" w:type="dxa"/>
            <w:noWrap/>
            <w:hideMark/>
          </w:tcPr>
          <w:p w14:paraId="289B9CBB"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2018</w:t>
            </w:r>
          </w:p>
        </w:tc>
        <w:tc>
          <w:tcPr>
            <w:tcW w:w="851" w:type="dxa"/>
            <w:noWrap/>
            <w:hideMark/>
          </w:tcPr>
          <w:p w14:paraId="74D87BA9"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EU</w:t>
            </w:r>
          </w:p>
        </w:tc>
        <w:tc>
          <w:tcPr>
            <w:tcW w:w="708" w:type="dxa"/>
            <w:noWrap/>
            <w:hideMark/>
          </w:tcPr>
          <w:p w14:paraId="300CF868"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7CA28AEA"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02B82ABF"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2002-2012</w:t>
            </w:r>
          </w:p>
        </w:tc>
        <w:tc>
          <w:tcPr>
            <w:tcW w:w="1275" w:type="dxa"/>
            <w:tcBorders>
              <w:right w:val="single" w:sz="12" w:space="0" w:color="auto"/>
            </w:tcBorders>
            <w:noWrap/>
            <w:hideMark/>
          </w:tcPr>
          <w:p w14:paraId="6E4C9F0D"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792 ETS firms, 2500 non ETS </w:t>
            </w:r>
          </w:p>
        </w:tc>
        <w:tc>
          <w:tcPr>
            <w:tcW w:w="1885" w:type="dxa"/>
            <w:tcBorders>
              <w:left w:val="single" w:sz="12" w:space="0" w:color="auto"/>
            </w:tcBorders>
            <w:shd w:val="clear" w:color="auto" w:fill="00B0F0"/>
            <w:noWrap/>
            <w:hideMark/>
          </w:tcPr>
          <w:p w14:paraId="0C7EA260"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Turnover +7%, only phase II (2008-2012)</w:t>
            </w:r>
          </w:p>
        </w:tc>
        <w:tc>
          <w:tcPr>
            <w:tcW w:w="1885" w:type="dxa"/>
            <w:shd w:val="clear" w:color="auto" w:fill="00B050"/>
            <w:noWrap/>
            <w:hideMark/>
          </w:tcPr>
          <w:p w14:paraId="7127EF99"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Gross fixed capital formation/assets +1,5% </w:t>
            </w:r>
          </w:p>
        </w:tc>
        <w:tc>
          <w:tcPr>
            <w:tcW w:w="1885" w:type="dxa"/>
            <w:shd w:val="clear" w:color="auto" w:fill="FF0000"/>
            <w:noWrap/>
            <w:hideMark/>
          </w:tcPr>
          <w:p w14:paraId="241FBFAA"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 phase I (2005-2007) only</w:t>
            </w:r>
          </w:p>
        </w:tc>
        <w:tc>
          <w:tcPr>
            <w:tcW w:w="1885" w:type="dxa"/>
            <w:shd w:val="clear" w:color="auto" w:fill="00B050"/>
            <w:noWrap/>
            <w:hideMark/>
          </w:tcPr>
          <w:p w14:paraId="710892A1"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Labour</w:t>
            </w:r>
            <w:proofErr w:type="spellEnd"/>
            <w:r w:rsidRPr="001D71D9">
              <w:rPr>
                <w:rFonts w:ascii="Calibri" w:hAnsi="Calibri" w:cs="Calibri"/>
                <w:color w:val="000000"/>
                <w:sz w:val="16"/>
                <w:szCs w:val="16"/>
              </w:rPr>
              <w:t xml:space="preserve"> productivity (VA/L) +5%</w:t>
            </w:r>
          </w:p>
        </w:tc>
        <w:tc>
          <w:tcPr>
            <w:tcW w:w="1890" w:type="dxa"/>
            <w:shd w:val="clear" w:color="auto" w:fill="00B050"/>
            <w:noWrap/>
            <w:hideMark/>
          </w:tcPr>
          <w:p w14:paraId="70EE1B54"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Markup +1,5% in phase I and +3% in phase II</w:t>
            </w:r>
          </w:p>
        </w:tc>
      </w:tr>
      <w:tr w:rsidR="00437E65" w:rsidRPr="0005433E" w14:paraId="24B2E8BF"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70AB313" w14:textId="77777777" w:rsidR="00E90440" w:rsidRPr="001D71D9" w:rsidRDefault="00E90440" w:rsidP="00082770">
            <w:pPr>
              <w:jc w:val="left"/>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Löschel</w:t>
            </w:r>
            <w:proofErr w:type="spellEnd"/>
            <w:r w:rsidRPr="001D71D9">
              <w:rPr>
                <w:rFonts w:ascii="Calibri" w:hAnsi="Calibri" w:cs="Calibri"/>
                <w:color w:val="000000"/>
                <w:sz w:val="16"/>
                <w:szCs w:val="16"/>
              </w:rPr>
              <w:t xml:space="preserve">, Lutz, </w:t>
            </w:r>
            <w:proofErr w:type="spellStart"/>
            <w:r w:rsidRPr="001D71D9">
              <w:rPr>
                <w:rFonts w:ascii="Calibri" w:hAnsi="Calibri" w:cs="Calibri"/>
                <w:color w:val="000000"/>
                <w:sz w:val="16"/>
                <w:szCs w:val="16"/>
              </w:rPr>
              <w:t>Managi</w:t>
            </w:r>
            <w:proofErr w:type="spellEnd"/>
          </w:p>
        </w:tc>
        <w:tc>
          <w:tcPr>
            <w:tcW w:w="567" w:type="dxa"/>
            <w:noWrap/>
            <w:hideMark/>
          </w:tcPr>
          <w:p w14:paraId="5084D33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2018</w:t>
            </w:r>
          </w:p>
        </w:tc>
        <w:tc>
          <w:tcPr>
            <w:tcW w:w="851" w:type="dxa"/>
            <w:noWrap/>
            <w:hideMark/>
          </w:tcPr>
          <w:p w14:paraId="12A7D3BA"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Germany</w:t>
            </w:r>
          </w:p>
        </w:tc>
        <w:tc>
          <w:tcPr>
            <w:tcW w:w="708" w:type="dxa"/>
            <w:noWrap/>
            <w:hideMark/>
          </w:tcPr>
          <w:p w14:paraId="4B724BE1"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7AD5D140"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77C96E45"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2003-2012</w:t>
            </w:r>
          </w:p>
        </w:tc>
        <w:tc>
          <w:tcPr>
            <w:tcW w:w="1275" w:type="dxa"/>
            <w:tcBorders>
              <w:right w:val="single" w:sz="12" w:space="0" w:color="auto"/>
            </w:tcBorders>
            <w:noWrap/>
            <w:hideMark/>
          </w:tcPr>
          <w:p w14:paraId="05984E2C"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520 ETS firms, &gt; 10000 non-ETS </w:t>
            </w:r>
          </w:p>
        </w:tc>
        <w:tc>
          <w:tcPr>
            <w:tcW w:w="1885" w:type="dxa"/>
            <w:tcBorders>
              <w:left w:val="single" w:sz="12" w:space="0" w:color="auto"/>
            </w:tcBorders>
            <w:shd w:val="clear" w:color="auto" w:fill="auto"/>
            <w:noWrap/>
            <w:hideMark/>
          </w:tcPr>
          <w:p w14:paraId="3EFBA043"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auto"/>
            <w:noWrap/>
            <w:hideMark/>
          </w:tcPr>
          <w:p w14:paraId="563FFF9B"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auto"/>
            <w:noWrap/>
            <w:hideMark/>
          </w:tcPr>
          <w:p w14:paraId="703DD245"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F0"/>
            <w:noWrap/>
            <w:hideMark/>
          </w:tcPr>
          <w:p w14:paraId="0EB88FAA"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Total factor productivity Insignificant overall, + 1% in paper industry</w:t>
            </w:r>
          </w:p>
        </w:tc>
        <w:tc>
          <w:tcPr>
            <w:tcW w:w="1890" w:type="dxa"/>
            <w:shd w:val="clear" w:color="auto" w:fill="auto"/>
            <w:noWrap/>
            <w:hideMark/>
          </w:tcPr>
          <w:p w14:paraId="596C2421"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437E65" w:rsidRPr="00FE2406" w14:paraId="4410B249"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E97AA4B" w14:textId="77777777" w:rsidR="00E90440" w:rsidRPr="001D71D9" w:rsidRDefault="00E90440" w:rsidP="00082770">
            <w:pPr>
              <w:jc w:val="left"/>
              <w:rPr>
                <w:rFonts w:ascii="Calibri" w:eastAsia="Times New Roman" w:hAnsi="Calibri" w:cs="Calibri"/>
                <w:color w:val="000000"/>
                <w:sz w:val="16"/>
                <w:szCs w:val="16"/>
                <w:lang w:val="fr-FR" w:eastAsia="fr-BE"/>
              </w:rPr>
            </w:pPr>
            <w:r w:rsidRPr="001D71D9">
              <w:rPr>
                <w:rFonts w:ascii="Calibri" w:hAnsi="Calibri" w:cs="Calibri"/>
                <w:color w:val="000000"/>
                <w:sz w:val="16"/>
                <w:szCs w:val="16"/>
                <w:lang w:val="fr-FR"/>
              </w:rPr>
              <w:t>Dechezleprêtre et al.</w:t>
            </w:r>
            <w:r w:rsidRPr="001D71D9" w:rsidDel="001356EB">
              <w:rPr>
                <w:rFonts w:ascii="Calibri" w:hAnsi="Calibri" w:cs="Calibri"/>
                <w:color w:val="000000"/>
                <w:sz w:val="16"/>
                <w:szCs w:val="16"/>
                <w:lang w:val="fr-FR"/>
              </w:rPr>
              <w:t xml:space="preserve"> </w:t>
            </w:r>
          </w:p>
        </w:tc>
        <w:tc>
          <w:tcPr>
            <w:tcW w:w="567" w:type="dxa"/>
            <w:noWrap/>
            <w:hideMark/>
          </w:tcPr>
          <w:p w14:paraId="1B6D0752"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2018</w:t>
            </w:r>
          </w:p>
        </w:tc>
        <w:tc>
          <w:tcPr>
            <w:tcW w:w="851" w:type="dxa"/>
            <w:noWrap/>
            <w:hideMark/>
          </w:tcPr>
          <w:p w14:paraId="40BE82DF"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EU</w:t>
            </w:r>
          </w:p>
        </w:tc>
        <w:tc>
          <w:tcPr>
            <w:tcW w:w="708" w:type="dxa"/>
            <w:noWrap/>
            <w:hideMark/>
          </w:tcPr>
          <w:p w14:paraId="67AF73AF"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50F5F623"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06F07655"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2003-2013</w:t>
            </w:r>
          </w:p>
        </w:tc>
        <w:tc>
          <w:tcPr>
            <w:tcW w:w="1275" w:type="dxa"/>
            <w:tcBorders>
              <w:right w:val="single" w:sz="12" w:space="0" w:color="auto"/>
            </w:tcBorders>
            <w:noWrap/>
            <w:hideMark/>
          </w:tcPr>
          <w:p w14:paraId="51F857A5"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1,787 ETS firms; 1,280 non-ETS</w:t>
            </w:r>
          </w:p>
        </w:tc>
        <w:tc>
          <w:tcPr>
            <w:tcW w:w="1885" w:type="dxa"/>
            <w:tcBorders>
              <w:left w:val="single" w:sz="12" w:space="0" w:color="auto"/>
            </w:tcBorders>
            <w:shd w:val="clear" w:color="auto" w:fill="00B050"/>
            <w:noWrap/>
            <w:hideMark/>
          </w:tcPr>
          <w:p w14:paraId="3F473AB2"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Turnover +16,7%</w:t>
            </w:r>
          </w:p>
        </w:tc>
        <w:tc>
          <w:tcPr>
            <w:tcW w:w="1885" w:type="dxa"/>
            <w:shd w:val="clear" w:color="auto" w:fill="00B050"/>
            <w:noWrap/>
            <w:hideMark/>
          </w:tcPr>
          <w:p w14:paraId="2AA38BC4"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Total Assets +8,1%</w:t>
            </w:r>
          </w:p>
        </w:tc>
        <w:tc>
          <w:tcPr>
            <w:tcW w:w="1885" w:type="dxa"/>
            <w:shd w:val="clear" w:color="auto" w:fill="FFFF00"/>
            <w:noWrap/>
            <w:hideMark/>
          </w:tcPr>
          <w:p w14:paraId="5F35B485"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eastAsia="Times New Roman" w:hAnsi="Calibri" w:cs="Calibri"/>
                <w:color w:val="000000"/>
                <w:sz w:val="16"/>
                <w:szCs w:val="16"/>
                <w:lang w:eastAsia="fr-BE"/>
              </w:rPr>
              <w:t>Insignificant</w:t>
            </w:r>
          </w:p>
        </w:tc>
        <w:tc>
          <w:tcPr>
            <w:tcW w:w="1885" w:type="dxa"/>
            <w:shd w:val="clear" w:color="auto" w:fill="auto"/>
            <w:noWrap/>
            <w:hideMark/>
          </w:tcPr>
          <w:p w14:paraId="2A5B35BF"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shd w:val="clear" w:color="auto" w:fill="FFFF00"/>
            <w:noWrap/>
            <w:hideMark/>
          </w:tcPr>
          <w:p w14:paraId="0829BBA7"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eastAsia="Times New Roman" w:hAnsi="Calibri" w:cs="Calibri"/>
                <w:color w:val="000000"/>
                <w:sz w:val="16"/>
                <w:szCs w:val="16"/>
                <w:lang w:eastAsia="fr-BE"/>
              </w:rPr>
              <w:t>Insignificant</w:t>
            </w:r>
          </w:p>
        </w:tc>
      </w:tr>
      <w:tr w:rsidR="00437E65" w:rsidRPr="00FE2406" w14:paraId="79D56980"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F947256" w14:textId="77777777" w:rsidR="00E90440" w:rsidRPr="001D71D9" w:rsidRDefault="00E90440" w:rsidP="00082770">
            <w:pPr>
              <w:jc w:val="left"/>
              <w:rPr>
                <w:rFonts w:ascii="Calibri" w:eastAsia="Times New Roman" w:hAnsi="Calibri" w:cs="Calibri"/>
                <w:color w:val="000000"/>
                <w:sz w:val="16"/>
                <w:szCs w:val="16"/>
                <w:lang w:val="fr-FR" w:eastAsia="fr-BE"/>
              </w:rPr>
            </w:pPr>
            <w:proofErr w:type="spellStart"/>
            <w:r w:rsidRPr="001D71D9">
              <w:rPr>
                <w:rFonts w:ascii="Calibri" w:hAnsi="Calibri" w:cs="Calibri"/>
                <w:color w:val="000000"/>
                <w:sz w:val="16"/>
                <w:szCs w:val="16"/>
                <w:lang w:val="fr-FR"/>
              </w:rPr>
              <w:t>Calligaris</w:t>
            </w:r>
            <w:proofErr w:type="spellEnd"/>
            <w:r w:rsidRPr="001D71D9">
              <w:rPr>
                <w:rFonts w:ascii="Calibri" w:hAnsi="Calibri" w:cs="Calibri"/>
                <w:color w:val="000000"/>
                <w:sz w:val="16"/>
                <w:szCs w:val="16"/>
                <w:lang w:val="fr-FR"/>
              </w:rPr>
              <w:t xml:space="preserve"> et al. </w:t>
            </w:r>
          </w:p>
        </w:tc>
        <w:tc>
          <w:tcPr>
            <w:tcW w:w="567" w:type="dxa"/>
            <w:noWrap/>
            <w:hideMark/>
          </w:tcPr>
          <w:p w14:paraId="0CF3229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2018</w:t>
            </w:r>
          </w:p>
        </w:tc>
        <w:tc>
          <w:tcPr>
            <w:tcW w:w="851" w:type="dxa"/>
            <w:noWrap/>
            <w:hideMark/>
          </w:tcPr>
          <w:p w14:paraId="6682AA0F"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Italy</w:t>
            </w:r>
          </w:p>
        </w:tc>
        <w:tc>
          <w:tcPr>
            <w:tcW w:w="708" w:type="dxa"/>
            <w:noWrap/>
            <w:hideMark/>
          </w:tcPr>
          <w:p w14:paraId="3DC2EBEC"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79E19AD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5EFE2FB3"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2005-2013</w:t>
            </w:r>
          </w:p>
        </w:tc>
        <w:tc>
          <w:tcPr>
            <w:tcW w:w="1275" w:type="dxa"/>
            <w:tcBorders>
              <w:right w:val="single" w:sz="12" w:space="0" w:color="auto"/>
            </w:tcBorders>
            <w:noWrap/>
            <w:hideMark/>
          </w:tcPr>
          <w:p w14:paraId="5878E122"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662 ETS firms, &gt;3000 non ETS </w:t>
            </w:r>
          </w:p>
        </w:tc>
        <w:tc>
          <w:tcPr>
            <w:tcW w:w="1885" w:type="dxa"/>
            <w:tcBorders>
              <w:left w:val="single" w:sz="12" w:space="0" w:color="auto"/>
            </w:tcBorders>
            <w:shd w:val="clear" w:color="auto" w:fill="auto"/>
            <w:noWrap/>
            <w:hideMark/>
          </w:tcPr>
          <w:p w14:paraId="3061BFE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FFFF00"/>
            <w:noWrap/>
            <w:hideMark/>
          </w:tcPr>
          <w:p w14:paraId="310BBFA2" w14:textId="038F2886"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w:t>
            </w:r>
            <w:r w:rsidR="00677B51">
              <w:rPr>
                <w:rFonts w:ascii="Calibri" w:hAnsi="Calibri" w:cs="Calibri"/>
                <w:color w:val="000000"/>
                <w:sz w:val="16"/>
                <w:szCs w:val="16"/>
              </w:rPr>
              <w:t xml:space="preserve"> </w:t>
            </w:r>
          </w:p>
        </w:tc>
        <w:tc>
          <w:tcPr>
            <w:tcW w:w="1885" w:type="dxa"/>
            <w:shd w:val="clear" w:color="auto" w:fill="FFFF00"/>
            <w:noWrap/>
            <w:hideMark/>
          </w:tcPr>
          <w:p w14:paraId="2AC384F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w:t>
            </w:r>
          </w:p>
        </w:tc>
        <w:tc>
          <w:tcPr>
            <w:tcW w:w="1885" w:type="dxa"/>
            <w:shd w:val="clear" w:color="auto" w:fill="00B050"/>
            <w:noWrap/>
            <w:hideMark/>
          </w:tcPr>
          <w:p w14:paraId="29D0CCC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Total factor productivity (TFP) increases</w:t>
            </w:r>
          </w:p>
        </w:tc>
        <w:tc>
          <w:tcPr>
            <w:tcW w:w="1890" w:type="dxa"/>
            <w:shd w:val="clear" w:color="auto" w:fill="auto"/>
            <w:noWrap/>
            <w:hideMark/>
          </w:tcPr>
          <w:p w14:paraId="4A4CA7FD"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437E65" w:rsidRPr="0005433E" w14:paraId="27472854"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noWrap/>
          </w:tcPr>
          <w:p w14:paraId="0B3D567A" w14:textId="77777777" w:rsidR="00E90440" w:rsidRPr="001D71D9" w:rsidRDefault="00E90440" w:rsidP="00082770">
            <w:pPr>
              <w:jc w:val="left"/>
              <w:rPr>
                <w:rFonts w:ascii="Calibri" w:hAnsi="Calibri" w:cs="Calibri"/>
                <w:color w:val="000000"/>
                <w:sz w:val="16"/>
                <w:szCs w:val="16"/>
              </w:rPr>
            </w:pPr>
            <w:r w:rsidRPr="001D71D9">
              <w:rPr>
                <w:rFonts w:ascii="Calibri" w:hAnsi="Calibri" w:cs="Calibri"/>
                <w:color w:val="000000"/>
                <w:sz w:val="16"/>
                <w:szCs w:val="16"/>
              </w:rPr>
              <w:t xml:space="preserve">Rentschler &amp; </w:t>
            </w:r>
            <w:proofErr w:type="spellStart"/>
            <w:r w:rsidRPr="001D71D9">
              <w:rPr>
                <w:rFonts w:ascii="Calibri" w:hAnsi="Calibri" w:cs="Calibri"/>
                <w:color w:val="000000"/>
                <w:sz w:val="16"/>
                <w:szCs w:val="16"/>
              </w:rPr>
              <w:t>Kornejew</w:t>
            </w:r>
            <w:proofErr w:type="spellEnd"/>
          </w:p>
        </w:tc>
        <w:tc>
          <w:tcPr>
            <w:tcW w:w="567" w:type="dxa"/>
            <w:tcBorders>
              <w:top w:val="nil"/>
              <w:bottom w:val="nil"/>
            </w:tcBorders>
            <w:noWrap/>
          </w:tcPr>
          <w:p w14:paraId="4B2B4D47"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2017</w:t>
            </w:r>
          </w:p>
        </w:tc>
        <w:tc>
          <w:tcPr>
            <w:tcW w:w="851" w:type="dxa"/>
            <w:tcBorders>
              <w:top w:val="nil"/>
              <w:bottom w:val="nil"/>
            </w:tcBorders>
            <w:noWrap/>
          </w:tcPr>
          <w:p w14:paraId="57407728"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Indonesia</w:t>
            </w:r>
          </w:p>
        </w:tc>
        <w:tc>
          <w:tcPr>
            <w:tcW w:w="708" w:type="dxa"/>
            <w:tcBorders>
              <w:top w:val="nil"/>
              <w:bottom w:val="nil"/>
            </w:tcBorders>
            <w:noWrap/>
          </w:tcPr>
          <w:p w14:paraId="5F28159E"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Energy price</w:t>
            </w:r>
          </w:p>
        </w:tc>
        <w:tc>
          <w:tcPr>
            <w:tcW w:w="1061" w:type="dxa"/>
            <w:gridSpan w:val="2"/>
            <w:tcBorders>
              <w:top w:val="nil"/>
              <w:bottom w:val="nil"/>
            </w:tcBorders>
            <w:noWrap/>
          </w:tcPr>
          <w:p w14:paraId="1FD2314E"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tcBorders>
              <w:top w:val="nil"/>
              <w:bottom w:val="nil"/>
            </w:tcBorders>
            <w:noWrap/>
          </w:tcPr>
          <w:p w14:paraId="5DBA4E2F"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2013</w:t>
            </w:r>
          </w:p>
        </w:tc>
        <w:tc>
          <w:tcPr>
            <w:tcW w:w="1275" w:type="dxa"/>
            <w:tcBorders>
              <w:top w:val="nil"/>
              <w:bottom w:val="nil"/>
              <w:right w:val="single" w:sz="4" w:space="0" w:color="auto"/>
            </w:tcBorders>
            <w:noWrap/>
          </w:tcPr>
          <w:p w14:paraId="4F563A8A"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41,402 small firms (&lt;19 employees)</w:t>
            </w:r>
          </w:p>
        </w:tc>
        <w:tc>
          <w:tcPr>
            <w:tcW w:w="1885" w:type="dxa"/>
            <w:tcBorders>
              <w:top w:val="nil"/>
              <w:left w:val="single" w:sz="4" w:space="0" w:color="auto"/>
              <w:bottom w:val="nil"/>
            </w:tcBorders>
            <w:noWrap/>
          </w:tcPr>
          <w:p w14:paraId="3A109554" w14:textId="77777777" w:rsidR="00E90440" w:rsidRPr="001D71D9" w:rsidRDefault="00E90440" w:rsidP="00082770">
            <w:pPr>
              <w:pStyle w:val="Sourcenotes"/>
              <w:ind w:left="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sz w:val="16"/>
                <w:szCs w:val="16"/>
              </w:rPr>
            </w:pPr>
          </w:p>
        </w:tc>
        <w:tc>
          <w:tcPr>
            <w:tcW w:w="1885" w:type="dxa"/>
            <w:tcBorders>
              <w:top w:val="nil"/>
              <w:bottom w:val="nil"/>
            </w:tcBorders>
            <w:noWrap/>
          </w:tcPr>
          <w:p w14:paraId="293D7F26"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85" w:type="dxa"/>
            <w:tcBorders>
              <w:top w:val="nil"/>
              <w:bottom w:val="nil"/>
            </w:tcBorders>
            <w:noWrap/>
          </w:tcPr>
          <w:p w14:paraId="3743A128"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85" w:type="dxa"/>
            <w:tcBorders>
              <w:top w:val="nil"/>
              <w:bottom w:val="nil"/>
            </w:tcBorders>
            <w:noWrap/>
          </w:tcPr>
          <w:p w14:paraId="388A58E5"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90" w:type="dxa"/>
            <w:tcBorders>
              <w:top w:val="nil"/>
              <w:bottom w:val="nil"/>
            </w:tcBorders>
            <w:shd w:val="clear" w:color="auto" w:fill="FF0000"/>
            <w:noWrap/>
          </w:tcPr>
          <w:p w14:paraId="2E81091B" w14:textId="77777777" w:rsidR="00E90440" w:rsidRPr="001D71D9" w:rsidRDefault="00E90440" w:rsidP="00082770">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10% increase in energy price increase cost/revenue by 0.5% for electricity and 3.7% for diesel</w:t>
            </w:r>
          </w:p>
        </w:tc>
      </w:tr>
      <w:tr w:rsidR="00437E65" w:rsidRPr="0005433E" w14:paraId="7D9F7F3A"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FE2D7FC" w14:textId="77777777" w:rsidR="00E90440" w:rsidRPr="001D71D9" w:rsidRDefault="00E90440" w:rsidP="00082770">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Yamazaki</w:t>
            </w:r>
          </w:p>
        </w:tc>
        <w:tc>
          <w:tcPr>
            <w:tcW w:w="567" w:type="dxa"/>
            <w:noWrap/>
            <w:hideMark/>
          </w:tcPr>
          <w:p w14:paraId="6C84C499"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2017</w:t>
            </w:r>
          </w:p>
        </w:tc>
        <w:tc>
          <w:tcPr>
            <w:tcW w:w="851" w:type="dxa"/>
            <w:noWrap/>
            <w:hideMark/>
          </w:tcPr>
          <w:p w14:paraId="3C770AB5"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Canada</w:t>
            </w:r>
          </w:p>
        </w:tc>
        <w:tc>
          <w:tcPr>
            <w:tcW w:w="708" w:type="dxa"/>
            <w:noWrap/>
            <w:hideMark/>
          </w:tcPr>
          <w:p w14:paraId="3DE29599"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Tax</w:t>
            </w:r>
          </w:p>
        </w:tc>
        <w:tc>
          <w:tcPr>
            <w:tcW w:w="1061" w:type="dxa"/>
            <w:gridSpan w:val="2"/>
            <w:noWrap/>
            <w:hideMark/>
          </w:tcPr>
          <w:p w14:paraId="3891F23D"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All sectors</w:t>
            </w:r>
          </w:p>
        </w:tc>
        <w:tc>
          <w:tcPr>
            <w:tcW w:w="640" w:type="dxa"/>
            <w:noWrap/>
            <w:hideMark/>
          </w:tcPr>
          <w:p w14:paraId="5206D7F7"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2001-2013</w:t>
            </w:r>
          </w:p>
        </w:tc>
        <w:tc>
          <w:tcPr>
            <w:tcW w:w="1275" w:type="dxa"/>
            <w:tcBorders>
              <w:right w:val="single" w:sz="12" w:space="0" w:color="auto"/>
            </w:tcBorders>
            <w:noWrap/>
            <w:hideMark/>
          </w:tcPr>
          <w:p w14:paraId="6B97F558"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68 industries in 6 provinces</w:t>
            </w:r>
          </w:p>
        </w:tc>
        <w:tc>
          <w:tcPr>
            <w:tcW w:w="1885" w:type="dxa"/>
            <w:tcBorders>
              <w:left w:val="single" w:sz="12" w:space="0" w:color="auto"/>
            </w:tcBorders>
            <w:noWrap/>
            <w:hideMark/>
          </w:tcPr>
          <w:p w14:paraId="3FAC3046"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4BC4B848"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F0"/>
            <w:noWrap/>
            <w:hideMark/>
          </w:tcPr>
          <w:p w14:paraId="54DE8D9A"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shd w:val="clear" w:color="auto" w:fill="00B0F0"/>
              </w:rPr>
              <w:t>Overall: +0,7%, decrease in 6 en</w:t>
            </w:r>
            <w:r w:rsidRPr="001D71D9">
              <w:rPr>
                <w:rFonts w:ascii="Calibri" w:hAnsi="Calibri" w:cs="Calibri"/>
                <w:color w:val="000000"/>
                <w:sz w:val="16"/>
                <w:szCs w:val="16"/>
              </w:rPr>
              <w:t>ergy-intensive industries.</w:t>
            </w:r>
          </w:p>
        </w:tc>
        <w:tc>
          <w:tcPr>
            <w:tcW w:w="1885" w:type="dxa"/>
            <w:noWrap/>
            <w:hideMark/>
          </w:tcPr>
          <w:p w14:paraId="78EB38EA"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noWrap/>
            <w:hideMark/>
          </w:tcPr>
          <w:p w14:paraId="72F35F64" w14:textId="77777777" w:rsidR="00E90440" w:rsidRPr="001D71D9" w:rsidRDefault="00E90440" w:rsidP="00082770">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F53745" w:rsidRPr="001A3570" w14:paraId="688D454F" w14:textId="77777777" w:rsidTr="001648E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tcPr>
          <w:p w14:paraId="0F2FF3FA" w14:textId="37495582" w:rsidR="00677B51" w:rsidRPr="001D71D9" w:rsidRDefault="00677B51" w:rsidP="00677B51">
            <w:pPr>
              <w:jc w:val="left"/>
              <w:rPr>
                <w:rFonts w:ascii="Calibri" w:hAnsi="Calibri" w:cs="Calibri"/>
                <w:color w:val="000000"/>
                <w:sz w:val="16"/>
                <w:szCs w:val="16"/>
              </w:rPr>
            </w:pPr>
            <w:r w:rsidRPr="00BC410F">
              <w:rPr>
                <w:rFonts w:ascii="Calibri" w:hAnsi="Calibri" w:cs="Calibri"/>
                <w:color w:val="000000"/>
                <w:sz w:val="16"/>
                <w:szCs w:val="16"/>
              </w:rPr>
              <w:t xml:space="preserve">Dlugosch &amp; </w:t>
            </w:r>
            <w:proofErr w:type="spellStart"/>
            <w:r w:rsidRPr="00BC410F">
              <w:rPr>
                <w:rFonts w:ascii="Calibri" w:hAnsi="Calibri" w:cs="Calibri"/>
                <w:color w:val="000000"/>
                <w:sz w:val="16"/>
                <w:szCs w:val="16"/>
              </w:rPr>
              <w:t>Kozluk</w:t>
            </w:r>
            <w:proofErr w:type="spellEnd"/>
          </w:p>
        </w:tc>
        <w:tc>
          <w:tcPr>
            <w:tcW w:w="0" w:type="dxa"/>
            <w:noWrap/>
          </w:tcPr>
          <w:p w14:paraId="3DAF6815" w14:textId="13621D61"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sz w:val="16"/>
                <w:szCs w:val="16"/>
              </w:rPr>
            </w:pPr>
            <w:r w:rsidRPr="00BC410F">
              <w:rPr>
                <w:rFonts w:ascii="Calibri" w:hAnsi="Calibri" w:cs="Calibri"/>
                <w:color w:val="000000"/>
                <w:sz w:val="16"/>
                <w:szCs w:val="16"/>
              </w:rPr>
              <w:t>2017</w:t>
            </w:r>
          </w:p>
        </w:tc>
        <w:tc>
          <w:tcPr>
            <w:tcW w:w="0" w:type="dxa"/>
            <w:noWrap/>
          </w:tcPr>
          <w:p w14:paraId="0D38B231" w14:textId="360DD66D"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BC410F">
              <w:rPr>
                <w:rFonts w:ascii="Calibri" w:hAnsi="Calibri" w:cs="Calibri"/>
                <w:color w:val="000000"/>
                <w:sz w:val="16"/>
                <w:szCs w:val="16"/>
              </w:rPr>
              <w:t>30 OECD countries</w:t>
            </w:r>
          </w:p>
        </w:tc>
        <w:tc>
          <w:tcPr>
            <w:tcW w:w="0" w:type="dxa"/>
            <w:noWrap/>
          </w:tcPr>
          <w:p w14:paraId="5318BCFE" w14:textId="4BE7D250"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BC410F">
              <w:rPr>
                <w:rFonts w:ascii="Calibri" w:hAnsi="Calibri" w:cs="Calibri"/>
                <w:color w:val="000000"/>
                <w:sz w:val="16"/>
                <w:szCs w:val="16"/>
              </w:rPr>
              <w:t>Energy price</w:t>
            </w:r>
          </w:p>
        </w:tc>
        <w:tc>
          <w:tcPr>
            <w:tcW w:w="0" w:type="dxa"/>
            <w:gridSpan w:val="2"/>
            <w:noWrap/>
          </w:tcPr>
          <w:p w14:paraId="77174924" w14:textId="177C222E"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BC410F">
              <w:rPr>
                <w:rFonts w:ascii="Calibri" w:hAnsi="Calibri" w:cs="Calibri"/>
                <w:color w:val="000000"/>
                <w:sz w:val="16"/>
                <w:szCs w:val="16"/>
              </w:rPr>
              <w:t>Manufacturing</w:t>
            </w:r>
          </w:p>
        </w:tc>
        <w:tc>
          <w:tcPr>
            <w:tcW w:w="0" w:type="dxa"/>
            <w:noWrap/>
          </w:tcPr>
          <w:p w14:paraId="535DE75B" w14:textId="1037ED65"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BC410F">
              <w:rPr>
                <w:rFonts w:ascii="Calibri" w:hAnsi="Calibri" w:cs="Calibri"/>
                <w:color w:val="000000"/>
                <w:sz w:val="16"/>
                <w:szCs w:val="16"/>
              </w:rPr>
              <w:t>1995-2011</w:t>
            </w:r>
          </w:p>
        </w:tc>
        <w:tc>
          <w:tcPr>
            <w:tcW w:w="0" w:type="dxa"/>
            <w:tcBorders>
              <w:right w:val="single" w:sz="12" w:space="0" w:color="auto"/>
            </w:tcBorders>
            <w:noWrap/>
          </w:tcPr>
          <w:p w14:paraId="548182DF" w14:textId="4F4F303B" w:rsidR="00677B51" w:rsidRPr="001D71D9" w:rsidRDefault="0016611D"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3500 listed firms</w:t>
            </w:r>
          </w:p>
        </w:tc>
        <w:tc>
          <w:tcPr>
            <w:tcW w:w="0" w:type="dxa"/>
            <w:tcBorders>
              <w:left w:val="single" w:sz="12" w:space="0" w:color="auto"/>
            </w:tcBorders>
            <w:noWrap/>
          </w:tcPr>
          <w:p w14:paraId="078685AC"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0" w:type="dxa"/>
            <w:shd w:val="clear" w:color="auto" w:fill="00B0F0"/>
            <w:noWrap/>
          </w:tcPr>
          <w:p w14:paraId="4EC2D719" w14:textId="53FAEBC1"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 xml:space="preserve">Investment insignificant overall, increase for energy-efficient firms. </w:t>
            </w:r>
          </w:p>
        </w:tc>
        <w:tc>
          <w:tcPr>
            <w:tcW w:w="0" w:type="dxa"/>
            <w:noWrap/>
          </w:tcPr>
          <w:p w14:paraId="23C2BC1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0" w:type="dxa"/>
            <w:shd w:val="clear" w:color="auto" w:fill="E9F0F7"/>
            <w:noWrap/>
          </w:tcPr>
          <w:p w14:paraId="00B6885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0" w:type="dxa"/>
            <w:noWrap/>
          </w:tcPr>
          <w:p w14:paraId="7598234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677B51" w:rsidRPr="001A3570" w14:paraId="6487B4B9"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AE0D6AB" w14:textId="77777777" w:rsidR="00677B51" w:rsidRPr="001D71D9" w:rsidRDefault="00677B51" w:rsidP="00677B51">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Lutz</w:t>
            </w:r>
          </w:p>
        </w:tc>
        <w:tc>
          <w:tcPr>
            <w:tcW w:w="567" w:type="dxa"/>
            <w:noWrap/>
            <w:hideMark/>
          </w:tcPr>
          <w:p w14:paraId="4E984F0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2016</w:t>
            </w:r>
          </w:p>
        </w:tc>
        <w:tc>
          <w:tcPr>
            <w:tcW w:w="851" w:type="dxa"/>
            <w:noWrap/>
            <w:hideMark/>
          </w:tcPr>
          <w:p w14:paraId="441D0248"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Germany</w:t>
            </w:r>
          </w:p>
        </w:tc>
        <w:tc>
          <w:tcPr>
            <w:tcW w:w="708" w:type="dxa"/>
            <w:noWrap/>
            <w:hideMark/>
          </w:tcPr>
          <w:p w14:paraId="27ED6138"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58B76BB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0FAD6664"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1999-2012</w:t>
            </w:r>
          </w:p>
        </w:tc>
        <w:tc>
          <w:tcPr>
            <w:tcW w:w="1275" w:type="dxa"/>
            <w:tcBorders>
              <w:right w:val="single" w:sz="12" w:space="0" w:color="auto"/>
            </w:tcBorders>
            <w:noWrap/>
            <w:hideMark/>
          </w:tcPr>
          <w:p w14:paraId="0A3DC24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400 regulated, 15000 in total</w:t>
            </w:r>
          </w:p>
        </w:tc>
        <w:tc>
          <w:tcPr>
            <w:tcW w:w="1885" w:type="dxa"/>
            <w:tcBorders>
              <w:left w:val="single" w:sz="12" w:space="0" w:color="auto"/>
            </w:tcBorders>
            <w:noWrap/>
            <w:hideMark/>
          </w:tcPr>
          <w:p w14:paraId="7E53D1B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70A27B0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2457ACD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50"/>
            <w:noWrap/>
            <w:hideMark/>
          </w:tcPr>
          <w:p w14:paraId="528F7FF6"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Total factor productivity +1 % to +2%</w:t>
            </w:r>
          </w:p>
        </w:tc>
        <w:tc>
          <w:tcPr>
            <w:tcW w:w="1890" w:type="dxa"/>
            <w:noWrap/>
            <w:hideMark/>
          </w:tcPr>
          <w:p w14:paraId="662CECDD"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677B51" w:rsidRPr="001A3570" w14:paraId="12F5DD10"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52D0043" w14:textId="77777777" w:rsidR="00677B51" w:rsidRPr="001D71D9" w:rsidRDefault="00677B51" w:rsidP="00677B51">
            <w:pPr>
              <w:jc w:val="left"/>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Klemetsen</w:t>
            </w:r>
            <w:proofErr w:type="spellEnd"/>
            <w:r w:rsidRPr="001D71D9">
              <w:rPr>
                <w:rFonts w:ascii="Calibri" w:hAnsi="Calibri" w:cs="Calibri"/>
                <w:color w:val="000000"/>
                <w:sz w:val="16"/>
                <w:szCs w:val="16"/>
              </w:rPr>
              <w:t xml:space="preserve"> et al.</w:t>
            </w:r>
          </w:p>
        </w:tc>
        <w:tc>
          <w:tcPr>
            <w:tcW w:w="567" w:type="dxa"/>
            <w:noWrap/>
            <w:hideMark/>
          </w:tcPr>
          <w:p w14:paraId="6A6FE91F"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2016</w:t>
            </w:r>
          </w:p>
        </w:tc>
        <w:tc>
          <w:tcPr>
            <w:tcW w:w="851" w:type="dxa"/>
            <w:noWrap/>
            <w:hideMark/>
          </w:tcPr>
          <w:p w14:paraId="624F41D8"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Norway</w:t>
            </w:r>
          </w:p>
        </w:tc>
        <w:tc>
          <w:tcPr>
            <w:tcW w:w="708" w:type="dxa"/>
            <w:noWrap/>
            <w:hideMark/>
          </w:tcPr>
          <w:p w14:paraId="159DF7C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68374DE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2CB3A09C"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2001-2013</w:t>
            </w:r>
          </w:p>
        </w:tc>
        <w:tc>
          <w:tcPr>
            <w:tcW w:w="1275" w:type="dxa"/>
            <w:tcBorders>
              <w:right w:val="single" w:sz="12" w:space="0" w:color="auto"/>
            </w:tcBorders>
            <w:noWrap/>
            <w:hideMark/>
          </w:tcPr>
          <w:p w14:paraId="02253B6B"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150 ETS firms, 515 non-ETS </w:t>
            </w:r>
          </w:p>
        </w:tc>
        <w:tc>
          <w:tcPr>
            <w:tcW w:w="1885" w:type="dxa"/>
            <w:tcBorders>
              <w:left w:val="single" w:sz="12" w:space="0" w:color="auto"/>
            </w:tcBorders>
            <w:shd w:val="clear" w:color="auto" w:fill="00B050"/>
            <w:noWrap/>
            <w:hideMark/>
          </w:tcPr>
          <w:p w14:paraId="69653AE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Value added +24%</w:t>
            </w:r>
          </w:p>
        </w:tc>
        <w:tc>
          <w:tcPr>
            <w:tcW w:w="1885" w:type="dxa"/>
            <w:noWrap/>
            <w:hideMark/>
          </w:tcPr>
          <w:p w14:paraId="6B92AC1B"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74E16B03"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50"/>
            <w:noWrap/>
            <w:hideMark/>
          </w:tcPr>
          <w:p w14:paraId="06D33ED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Labour</w:t>
            </w:r>
            <w:proofErr w:type="spellEnd"/>
            <w:r w:rsidRPr="001D71D9">
              <w:rPr>
                <w:rFonts w:ascii="Calibri" w:hAnsi="Calibri" w:cs="Calibri"/>
                <w:color w:val="000000"/>
                <w:sz w:val="16"/>
                <w:szCs w:val="16"/>
              </w:rPr>
              <w:t xml:space="preserve"> productivity +26%</w:t>
            </w:r>
          </w:p>
        </w:tc>
        <w:tc>
          <w:tcPr>
            <w:tcW w:w="1890" w:type="dxa"/>
            <w:noWrap/>
            <w:hideMark/>
          </w:tcPr>
          <w:p w14:paraId="711D7A9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677B51" w:rsidRPr="001A3570" w14:paraId="4C9E2325"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D2E6462" w14:textId="77777777" w:rsidR="00677B51" w:rsidRPr="001D71D9" w:rsidRDefault="00677B51" w:rsidP="00677B51">
            <w:pPr>
              <w:jc w:val="left"/>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lastRenderedPageBreak/>
              <w:t>Jaraite</w:t>
            </w:r>
            <w:proofErr w:type="spellEnd"/>
            <w:r w:rsidRPr="001D71D9">
              <w:rPr>
                <w:rFonts w:ascii="Calibri" w:hAnsi="Calibri" w:cs="Calibri"/>
                <w:color w:val="000000"/>
                <w:sz w:val="16"/>
                <w:szCs w:val="16"/>
              </w:rPr>
              <w:t xml:space="preserve"> &amp; Di Maria</w:t>
            </w:r>
          </w:p>
        </w:tc>
        <w:tc>
          <w:tcPr>
            <w:tcW w:w="567" w:type="dxa"/>
            <w:noWrap/>
            <w:hideMark/>
          </w:tcPr>
          <w:p w14:paraId="77CDFEE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2016</w:t>
            </w:r>
          </w:p>
        </w:tc>
        <w:tc>
          <w:tcPr>
            <w:tcW w:w="851" w:type="dxa"/>
            <w:noWrap/>
            <w:hideMark/>
          </w:tcPr>
          <w:p w14:paraId="34B9F01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Lithuania</w:t>
            </w:r>
          </w:p>
        </w:tc>
        <w:tc>
          <w:tcPr>
            <w:tcW w:w="708" w:type="dxa"/>
            <w:noWrap/>
            <w:hideMark/>
          </w:tcPr>
          <w:p w14:paraId="5C3B7C8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71259518"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49D5A730"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2003-2010</w:t>
            </w:r>
          </w:p>
        </w:tc>
        <w:tc>
          <w:tcPr>
            <w:tcW w:w="1275" w:type="dxa"/>
            <w:tcBorders>
              <w:right w:val="single" w:sz="12" w:space="0" w:color="auto"/>
            </w:tcBorders>
            <w:noWrap/>
            <w:hideMark/>
          </w:tcPr>
          <w:p w14:paraId="247BC4D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330 ETS firms, 271 non-ETS</w:t>
            </w:r>
          </w:p>
        </w:tc>
        <w:tc>
          <w:tcPr>
            <w:tcW w:w="1885" w:type="dxa"/>
            <w:tcBorders>
              <w:left w:val="single" w:sz="12" w:space="0" w:color="auto"/>
            </w:tcBorders>
            <w:shd w:val="clear" w:color="auto" w:fill="auto"/>
            <w:noWrap/>
            <w:hideMark/>
          </w:tcPr>
          <w:p w14:paraId="3B3A3A60"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F0"/>
            <w:noWrap/>
            <w:hideMark/>
          </w:tcPr>
          <w:p w14:paraId="43DE5469"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Total Assets increase, but decrease in phase I </w:t>
            </w:r>
          </w:p>
        </w:tc>
        <w:tc>
          <w:tcPr>
            <w:tcW w:w="1885" w:type="dxa"/>
            <w:shd w:val="clear" w:color="auto" w:fill="auto"/>
            <w:noWrap/>
            <w:hideMark/>
          </w:tcPr>
          <w:p w14:paraId="43590A5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auto"/>
            <w:noWrap/>
            <w:hideMark/>
          </w:tcPr>
          <w:p w14:paraId="49EDE53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shd w:val="clear" w:color="auto" w:fill="FFFF00"/>
            <w:noWrap/>
            <w:hideMark/>
          </w:tcPr>
          <w:p w14:paraId="46808C96"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w:t>
            </w:r>
          </w:p>
        </w:tc>
      </w:tr>
      <w:tr w:rsidR="00677B51" w:rsidRPr="0005433E" w14:paraId="46FEC853"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9B7154F" w14:textId="77777777" w:rsidR="00677B51" w:rsidRPr="001D71D9" w:rsidRDefault="00677B51" w:rsidP="00677B51">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Lundgren</w:t>
            </w:r>
          </w:p>
        </w:tc>
        <w:tc>
          <w:tcPr>
            <w:tcW w:w="567" w:type="dxa"/>
            <w:noWrap/>
            <w:hideMark/>
          </w:tcPr>
          <w:p w14:paraId="2FB973DB"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2015</w:t>
            </w:r>
          </w:p>
        </w:tc>
        <w:tc>
          <w:tcPr>
            <w:tcW w:w="851" w:type="dxa"/>
            <w:noWrap/>
            <w:hideMark/>
          </w:tcPr>
          <w:p w14:paraId="789E7192"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Sweden</w:t>
            </w:r>
          </w:p>
        </w:tc>
        <w:tc>
          <w:tcPr>
            <w:tcW w:w="708" w:type="dxa"/>
            <w:noWrap/>
            <w:hideMark/>
          </w:tcPr>
          <w:p w14:paraId="7177E62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1FC5203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Pulp and Paper</w:t>
            </w:r>
          </w:p>
        </w:tc>
        <w:tc>
          <w:tcPr>
            <w:tcW w:w="640" w:type="dxa"/>
            <w:noWrap/>
            <w:hideMark/>
          </w:tcPr>
          <w:p w14:paraId="6872954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1998-2008</w:t>
            </w:r>
          </w:p>
        </w:tc>
        <w:tc>
          <w:tcPr>
            <w:tcW w:w="1275" w:type="dxa"/>
            <w:tcBorders>
              <w:right w:val="single" w:sz="12" w:space="0" w:color="auto"/>
            </w:tcBorders>
            <w:noWrap/>
            <w:hideMark/>
          </w:tcPr>
          <w:p w14:paraId="0ED6C6A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100 firms</w:t>
            </w:r>
          </w:p>
        </w:tc>
        <w:tc>
          <w:tcPr>
            <w:tcW w:w="1885" w:type="dxa"/>
            <w:tcBorders>
              <w:left w:val="single" w:sz="12" w:space="0" w:color="auto"/>
            </w:tcBorders>
            <w:noWrap/>
            <w:hideMark/>
          </w:tcPr>
          <w:p w14:paraId="60909F8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2745FA1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4297B5E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50"/>
            <w:noWrap/>
            <w:hideMark/>
          </w:tcPr>
          <w:p w14:paraId="5129E9DB"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Total factor productivity</w:t>
            </w:r>
            <w:r w:rsidRPr="001D71D9" w:rsidDel="00F64085">
              <w:rPr>
                <w:rFonts w:ascii="Calibri" w:hAnsi="Calibri" w:cs="Calibri"/>
                <w:color w:val="000000"/>
                <w:sz w:val="16"/>
                <w:szCs w:val="16"/>
              </w:rPr>
              <w:t xml:space="preserve"> </w:t>
            </w:r>
          </w:p>
        </w:tc>
        <w:tc>
          <w:tcPr>
            <w:tcW w:w="1890" w:type="dxa"/>
            <w:noWrap/>
            <w:hideMark/>
          </w:tcPr>
          <w:p w14:paraId="4FFD6454"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677B51" w:rsidRPr="0005433E" w14:paraId="77945B51"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noWrap/>
          </w:tcPr>
          <w:p w14:paraId="375801E1" w14:textId="77777777" w:rsidR="00677B51" w:rsidRPr="001D71D9" w:rsidRDefault="00677B51" w:rsidP="00677B51">
            <w:pPr>
              <w:jc w:val="left"/>
              <w:rPr>
                <w:rFonts w:ascii="Calibri" w:hAnsi="Calibri" w:cs="Calibri"/>
                <w:color w:val="000000"/>
                <w:sz w:val="16"/>
                <w:szCs w:val="16"/>
              </w:rPr>
            </w:pPr>
            <w:proofErr w:type="spellStart"/>
            <w:r w:rsidRPr="001D71D9">
              <w:rPr>
                <w:rFonts w:ascii="Calibri" w:hAnsi="Calibri" w:cs="Calibri"/>
                <w:color w:val="000000"/>
                <w:sz w:val="16"/>
                <w:szCs w:val="16"/>
              </w:rPr>
              <w:t>Gonseth</w:t>
            </w:r>
            <w:proofErr w:type="spellEnd"/>
            <w:r w:rsidRPr="001D71D9">
              <w:rPr>
                <w:rFonts w:ascii="Calibri" w:hAnsi="Calibri" w:cs="Calibri"/>
                <w:color w:val="000000"/>
                <w:sz w:val="16"/>
                <w:szCs w:val="16"/>
              </w:rPr>
              <w:t xml:space="preserve"> et al.</w:t>
            </w:r>
          </w:p>
        </w:tc>
        <w:tc>
          <w:tcPr>
            <w:tcW w:w="567" w:type="dxa"/>
            <w:tcBorders>
              <w:top w:val="nil"/>
              <w:bottom w:val="nil"/>
            </w:tcBorders>
            <w:noWrap/>
          </w:tcPr>
          <w:p w14:paraId="464CD387"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2015</w:t>
            </w:r>
          </w:p>
        </w:tc>
        <w:tc>
          <w:tcPr>
            <w:tcW w:w="851" w:type="dxa"/>
            <w:tcBorders>
              <w:top w:val="nil"/>
              <w:bottom w:val="nil"/>
            </w:tcBorders>
            <w:noWrap/>
          </w:tcPr>
          <w:p w14:paraId="0C5BC421" w14:textId="77777777" w:rsidR="00677B51" w:rsidRPr="00997125"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lang w:val="es-ES"/>
              </w:rPr>
            </w:pPr>
            <w:r w:rsidRPr="00997125">
              <w:rPr>
                <w:rFonts w:ascii="Calibri" w:hAnsi="Calibri" w:cs="Calibri"/>
                <w:color w:val="000000"/>
                <w:sz w:val="16"/>
                <w:szCs w:val="16"/>
                <w:lang w:val="es-ES"/>
              </w:rPr>
              <w:t>BEL, CZR, DEN, FIN, FRA, ITA</w:t>
            </w:r>
          </w:p>
        </w:tc>
        <w:tc>
          <w:tcPr>
            <w:tcW w:w="708" w:type="dxa"/>
            <w:tcBorders>
              <w:top w:val="nil"/>
              <w:bottom w:val="nil"/>
            </w:tcBorders>
            <w:noWrap/>
          </w:tcPr>
          <w:p w14:paraId="377FD08C"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Diesel price and tax</w:t>
            </w:r>
          </w:p>
        </w:tc>
        <w:tc>
          <w:tcPr>
            <w:tcW w:w="1061" w:type="dxa"/>
            <w:gridSpan w:val="2"/>
            <w:tcBorders>
              <w:top w:val="nil"/>
              <w:bottom w:val="nil"/>
            </w:tcBorders>
            <w:noWrap/>
          </w:tcPr>
          <w:p w14:paraId="3D706B4B"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tcBorders>
              <w:top w:val="nil"/>
              <w:bottom w:val="nil"/>
            </w:tcBorders>
            <w:noWrap/>
          </w:tcPr>
          <w:p w14:paraId="1CD0ED5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1990-2003</w:t>
            </w:r>
          </w:p>
        </w:tc>
        <w:tc>
          <w:tcPr>
            <w:tcW w:w="1275" w:type="dxa"/>
            <w:tcBorders>
              <w:top w:val="nil"/>
              <w:bottom w:val="nil"/>
              <w:right w:val="single" w:sz="4" w:space="0" w:color="auto"/>
            </w:tcBorders>
            <w:noWrap/>
          </w:tcPr>
          <w:p w14:paraId="162D2ACC"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11 sectors in 6 countries</w:t>
            </w:r>
          </w:p>
        </w:tc>
        <w:tc>
          <w:tcPr>
            <w:tcW w:w="1885" w:type="dxa"/>
            <w:tcBorders>
              <w:top w:val="nil"/>
              <w:left w:val="single" w:sz="4" w:space="0" w:color="auto"/>
              <w:bottom w:val="nil"/>
            </w:tcBorders>
            <w:noWrap/>
          </w:tcPr>
          <w:p w14:paraId="5DCF9CF0"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85" w:type="dxa"/>
            <w:tcBorders>
              <w:top w:val="nil"/>
              <w:bottom w:val="nil"/>
            </w:tcBorders>
            <w:noWrap/>
          </w:tcPr>
          <w:p w14:paraId="00C4924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85" w:type="dxa"/>
            <w:tcBorders>
              <w:top w:val="nil"/>
              <w:bottom w:val="nil"/>
            </w:tcBorders>
            <w:noWrap/>
          </w:tcPr>
          <w:p w14:paraId="102DA27D"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85" w:type="dxa"/>
            <w:tcBorders>
              <w:top w:val="nil"/>
              <w:bottom w:val="nil"/>
            </w:tcBorders>
            <w:shd w:val="clear" w:color="auto" w:fill="00B0F0"/>
            <w:noWrap/>
          </w:tcPr>
          <w:p w14:paraId="41BF5B5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TFP decreases in low wage sectors and increases in high wage sectors</w:t>
            </w:r>
          </w:p>
        </w:tc>
        <w:tc>
          <w:tcPr>
            <w:tcW w:w="1890" w:type="dxa"/>
            <w:tcBorders>
              <w:top w:val="nil"/>
              <w:bottom w:val="nil"/>
            </w:tcBorders>
            <w:noWrap/>
          </w:tcPr>
          <w:p w14:paraId="651F29D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r>
      <w:tr w:rsidR="00677B51" w:rsidRPr="0005433E" w14:paraId="61B055A0"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tcPr>
          <w:p w14:paraId="11802033" w14:textId="77777777" w:rsidR="00677B51" w:rsidRPr="001D71D9" w:rsidRDefault="00677B51" w:rsidP="00677B51">
            <w:pPr>
              <w:jc w:val="left"/>
              <w:rPr>
                <w:rFonts w:ascii="Calibri" w:hAnsi="Calibri" w:cs="Calibri"/>
                <w:color w:val="000000"/>
                <w:sz w:val="16"/>
                <w:szCs w:val="16"/>
              </w:rPr>
            </w:pPr>
            <w:proofErr w:type="spellStart"/>
            <w:r w:rsidRPr="001D71D9">
              <w:rPr>
                <w:rFonts w:ascii="Calibri" w:hAnsi="Calibri" w:cs="Calibri"/>
                <w:color w:val="000000"/>
                <w:sz w:val="16"/>
                <w:szCs w:val="16"/>
              </w:rPr>
              <w:t>Aldy</w:t>
            </w:r>
            <w:proofErr w:type="spellEnd"/>
            <w:r w:rsidRPr="001D71D9">
              <w:rPr>
                <w:rFonts w:ascii="Calibri" w:hAnsi="Calibri" w:cs="Calibri"/>
                <w:color w:val="000000"/>
                <w:sz w:val="16"/>
                <w:szCs w:val="16"/>
              </w:rPr>
              <w:t xml:space="preserve"> &amp; Pizer</w:t>
            </w:r>
          </w:p>
        </w:tc>
        <w:tc>
          <w:tcPr>
            <w:tcW w:w="567" w:type="dxa"/>
            <w:noWrap/>
          </w:tcPr>
          <w:p w14:paraId="7B5FFC0C"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noProof/>
                <w:color w:val="000000"/>
                <w:sz w:val="16"/>
                <w:szCs w:val="16"/>
              </w:rPr>
              <w:t>2015</w:t>
            </w:r>
          </w:p>
        </w:tc>
        <w:tc>
          <w:tcPr>
            <w:tcW w:w="851" w:type="dxa"/>
            <w:noWrap/>
          </w:tcPr>
          <w:p w14:paraId="2C55490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US</w:t>
            </w:r>
          </w:p>
        </w:tc>
        <w:tc>
          <w:tcPr>
            <w:tcW w:w="708" w:type="dxa"/>
            <w:noWrap/>
          </w:tcPr>
          <w:p w14:paraId="5EE058C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Energy price</w:t>
            </w:r>
          </w:p>
        </w:tc>
        <w:tc>
          <w:tcPr>
            <w:tcW w:w="1061" w:type="dxa"/>
            <w:gridSpan w:val="2"/>
            <w:noWrap/>
          </w:tcPr>
          <w:p w14:paraId="5FB9C69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tcPr>
          <w:p w14:paraId="75039C7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1972-2005</w:t>
            </w:r>
          </w:p>
        </w:tc>
        <w:tc>
          <w:tcPr>
            <w:tcW w:w="1275" w:type="dxa"/>
            <w:tcBorders>
              <w:right w:val="single" w:sz="12" w:space="0" w:color="auto"/>
            </w:tcBorders>
            <w:noWrap/>
          </w:tcPr>
          <w:p w14:paraId="269566E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450 subsectors</w:t>
            </w:r>
          </w:p>
        </w:tc>
        <w:tc>
          <w:tcPr>
            <w:tcW w:w="1885" w:type="dxa"/>
            <w:tcBorders>
              <w:left w:val="single" w:sz="12" w:space="0" w:color="auto"/>
            </w:tcBorders>
            <w:shd w:val="clear" w:color="auto" w:fill="FF0000"/>
            <w:noWrap/>
          </w:tcPr>
          <w:p w14:paraId="4C9898AF"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xml:space="preserve">A 10% increase in fuel prices reduces output by 0.8% </w:t>
            </w:r>
          </w:p>
        </w:tc>
        <w:tc>
          <w:tcPr>
            <w:tcW w:w="1885" w:type="dxa"/>
            <w:noWrap/>
          </w:tcPr>
          <w:p w14:paraId="15264E5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85" w:type="dxa"/>
            <w:noWrap/>
          </w:tcPr>
          <w:p w14:paraId="79980E22"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85" w:type="dxa"/>
            <w:noWrap/>
          </w:tcPr>
          <w:p w14:paraId="596326D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90" w:type="dxa"/>
            <w:noWrap/>
          </w:tcPr>
          <w:p w14:paraId="4BD5BC94"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677B51" w:rsidRPr="0005433E" w14:paraId="06D80FE2"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4D1CF7D" w14:textId="77777777" w:rsidR="00677B51" w:rsidRPr="001D71D9" w:rsidRDefault="00677B51" w:rsidP="00677B51">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Wagner et al.</w:t>
            </w:r>
          </w:p>
        </w:tc>
        <w:tc>
          <w:tcPr>
            <w:tcW w:w="567" w:type="dxa"/>
            <w:noWrap/>
            <w:hideMark/>
          </w:tcPr>
          <w:p w14:paraId="4011CB9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2014</w:t>
            </w:r>
          </w:p>
        </w:tc>
        <w:tc>
          <w:tcPr>
            <w:tcW w:w="851" w:type="dxa"/>
            <w:noWrap/>
            <w:hideMark/>
          </w:tcPr>
          <w:p w14:paraId="05BD6B1B"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France</w:t>
            </w:r>
          </w:p>
        </w:tc>
        <w:tc>
          <w:tcPr>
            <w:tcW w:w="708" w:type="dxa"/>
            <w:noWrap/>
            <w:hideMark/>
          </w:tcPr>
          <w:p w14:paraId="4EC2A434"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1C223DF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68B0668D"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2000-2010</w:t>
            </w:r>
          </w:p>
        </w:tc>
        <w:tc>
          <w:tcPr>
            <w:tcW w:w="1275" w:type="dxa"/>
            <w:tcBorders>
              <w:right w:val="single" w:sz="12" w:space="0" w:color="auto"/>
            </w:tcBorders>
            <w:noWrap/>
            <w:hideMark/>
          </w:tcPr>
          <w:p w14:paraId="525B1B0B"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287 ETS firms, 287 non-ETS </w:t>
            </w:r>
          </w:p>
        </w:tc>
        <w:tc>
          <w:tcPr>
            <w:tcW w:w="1885" w:type="dxa"/>
            <w:tcBorders>
              <w:left w:val="single" w:sz="12" w:space="0" w:color="auto"/>
            </w:tcBorders>
            <w:shd w:val="clear" w:color="auto" w:fill="FFFF00"/>
            <w:noWrap/>
            <w:hideMark/>
          </w:tcPr>
          <w:p w14:paraId="0C295D7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Value added insignificant</w:t>
            </w:r>
          </w:p>
        </w:tc>
        <w:tc>
          <w:tcPr>
            <w:tcW w:w="1885" w:type="dxa"/>
            <w:shd w:val="clear" w:color="auto" w:fill="00B050"/>
            <w:noWrap/>
            <w:hideMark/>
          </w:tcPr>
          <w:p w14:paraId="29F2C03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Large impact during phase II (2008-2010)</w:t>
            </w:r>
          </w:p>
        </w:tc>
        <w:tc>
          <w:tcPr>
            <w:tcW w:w="1885" w:type="dxa"/>
            <w:shd w:val="clear" w:color="auto" w:fill="00B0F0"/>
            <w:noWrap/>
            <w:hideMark/>
          </w:tcPr>
          <w:p w14:paraId="60C4199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Insignificant at firm level, but negative on installation level </w:t>
            </w:r>
          </w:p>
        </w:tc>
        <w:tc>
          <w:tcPr>
            <w:tcW w:w="1885" w:type="dxa"/>
            <w:noWrap/>
            <w:hideMark/>
          </w:tcPr>
          <w:p w14:paraId="5E160D5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noWrap/>
            <w:hideMark/>
          </w:tcPr>
          <w:p w14:paraId="0F09D25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677B51" w:rsidRPr="00FE2406" w14:paraId="497F4C54"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9E5F944" w14:textId="77777777" w:rsidR="00677B51" w:rsidRPr="001D71D9" w:rsidRDefault="00677B51" w:rsidP="00677B51">
            <w:pPr>
              <w:jc w:val="left"/>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Petrick</w:t>
            </w:r>
            <w:proofErr w:type="spellEnd"/>
            <w:r w:rsidRPr="001D71D9">
              <w:rPr>
                <w:rFonts w:ascii="Calibri" w:hAnsi="Calibri" w:cs="Calibri"/>
                <w:color w:val="000000"/>
                <w:sz w:val="16"/>
                <w:szCs w:val="16"/>
              </w:rPr>
              <w:t xml:space="preserve"> &amp; Wagner</w:t>
            </w:r>
          </w:p>
        </w:tc>
        <w:tc>
          <w:tcPr>
            <w:tcW w:w="567" w:type="dxa"/>
            <w:noWrap/>
            <w:hideMark/>
          </w:tcPr>
          <w:p w14:paraId="769866F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2014</w:t>
            </w:r>
          </w:p>
        </w:tc>
        <w:tc>
          <w:tcPr>
            <w:tcW w:w="851" w:type="dxa"/>
            <w:noWrap/>
            <w:hideMark/>
          </w:tcPr>
          <w:p w14:paraId="4FB2F39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Germany</w:t>
            </w:r>
          </w:p>
        </w:tc>
        <w:tc>
          <w:tcPr>
            <w:tcW w:w="708" w:type="dxa"/>
            <w:noWrap/>
            <w:hideMark/>
          </w:tcPr>
          <w:p w14:paraId="1F37A40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349C4E8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6B7E3EE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2000-2010</w:t>
            </w:r>
          </w:p>
        </w:tc>
        <w:tc>
          <w:tcPr>
            <w:tcW w:w="1275" w:type="dxa"/>
            <w:tcBorders>
              <w:right w:val="single" w:sz="12" w:space="0" w:color="auto"/>
            </w:tcBorders>
            <w:noWrap/>
            <w:hideMark/>
          </w:tcPr>
          <w:p w14:paraId="654103C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400 ETS firms, 280 non-ETS </w:t>
            </w:r>
          </w:p>
        </w:tc>
        <w:tc>
          <w:tcPr>
            <w:tcW w:w="1885" w:type="dxa"/>
            <w:tcBorders>
              <w:left w:val="single" w:sz="12" w:space="0" w:color="auto"/>
            </w:tcBorders>
            <w:shd w:val="clear" w:color="auto" w:fill="00B050"/>
            <w:noWrap/>
            <w:hideMark/>
          </w:tcPr>
          <w:p w14:paraId="0A3AE8E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Turnover +5% to +7%</w:t>
            </w:r>
          </w:p>
        </w:tc>
        <w:tc>
          <w:tcPr>
            <w:tcW w:w="1885" w:type="dxa"/>
            <w:noWrap/>
            <w:hideMark/>
          </w:tcPr>
          <w:p w14:paraId="11057FD9"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FFFF00"/>
            <w:noWrap/>
            <w:hideMark/>
          </w:tcPr>
          <w:p w14:paraId="1B06557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w:t>
            </w:r>
          </w:p>
        </w:tc>
        <w:tc>
          <w:tcPr>
            <w:tcW w:w="1885" w:type="dxa"/>
            <w:noWrap/>
            <w:hideMark/>
          </w:tcPr>
          <w:p w14:paraId="5D09817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noWrap/>
            <w:hideMark/>
          </w:tcPr>
          <w:p w14:paraId="50B84D6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677B51" w:rsidRPr="00FE2406" w14:paraId="5917DD4F"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tcPr>
          <w:p w14:paraId="33A0046A" w14:textId="77777777" w:rsidR="00677B51" w:rsidRPr="001D71D9" w:rsidRDefault="00677B51" w:rsidP="00677B51">
            <w:pPr>
              <w:jc w:val="left"/>
              <w:rPr>
                <w:rFonts w:ascii="Calibri" w:hAnsi="Calibri" w:cs="Calibri"/>
                <w:color w:val="000000"/>
                <w:sz w:val="16"/>
                <w:szCs w:val="16"/>
              </w:rPr>
            </w:pPr>
            <w:r w:rsidRPr="001D71D9">
              <w:rPr>
                <w:rFonts w:ascii="Calibri" w:hAnsi="Calibri" w:cs="Calibri"/>
                <w:color w:val="000000"/>
                <w:sz w:val="16"/>
                <w:szCs w:val="16"/>
              </w:rPr>
              <w:t xml:space="preserve">Martin, </w:t>
            </w:r>
            <w:proofErr w:type="spellStart"/>
            <w:r w:rsidRPr="001D71D9">
              <w:rPr>
                <w:rFonts w:ascii="Calibri" w:hAnsi="Calibri" w:cs="Calibri"/>
                <w:color w:val="000000"/>
                <w:sz w:val="16"/>
                <w:szCs w:val="16"/>
              </w:rPr>
              <w:t>dePreux</w:t>
            </w:r>
            <w:proofErr w:type="spellEnd"/>
            <w:r w:rsidRPr="001D71D9">
              <w:rPr>
                <w:rFonts w:ascii="Calibri" w:hAnsi="Calibri" w:cs="Calibri"/>
                <w:color w:val="000000"/>
                <w:sz w:val="16"/>
                <w:szCs w:val="16"/>
              </w:rPr>
              <w:t>, Wagner</w:t>
            </w:r>
          </w:p>
        </w:tc>
        <w:tc>
          <w:tcPr>
            <w:tcW w:w="567" w:type="dxa"/>
            <w:noWrap/>
          </w:tcPr>
          <w:p w14:paraId="1CD61E7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noProof/>
                <w:color w:val="000000"/>
                <w:sz w:val="16"/>
                <w:szCs w:val="16"/>
              </w:rPr>
            </w:pPr>
            <w:r w:rsidRPr="001D71D9">
              <w:rPr>
                <w:rFonts w:ascii="Calibri" w:hAnsi="Calibri" w:cs="Calibri"/>
                <w:noProof/>
                <w:color w:val="000000"/>
                <w:sz w:val="16"/>
                <w:szCs w:val="16"/>
              </w:rPr>
              <w:t>2014</w:t>
            </w:r>
          </w:p>
        </w:tc>
        <w:tc>
          <w:tcPr>
            <w:tcW w:w="851" w:type="dxa"/>
            <w:noWrap/>
          </w:tcPr>
          <w:p w14:paraId="5D5A96E9"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United Kingdom</w:t>
            </w:r>
          </w:p>
        </w:tc>
        <w:tc>
          <w:tcPr>
            <w:tcW w:w="708" w:type="dxa"/>
            <w:noWrap/>
          </w:tcPr>
          <w:p w14:paraId="775C5BE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Tax</w:t>
            </w:r>
          </w:p>
        </w:tc>
        <w:tc>
          <w:tcPr>
            <w:tcW w:w="1061" w:type="dxa"/>
            <w:gridSpan w:val="2"/>
            <w:noWrap/>
          </w:tcPr>
          <w:p w14:paraId="2D3DD4E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tcPr>
          <w:p w14:paraId="381C853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1999-2004</w:t>
            </w:r>
          </w:p>
        </w:tc>
        <w:tc>
          <w:tcPr>
            <w:tcW w:w="1275" w:type="dxa"/>
            <w:tcBorders>
              <w:right w:val="single" w:sz="12" w:space="0" w:color="auto"/>
            </w:tcBorders>
            <w:noWrap/>
          </w:tcPr>
          <w:p w14:paraId="39307CA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4000 plants</w:t>
            </w:r>
          </w:p>
        </w:tc>
        <w:tc>
          <w:tcPr>
            <w:tcW w:w="1885" w:type="dxa"/>
            <w:tcBorders>
              <w:left w:val="single" w:sz="12" w:space="0" w:color="auto"/>
            </w:tcBorders>
            <w:shd w:val="clear" w:color="auto" w:fill="auto"/>
            <w:noWrap/>
          </w:tcPr>
          <w:p w14:paraId="142A15E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w:t>
            </w:r>
          </w:p>
        </w:tc>
        <w:tc>
          <w:tcPr>
            <w:tcW w:w="1885" w:type="dxa"/>
            <w:noWrap/>
          </w:tcPr>
          <w:p w14:paraId="2D977B4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w:t>
            </w:r>
          </w:p>
        </w:tc>
        <w:tc>
          <w:tcPr>
            <w:tcW w:w="1885" w:type="dxa"/>
            <w:shd w:val="clear" w:color="auto" w:fill="FFFF00"/>
            <w:noWrap/>
          </w:tcPr>
          <w:p w14:paraId="27619216"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Insignificant</w:t>
            </w:r>
          </w:p>
        </w:tc>
        <w:tc>
          <w:tcPr>
            <w:tcW w:w="1885" w:type="dxa"/>
            <w:shd w:val="clear" w:color="auto" w:fill="FFFF00"/>
            <w:noWrap/>
          </w:tcPr>
          <w:p w14:paraId="652E256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Total factor productivity insignificant</w:t>
            </w:r>
          </w:p>
        </w:tc>
        <w:tc>
          <w:tcPr>
            <w:tcW w:w="1890" w:type="dxa"/>
            <w:noWrap/>
          </w:tcPr>
          <w:p w14:paraId="365E4207"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w:t>
            </w:r>
          </w:p>
        </w:tc>
      </w:tr>
      <w:tr w:rsidR="00677B51" w:rsidRPr="001A3570" w14:paraId="567CDA15"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3920694" w14:textId="77777777" w:rsidR="00677B51" w:rsidRPr="001D71D9" w:rsidRDefault="00677B51" w:rsidP="00677B51">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Yu</w:t>
            </w:r>
          </w:p>
        </w:tc>
        <w:tc>
          <w:tcPr>
            <w:tcW w:w="567" w:type="dxa"/>
            <w:noWrap/>
            <w:hideMark/>
          </w:tcPr>
          <w:p w14:paraId="14131E4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eastAsia="Times New Roman" w:hAnsi="Calibri" w:cs="Calibri"/>
                <w:noProof/>
                <w:color w:val="000000"/>
                <w:sz w:val="16"/>
                <w:szCs w:val="16"/>
                <w:lang w:eastAsia="fr-BE"/>
              </w:rPr>
              <w:t>2013</w:t>
            </w:r>
          </w:p>
        </w:tc>
        <w:tc>
          <w:tcPr>
            <w:tcW w:w="851" w:type="dxa"/>
            <w:noWrap/>
            <w:hideMark/>
          </w:tcPr>
          <w:p w14:paraId="3C7E5534"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Sweden</w:t>
            </w:r>
          </w:p>
        </w:tc>
        <w:tc>
          <w:tcPr>
            <w:tcW w:w="708" w:type="dxa"/>
            <w:noWrap/>
            <w:hideMark/>
          </w:tcPr>
          <w:p w14:paraId="55976E93"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2D79F092"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Energy sector</w:t>
            </w:r>
          </w:p>
        </w:tc>
        <w:tc>
          <w:tcPr>
            <w:tcW w:w="640" w:type="dxa"/>
            <w:noWrap/>
            <w:hideMark/>
          </w:tcPr>
          <w:p w14:paraId="3A0ECB7C"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2004-2006</w:t>
            </w:r>
          </w:p>
        </w:tc>
        <w:tc>
          <w:tcPr>
            <w:tcW w:w="1275" w:type="dxa"/>
            <w:tcBorders>
              <w:right w:val="single" w:sz="12" w:space="0" w:color="auto"/>
            </w:tcBorders>
            <w:noWrap/>
            <w:hideMark/>
          </w:tcPr>
          <w:p w14:paraId="64A12199"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113 regulated, 1000 in total</w:t>
            </w:r>
          </w:p>
        </w:tc>
        <w:tc>
          <w:tcPr>
            <w:tcW w:w="1885" w:type="dxa"/>
            <w:tcBorders>
              <w:left w:val="single" w:sz="12" w:space="0" w:color="auto"/>
            </w:tcBorders>
            <w:noWrap/>
            <w:hideMark/>
          </w:tcPr>
          <w:p w14:paraId="1492C459"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5D835509"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126217C8"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noWrap/>
            <w:hideMark/>
          </w:tcPr>
          <w:p w14:paraId="5837218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shd w:val="clear" w:color="auto" w:fill="00B0F0"/>
            <w:noWrap/>
            <w:hideMark/>
          </w:tcPr>
          <w:p w14:paraId="560D478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 in 2005, -1% in 2006</w:t>
            </w:r>
          </w:p>
        </w:tc>
      </w:tr>
      <w:tr w:rsidR="00677B51" w:rsidRPr="00FE2406" w14:paraId="783E591B" w14:textId="77777777" w:rsidTr="00E90440">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EC736A4" w14:textId="77777777" w:rsidR="00677B51" w:rsidRPr="001D71D9" w:rsidRDefault="00677B51" w:rsidP="00677B51">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Chan, Li &amp; Zhang</w:t>
            </w:r>
          </w:p>
        </w:tc>
        <w:tc>
          <w:tcPr>
            <w:tcW w:w="567" w:type="dxa"/>
            <w:noWrap/>
            <w:hideMark/>
          </w:tcPr>
          <w:p w14:paraId="0B87F158"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2013</w:t>
            </w:r>
          </w:p>
        </w:tc>
        <w:tc>
          <w:tcPr>
            <w:tcW w:w="851" w:type="dxa"/>
            <w:noWrap/>
            <w:hideMark/>
          </w:tcPr>
          <w:p w14:paraId="7942868C"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EU</w:t>
            </w:r>
          </w:p>
        </w:tc>
        <w:tc>
          <w:tcPr>
            <w:tcW w:w="708" w:type="dxa"/>
            <w:noWrap/>
            <w:hideMark/>
          </w:tcPr>
          <w:p w14:paraId="083090F0"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4A350634"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Cement, iron, electricity</w:t>
            </w:r>
          </w:p>
        </w:tc>
        <w:tc>
          <w:tcPr>
            <w:tcW w:w="640" w:type="dxa"/>
            <w:noWrap/>
            <w:hideMark/>
          </w:tcPr>
          <w:p w14:paraId="6F3BC98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2001-2009</w:t>
            </w:r>
          </w:p>
        </w:tc>
        <w:tc>
          <w:tcPr>
            <w:tcW w:w="1275" w:type="dxa"/>
            <w:tcBorders>
              <w:right w:val="single" w:sz="12" w:space="0" w:color="auto"/>
            </w:tcBorders>
            <w:noWrap/>
            <w:hideMark/>
          </w:tcPr>
          <w:p w14:paraId="63AE918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5873 ETS and non-ETS firms</w:t>
            </w:r>
          </w:p>
        </w:tc>
        <w:tc>
          <w:tcPr>
            <w:tcW w:w="1885" w:type="dxa"/>
            <w:tcBorders>
              <w:left w:val="single" w:sz="12" w:space="0" w:color="auto"/>
            </w:tcBorders>
            <w:shd w:val="clear" w:color="auto" w:fill="00B0F0"/>
            <w:noWrap/>
            <w:hideMark/>
          </w:tcPr>
          <w:p w14:paraId="3B113039"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Electricity (+30%), cement and iron &amp; steel insignificant </w:t>
            </w:r>
          </w:p>
        </w:tc>
        <w:tc>
          <w:tcPr>
            <w:tcW w:w="1885" w:type="dxa"/>
            <w:shd w:val="clear" w:color="auto" w:fill="auto"/>
            <w:noWrap/>
            <w:hideMark/>
          </w:tcPr>
          <w:p w14:paraId="1D73C82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FFFF00"/>
            <w:noWrap/>
            <w:hideMark/>
          </w:tcPr>
          <w:p w14:paraId="7DD385D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w:t>
            </w:r>
          </w:p>
        </w:tc>
        <w:tc>
          <w:tcPr>
            <w:tcW w:w="1885" w:type="dxa"/>
            <w:shd w:val="clear" w:color="auto" w:fill="auto"/>
            <w:noWrap/>
            <w:hideMark/>
          </w:tcPr>
          <w:p w14:paraId="36C38AD6"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shd w:val="clear" w:color="auto" w:fill="auto"/>
            <w:noWrap/>
            <w:hideMark/>
          </w:tcPr>
          <w:p w14:paraId="06B210E2"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r w:rsidR="00677B51" w:rsidRPr="0005433E" w14:paraId="2C40C92A"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noWrap/>
          </w:tcPr>
          <w:p w14:paraId="0AED6B0E" w14:textId="77777777" w:rsidR="00677B51" w:rsidRPr="001D71D9" w:rsidRDefault="00677B51" w:rsidP="00677B51">
            <w:pPr>
              <w:jc w:val="left"/>
              <w:rPr>
                <w:rFonts w:ascii="Calibri" w:hAnsi="Calibri" w:cs="Calibri"/>
                <w:color w:val="000000"/>
                <w:sz w:val="16"/>
                <w:szCs w:val="16"/>
              </w:rPr>
            </w:pPr>
            <w:r w:rsidRPr="001D71D9">
              <w:rPr>
                <w:rFonts w:ascii="Calibri" w:hAnsi="Calibri" w:cs="Calibri"/>
                <w:color w:val="000000"/>
                <w:sz w:val="16"/>
                <w:szCs w:val="16"/>
              </w:rPr>
              <w:t>Kahn &amp; Mansur</w:t>
            </w:r>
          </w:p>
        </w:tc>
        <w:tc>
          <w:tcPr>
            <w:tcW w:w="567" w:type="dxa"/>
            <w:tcBorders>
              <w:top w:val="nil"/>
              <w:bottom w:val="nil"/>
            </w:tcBorders>
            <w:noWrap/>
          </w:tcPr>
          <w:p w14:paraId="5130B082"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2013</w:t>
            </w:r>
          </w:p>
        </w:tc>
        <w:tc>
          <w:tcPr>
            <w:tcW w:w="851" w:type="dxa"/>
            <w:tcBorders>
              <w:top w:val="nil"/>
              <w:bottom w:val="nil"/>
            </w:tcBorders>
            <w:noWrap/>
          </w:tcPr>
          <w:p w14:paraId="53F03C73"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US</w:t>
            </w:r>
          </w:p>
        </w:tc>
        <w:tc>
          <w:tcPr>
            <w:tcW w:w="708" w:type="dxa"/>
            <w:tcBorders>
              <w:top w:val="nil"/>
              <w:bottom w:val="nil"/>
            </w:tcBorders>
            <w:noWrap/>
          </w:tcPr>
          <w:p w14:paraId="424BDDB8"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Electricity price</w:t>
            </w:r>
          </w:p>
        </w:tc>
        <w:tc>
          <w:tcPr>
            <w:tcW w:w="1061" w:type="dxa"/>
            <w:gridSpan w:val="2"/>
            <w:tcBorders>
              <w:top w:val="nil"/>
              <w:bottom w:val="nil"/>
            </w:tcBorders>
            <w:noWrap/>
          </w:tcPr>
          <w:p w14:paraId="7385C2CB"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tcBorders>
              <w:top w:val="nil"/>
              <w:bottom w:val="nil"/>
            </w:tcBorders>
            <w:noWrap/>
          </w:tcPr>
          <w:p w14:paraId="6D8ED59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1998-2009</w:t>
            </w:r>
          </w:p>
        </w:tc>
        <w:tc>
          <w:tcPr>
            <w:tcW w:w="1275" w:type="dxa"/>
            <w:tcBorders>
              <w:top w:val="nil"/>
              <w:bottom w:val="nil"/>
              <w:right w:val="single" w:sz="4" w:space="0" w:color="auto"/>
            </w:tcBorders>
            <w:noWrap/>
          </w:tcPr>
          <w:p w14:paraId="1BA5C938"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 xml:space="preserve">21 </w:t>
            </w:r>
            <w:proofErr w:type="gramStart"/>
            <w:r w:rsidRPr="001D71D9">
              <w:rPr>
                <w:rFonts w:ascii="Calibri" w:hAnsi="Calibri" w:cs="Calibri"/>
                <w:color w:val="000000"/>
                <w:sz w:val="16"/>
                <w:szCs w:val="16"/>
              </w:rPr>
              <w:t>sectors  in</w:t>
            </w:r>
            <w:proofErr w:type="gramEnd"/>
            <w:r w:rsidRPr="001D71D9">
              <w:rPr>
                <w:rFonts w:ascii="Calibri" w:hAnsi="Calibri" w:cs="Calibri"/>
                <w:color w:val="000000"/>
                <w:sz w:val="16"/>
                <w:szCs w:val="16"/>
              </w:rPr>
              <w:t xml:space="preserve"> +-540 counties </w:t>
            </w:r>
          </w:p>
        </w:tc>
        <w:tc>
          <w:tcPr>
            <w:tcW w:w="1885" w:type="dxa"/>
            <w:tcBorders>
              <w:top w:val="nil"/>
              <w:left w:val="single" w:sz="4" w:space="0" w:color="auto"/>
              <w:bottom w:val="nil"/>
            </w:tcBorders>
            <w:noWrap/>
          </w:tcPr>
          <w:p w14:paraId="42253373" w14:textId="77777777" w:rsidR="00677B51" w:rsidRPr="001D71D9" w:rsidRDefault="00677B51" w:rsidP="00677B51">
            <w:pPr>
              <w:pStyle w:val="Sourcenotes"/>
              <w:ind w:left="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sz w:val="16"/>
                <w:szCs w:val="16"/>
              </w:rPr>
            </w:pPr>
          </w:p>
        </w:tc>
        <w:tc>
          <w:tcPr>
            <w:tcW w:w="1885" w:type="dxa"/>
            <w:tcBorders>
              <w:top w:val="nil"/>
              <w:bottom w:val="nil"/>
            </w:tcBorders>
            <w:noWrap/>
          </w:tcPr>
          <w:p w14:paraId="28338EE8"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85" w:type="dxa"/>
            <w:tcBorders>
              <w:top w:val="nil"/>
              <w:bottom w:val="nil"/>
            </w:tcBorders>
            <w:shd w:val="clear" w:color="auto" w:fill="00B0F0"/>
            <w:noWrap/>
          </w:tcPr>
          <w:p w14:paraId="5CFE22BC"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all sectors: non-significant. Energy-intensive sectors: negative.</w:t>
            </w:r>
          </w:p>
        </w:tc>
        <w:tc>
          <w:tcPr>
            <w:tcW w:w="1885" w:type="dxa"/>
            <w:tcBorders>
              <w:top w:val="nil"/>
              <w:bottom w:val="nil"/>
            </w:tcBorders>
            <w:noWrap/>
          </w:tcPr>
          <w:p w14:paraId="1C8778F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1890" w:type="dxa"/>
            <w:tcBorders>
              <w:top w:val="nil"/>
              <w:bottom w:val="nil"/>
            </w:tcBorders>
            <w:noWrap/>
          </w:tcPr>
          <w:p w14:paraId="1437659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677B51" w:rsidRPr="0005433E" w14:paraId="463A88AA"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C722766" w14:textId="77777777" w:rsidR="00677B51" w:rsidRPr="001D71D9" w:rsidRDefault="00677B51" w:rsidP="00677B51">
            <w:pPr>
              <w:jc w:val="left"/>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Commins</w:t>
            </w:r>
            <w:proofErr w:type="spellEnd"/>
            <w:r w:rsidRPr="001D71D9">
              <w:rPr>
                <w:rFonts w:ascii="Calibri" w:hAnsi="Calibri" w:cs="Calibri"/>
                <w:color w:val="000000"/>
                <w:sz w:val="16"/>
                <w:szCs w:val="16"/>
              </w:rPr>
              <w:t xml:space="preserve"> et al.</w:t>
            </w:r>
          </w:p>
        </w:tc>
        <w:tc>
          <w:tcPr>
            <w:tcW w:w="567" w:type="dxa"/>
            <w:noWrap/>
            <w:hideMark/>
          </w:tcPr>
          <w:p w14:paraId="525E5769"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2011</w:t>
            </w:r>
          </w:p>
        </w:tc>
        <w:tc>
          <w:tcPr>
            <w:tcW w:w="851" w:type="dxa"/>
            <w:noWrap/>
            <w:hideMark/>
          </w:tcPr>
          <w:p w14:paraId="084C2B7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EU</w:t>
            </w:r>
          </w:p>
        </w:tc>
        <w:tc>
          <w:tcPr>
            <w:tcW w:w="708" w:type="dxa"/>
            <w:noWrap/>
            <w:hideMark/>
          </w:tcPr>
          <w:p w14:paraId="6D2B4EC9"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 &amp; Tax</w:t>
            </w:r>
          </w:p>
        </w:tc>
        <w:tc>
          <w:tcPr>
            <w:tcW w:w="1061" w:type="dxa"/>
            <w:gridSpan w:val="2"/>
            <w:noWrap/>
            <w:hideMark/>
          </w:tcPr>
          <w:p w14:paraId="317A72D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4193E198"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1996-2007</w:t>
            </w:r>
          </w:p>
        </w:tc>
        <w:tc>
          <w:tcPr>
            <w:tcW w:w="1275" w:type="dxa"/>
            <w:tcBorders>
              <w:right w:val="single" w:sz="12" w:space="0" w:color="auto"/>
            </w:tcBorders>
            <w:noWrap/>
            <w:hideMark/>
          </w:tcPr>
          <w:p w14:paraId="61424EFF"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160,000 firms</w:t>
            </w:r>
          </w:p>
        </w:tc>
        <w:tc>
          <w:tcPr>
            <w:tcW w:w="1885" w:type="dxa"/>
            <w:tcBorders>
              <w:left w:val="single" w:sz="12" w:space="0" w:color="auto"/>
            </w:tcBorders>
            <w:noWrap/>
            <w:hideMark/>
          </w:tcPr>
          <w:p w14:paraId="47DD711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FF0000"/>
            <w:noWrap/>
            <w:hideMark/>
          </w:tcPr>
          <w:p w14:paraId="154955A1"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proofErr w:type="gramStart"/>
            <w:r w:rsidRPr="001D71D9">
              <w:rPr>
                <w:rFonts w:ascii="Calibri" w:hAnsi="Calibri" w:cs="Calibri"/>
                <w:color w:val="000000"/>
                <w:sz w:val="16"/>
                <w:szCs w:val="16"/>
              </w:rPr>
              <w:t>Investment :</w:t>
            </w:r>
            <w:proofErr w:type="gramEnd"/>
            <w:r w:rsidRPr="001D71D9">
              <w:rPr>
                <w:rFonts w:ascii="Calibri" w:hAnsi="Calibri" w:cs="Calibri"/>
                <w:color w:val="000000"/>
                <w:sz w:val="16"/>
                <w:szCs w:val="16"/>
              </w:rPr>
              <w:t xml:space="preserve"> negative for tax, -1,6% for ETS </w:t>
            </w:r>
          </w:p>
        </w:tc>
        <w:tc>
          <w:tcPr>
            <w:tcW w:w="1885" w:type="dxa"/>
            <w:shd w:val="clear" w:color="auto" w:fill="00B050"/>
            <w:noWrap/>
            <w:hideMark/>
          </w:tcPr>
          <w:p w14:paraId="3966D12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Temporary increase for tax; +1,5% for ETS</w:t>
            </w:r>
          </w:p>
        </w:tc>
        <w:tc>
          <w:tcPr>
            <w:tcW w:w="1885" w:type="dxa"/>
            <w:shd w:val="clear" w:color="auto" w:fill="FF0000"/>
            <w:noWrap/>
            <w:hideMark/>
          </w:tcPr>
          <w:p w14:paraId="387208C7"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Total factor productivity: negative (tax); -3,2% (ETS)</w:t>
            </w:r>
          </w:p>
        </w:tc>
        <w:tc>
          <w:tcPr>
            <w:tcW w:w="1890" w:type="dxa"/>
            <w:shd w:val="clear" w:color="auto" w:fill="FF0000"/>
            <w:noWrap/>
            <w:hideMark/>
          </w:tcPr>
          <w:p w14:paraId="09C784B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Return </w:t>
            </w:r>
            <w:proofErr w:type="gramStart"/>
            <w:r w:rsidRPr="001D71D9">
              <w:rPr>
                <w:rFonts w:ascii="Calibri" w:hAnsi="Calibri" w:cs="Calibri"/>
                <w:color w:val="000000"/>
                <w:sz w:val="16"/>
                <w:szCs w:val="16"/>
              </w:rPr>
              <w:t>On</w:t>
            </w:r>
            <w:proofErr w:type="gramEnd"/>
            <w:r w:rsidRPr="001D71D9">
              <w:rPr>
                <w:rFonts w:ascii="Calibri" w:hAnsi="Calibri" w:cs="Calibri"/>
                <w:color w:val="000000"/>
                <w:sz w:val="16"/>
                <w:szCs w:val="16"/>
              </w:rPr>
              <w:t xml:space="preserve"> Capital: negative for tax; -4,7% for ETS</w:t>
            </w:r>
          </w:p>
        </w:tc>
      </w:tr>
      <w:tr w:rsidR="00677B51" w:rsidRPr="0005433E" w14:paraId="7C230EC8" w14:textId="77777777" w:rsidTr="00E9044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E99C018" w14:textId="77777777" w:rsidR="00677B51" w:rsidRPr="001D71D9" w:rsidRDefault="00677B51" w:rsidP="00677B51">
            <w:pPr>
              <w:jc w:val="left"/>
              <w:rPr>
                <w:rFonts w:ascii="Calibri" w:eastAsia="Times New Roman" w:hAnsi="Calibri" w:cs="Calibri"/>
                <w:color w:val="000000"/>
                <w:sz w:val="16"/>
                <w:szCs w:val="16"/>
                <w:lang w:eastAsia="fr-BE"/>
              </w:rPr>
            </w:pPr>
            <w:proofErr w:type="spellStart"/>
            <w:r w:rsidRPr="001D71D9">
              <w:rPr>
                <w:rFonts w:ascii="Calibri" w:hAnsi="Calibri" w:cs="Calibri"/>
                <w:color w:val="000000"/>
                <w:sz w:val="16"/>
                <w:szCs w:val="16"/>
              </w:rPr>
              <w:t>Abrell</w:t>
            </w:r>
            <w:proofErr w:type="spellEnd"/>
            <w:r w:rsidRPr="001D71D9">
              <w:rPr>
                <w:rFonts w:ascii="Calibri" w:hAnsi="Calibri" w:cs="Calibri"/>
                <w:color w:val="000000"/>
                <w:sz w:val="16"/>
                <w:szCs w:val="16"/>
              </w:rPr>
              <w:t xml:space="preserve"> et al.</w:t>
            </w:r>
          </w:p>
        </w:tc>
        <w:tc>
          <w:tcPr>
            <w:tcW w:w="567" w:type="dxa"/>
            <w:noWrap/>
            <w:hideMark/>
          </w:tcPr>
          <w:p w14:paraId="7B6B267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val="de-DE" w:eastAsia="fr-BE"/>
              </w:rPr>
            </w:pPr>
            <w:r w:rsidRPr="001D71D9">
              <w:rPr>
                <w:rFonts w:ascii="Calibri" w:hAnsi="Calibri" w:cs="Calibri"/>
                <w:noProof/>
                <w:color w:val="000000"/>
                <w:sz w:val="16"/>
                <w:szCs w:val="16"/>
                <w:lang w:val="de-DE"/>
              </w:rPr>
              <w:t>2011</w:t>
            </w:r>
          </w:p>
        </w:tc>
        <w:tc>
          <w:tcPr>
            <w:tcW w:w="851" w:type="dxa"/>
            <w:noWrap/>
            <w:hideMark/>
          </w:tcPr>
          <w:p w14:paraId="58B09E7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EU </w:t>
            </w:r>
          </w:p>
        </w:tc>
        <w:tc>
          <w:tcPr>
            <w:tcW w:w="708" w:type="dxa"/>
            <w:noWrap/>
            <w:hideMark/>
          </w:tcPr>
          <w:p w14:paraId="0ABB39D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4BA65F9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48AF15ED"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2003-2008</w:t>
            </w:r>
          </w:p>
        </w:tc>
        <w:tc>
          <w:tcPr>
            <w:tcW w:w="1275" w:type="dxa"/>
            <w:tcBorders>
              <w:right w:val="single" w:sz="12" w:space="0" w:color="auto"/>
            </w:tcBorders>
            <w:noWrap/>
            <w:hideMark/>
          </w:tcPr>
          <w:p w14:paraId="7FE903A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2101 ETS firms, 2101 non-ETS</w:t>
            </w:r>
          </w:p>
        </w:tc>
        <w:tc>
          <w:tcPr>
            <w:tcW w:w="1885" w:type="dxa"/>
            <w:tcBorders>
              <w:left w:val="single" w:sz="12" w:space="0" w:color="auto"/>
            </w:tcBorders>
            <w:shd w:val="clear" w:color="auto" w:fill="FFFF00"/>
            <w:noWrap/>
            <w:hideMark/>
          </w:tcPr>
          <w:p w14:paraId="293E26B7"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Value added insignificant</w:t>
            </w:r>
          </w:p>
        </w:tc>
        <w:tc>
          <w:tcPr>
            <w:tcW w:w="1885" w:type="dxa"/>
            <w:shd w:val="clear" w:color="auto" w:fill="auto"/>
            <w:noWrap/>
            <w:hideMark/>
          </w:tcPr>
          <w:p w14:paraId="505FF67F"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00B0F0"/>
            <w:noWrap/>
            <w:hideMark/>
          </w:tcPr>
          <w:p w14:paraId="0C8052F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 phase I; -0,9% in phase II (2008)</w:t>
            </w:r>
          </w:p>
        </w:tc>
        <w:tc>
          <w:tcPr>
            <w:tcW w:w="1885" w:type="dxa"/>
            <w:shd w:val="clear" w:color="auto" w:fill="auto"/>
            <w:noWrap/>
            <w:hideMark/>
          </w:tcPr>
          <w:p w14:paraId="31FA6AC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shd w:val="clear" w:color="auto" w:fill="00B0F0"/>
            <w:noWrap/>
            <w:hideMark/>
          </w:tcPr>
          <w:p w14:paraId="6EDF008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Overall insignificant, Elec. (+</w:t>
            </w:r>
            <w:proofErr w:type="gramStart"/>
            <w:r w:rsidRPr="001D71D9">
              <w:rPr>
                <w:rFonts w:ascii="Calibri" w:hAnsi="Calibri" w:cs="Calibri"/>
                <w:color w:val="000000"/>
                <w:sz w:val="16"/>
                <w:szCs w:val="16"/>
              </w:rPr>
              <w:t>),non</w:t>
            </w:r>
            <w:proofErr w:type="gramEnd"/>
            <w:r w:rsidRPr="001D71D9">
              <w:rPr>
                <w:rFonts w:ascii="Calibri" w:hAnsi="Calibri" w:cs="Calibri"/>
                <w:color w:val="000000"/>
                <w:sz w:val="16"/>
                <w:szCs w:val="16"/>
              </w:rPr>
              <w:t>-metallic minerals (-)</w:t>
            </w:r>
          </w:p>
        </w:tc>
      </w:tr>
      <w:tr w:rsidR="00677B51" w:rsidRPr="0005433E" w14:paraId="2C949741" w14:textId="77777777" w:rsidTr="00677B51">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noWrap/>
          </w:tcPr>
          <w:p w14:paraId="67FAF83A" w14:textId="77777777" w:rsidR="00677B51" w:rsidRPr="001D71D9" w:rsidRDefault="00677B51" w:rsidP="00677B51">
            <w:pPr>
              <w:jc w:val="left"/>
              <w:rPr>
                <w:rFonts w:ascii="Calibri" w:hAnsi="Calibri" w:cs="Calibri"/>
                <w:color w:val="000000"/>
                <w:sz w:val="16"/>
                <w:szCs w:val="16"/>
              </w:rPr>
            </w:pPr>
            <w:proofErr w:type="spellStart"/>
            <w:r w:rsidRPr="001D71D9">
              <w:rPr>
                <w:rFonts w:ascii="Calibri" w:hAnsi="Calibri" w:cs="Calibri"/>
                <w:color w:val="000000"/>
                <w:sz w:val="16"/>
                <w:szCs w:val="16"/>
              </w:rPr>
              <w:t>Deschênes</w:t>
            </w:r>
            <w:proofErr w:type="spellEnd"/>
          </w:p>
        </w:tc>
        <w:tc>
          <w:tcPr>
            <w:tcW w:w="567" w:type="dxa"/>
            <w:tcBorders>
              <w:top w:val="nil"/>
              <w:bottom w:val="nil"/>
            </w:tcBorders>
            <w:noWrap/>
          </w:tcPr>
          <w:p w14:paraId="2211C6BA"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2011</w:t>
            </w:r>
          </w:p>
        </w:tc>
        <w:tc>
          <w:tcPr>
            <w:tcW w:w="851" w:type="dxa"/>
            <w:tcBorders>
              <w:top w:val="nil"/>
              <w:bottom w:val="nil"/>
            </w:tcBorders>
            <w:noWrap/>
          </w:tcPr>
          <w:p w14:paraId="1F019880"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US</w:t>
            </w:r>
          </w:p>
        </w:tc>
        <w:tc>
          <w:tcPr>
            <w:tcW w:w="708" w:type="dxa"/>
            <w:tcBorders>
              <w:top w:val="nil"/>
              <w:bottom w:val="nil"/>
            </w:tcBorders>
            <w:noWrap/>
          </w:tcPr>
          <w:p w14:paraId="1B44328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Electricity price</w:t>
            </w:r>
          </w:p>
        </w:tc>
        <w:tc>
          <w:tcPr>
            <w:tcW w:w="1061" w:type="dxa"/>
            <w:gridSpan w:val="2"/>
            <w:tcBorders>
              <w:top w:val="nil"/>
              <w:bottom w:val="nil"/>
            </w:tcBorders>
            <w:noWrap/>
          </w:tcPr>
          <w:p w14:paraId="22543313"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All sectors</w:t>
            </w:r>
          </w:p>
        </w:tc>
        <w:tc>
          <w:tcPr>
            <w:tcW w:w="640" w:type="dxa"/>
            <w:tcBorders>
              <w:top w:val="nil"/>
              <w:bottom w:val="nil"/>
            </w:tcBorders>
            <w:noWrap/>
          </w:tcPr>
          <w:p w14:paraId="1338304E"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1976-2007</w:t>
            </w:r>
          </w:p>
        </w:tc>
        <w:tc>
          <w:tcPr>
            <w:tcW w:w="1275" w:type="dxa"/>
            <w:tcBorders>
              <w:top w:val="nil"/>
              <w:bottom w:val="nil"/>
              <w:right w:val="single" w:sz="4" w:space="0" w:color="auto"/>
            </w:tcBorders>
            <w:noWrap/>
          </w:tcPr>
          <w:p w14:paraId="6DA1CFFD"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11 sectors in 52 states</w:t>
            </w:r>
          </w:p>
        </w:tc>
        <w:tc>
          <w:tcPr>
            <w:tcW w:w="1885" w:type="dxa"/>
            <w:tcBorders>
              <w:top w:val="nil"/>
              <w:left w:val="single" w:sz="4" w:space="0" w:color="auto"/>
              <w:bottom w:val="nil"/>
            </w:tcBorders>
            <w:noWrap/>
          </w:tcPr>
          <w:p w14:paraId="73B50AD4"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85" w:type="dxa"/>
            <w:tcBorders>
              <w:top w:val="nil"/>
              <w:bottom w:val="nil"/>
            </w:tcBorders>
            <w:noWrap/>
          </w:tcPr>
          <w:p w14:paraId="036D52D7"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85" w:type="dxa"/>
            <w:tcBorders>
              <w:top w:val="nil"/>
              <w:bottom w:val="nil"/>
            </w:tcBorders>
            <w:shd w:val="clear" w:color="auto" w:fill="FF0000"/>
            <w:noWrap/>
          </w:tcPr>
          <w:p w14:paraId="140FC445"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10% increase in electricity price reduces employment by 1%.</w:t>
            </w:r>
          </w:p>
        </w:tc>
        <w:tc>
          <w:tcPr>
            <w:tcW w:w="1885" w:type="dxa"/>
            <w:tcBorders>
              <w:top w:val="nil"/>
              <w:bottom w:val="nil"/>
            </w:tcBorders>
            <w:noWrap/>
          </w:tcPr>
          <w:p w14:paraId="3BE94D74"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c>
          <w:tcPr>
            <w:tcW w:w="1890" w:type="dxa"/>
            <w:tcBorders>
              <w:top w:val="nil"/>
              <w:bottom w:val="nil"/>
            </w:tcBorders>
            <w:noWrap/>
          </w:tcPr>
          <w:p w14:paraId="004D3270" w14:textId="77777777" w:rsidR="00677B51" w:rsidRPr="001D71D9" w:rsidRDefault="00677B51" w:rsidP="00677B51">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6"/>
                <w:szCs w:val="16"/>
              </w:rPr>
            </w:pPr>
          </w:p>
        </w:tc>
      </w:tr>
      <w:tr w:rsidR="00677B51" w:rsidRPr="001A3570" w14:paraId="3026FAB6" w14:textId="77777777" w:rsidTr="00677B5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B7B64AA" w14:textId="77777777" w:rsidR="00677B51" w:rsidRPr="001D71D9" w:rsidRDefault="00677B51" w:rsidP="00677B51">
            <w:pPr>
              <w:jc w:val="left"/>
              <w:rPr>
                <w:rFonts w:ascii="Calibri" w:eastAsia="Times New Roman" w:hAnsi="Calibri" w:cs="Calibri"/>
                <w:color w:val="000000"/>
                <w:sz w:val="16"/>
                <w:szCs w:val="16"/>
                <w:lang w:eastAsia="fr-BE"/>
              </w:rPr>
            </w:pPr>
            <w:r w:rsidRPr="001D71D9">
              <w:rPr>
                <w:rFonts w:ascii="Calibri" w:hAnsi="Calibri" w:cs="Calibri"/>
                <w:color w:val="000000"/>
                <w:sz w:val="16"/>
                <w:szCs w:val="16"/>
              </w:rPr>
              <w:t xml:space="preserve">Anger </w:t>
            </w:r>
            <w:proofErr w:type="spellStart"/>
            <w:r w:rsidRPr="001D71D9">
              <w:rPr>
                <w:rFonts w:ascii="Calibri" w:hAnsi="Calibri" w:cs="Calibri"/>
                <w:color w:val="000000"/>
                <w:sz w:val="16"/>
                <w:szCs w:val="16"/>
              </w:rPr>
              <w:t>Oberndorfer</w:t>
            </w:r>
            <w:proofErr w:type="spellEnd"/>
          </w:p>
        </w:tc>
        <w:tc>
          <w:tcPr>
            <w:tcW w:w="567" w:type="dxa"/>
            <w:noWrap/>
            <w:hideMark/>
          </w:tcPr>
          <w:p w14:paraId="27D1C3FF"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noProof/>
                <w:color w:val="000000"/>
                <w:sz w:val="16"/>
                <w:szCs w:val="16"/>
              </w:rPr>
              <w:t>2008</w:t>
            </w:r>
          </w:p>
        </w:tc>
        <w:tc>
          <w:tcPr>
            <w:tcW w:w="851" w:type="dxa"/>
            <w:noWrap/>
            <w:hideMark/>
          </w:tcPr>
          <w:p w14:paraId="3558D93E"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Germany</w:t>
            </w:r>
          </w:p>
        </w:tc>
        <w:tc>
          <w:tcPr>
            <w:tcW w:w="708" w:type="dxa"/>
            <w:noWrap/>
            <w:hideMark/>
          </w:tcPr>
          <w:p w14:paraId="2C92DD9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ETS</w:t>
            </w:r>
          </w:p>
        </w:tc>
        <w:tc>
          <w:tcPr>
            <w:tcW w:w="1061" w:type="dxa"/>
            <w:gridSpan w:val="2"/>
            <w:noWrap/>
            <w:hideMark/>
          </w:tcPr>
          <w:p w14:paraId="194AC67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1D71D9">
              <w:rPr>
                <w:rFonts w:ascii="Calibri" w:hAnsi="Calibri" w:cs="Calibri"/>
                <w:color w:val="000000"/>
                <w:sz w:val="16"/>
                <w:szCs w:val="16"/>
              </w:rPr>
              <w:t>Manufacturing</w:t>
            </w:r>
          </w:p>
        </w:tc>
        <w:tc>
          <w:tcPr>
            <w:tcW w:w="640" w:type="dxa"/>
            <w:noWrap/>
            <w:hideMark/>
          </w:tcPr>
          <w:p w14:paraId="64AB8A75"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2003-2005</w:t>
            </w:r>
          </w:p>
        </w:tc>
        <w:tc>
          <w:tcPr>
            <w:tcW w:w="1275" w:type="dxa"/>
            <w:tcBorders>
              <w:bottom w:val="single" w:sz="12" w:space="0" w:color="auto"/>
              <w:right w:val="single" w:sz="12" w:space="0" w:color="auto"/>
            </w:tcBorders>
            <w:noWrap/>
            <w:hideMark/>
          </w:tcPr>
          <w:p w14:paraId="23EB873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419 ETS firms only</w:t>
            </w:r>
          </w:p>
        </w:tc>
        <w:tc>
          <w:tcPr>
            <w:tcW w:w="1885" w:type="dxa"/>
            <w:tcBorders>
              <w:left w:val="single" w:sz="12" w:space="0" w:color="auto"/>
            </w:tcBorders>
            <w:shd w:val="clear" w:color="auto" w:fill="FFFF00"/>
            <w:noWrap/>
            <w:hideMark/>
          </w:tcPr>
          <w:p w14:paraId="1DAE30BB"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Turnover insignificant</w:t>
            </w:r>
          </w:p>
        </w:tc>
        <w:tc>
          <w:tcPr>
            <w:tcW w:w="1885" w:type="dxa"/>
            <w:noWrap/>
            <w:hideMark/>
          </w:tcPr>
          <w:p w14:paraId="3E9025D0"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85" w:type="dxa"/>
            <w:shd w:val="clear" w:color="auto" w:fill="FFFF00"/>
            <w:noWrap/>
            <w:hideMark/>
          </w:tcPr>
          <w:p w14:paraId="3B077906"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Insignificant</w:t>
            </w:r>
          </w:p>
        </w:tc>
        <w:tc>
          <w:tcPr>
            <w:tcW w:w="1885" w:type="dxa"/>
            <w:noWrap/>
            <w:hideMark/>
          </w:tcPr>
          <w:p w14:paraId="28BABA91" w14:textId="77777777"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c>
          <w:tcPr>
            <w:tcW w:w="1890" w:type="dxa"/>
            <w:noWrap/>
            <w:hideMark/>
          </w:tcPr>
          <w:p w14:paraId="1E9408EC" w14:textId="155A2FC3" w:rsidR="00677B51" w:rsidRPr="001D71D9" w:rsidRDefault="00677B51" w:rsidP="00677B51">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fr-BE"/>
              </w:rPr>
            </w:pPr>
            <w:r w:rsidRPr="001D71D9">
              <w:rPr>
                <w:rFonts w:ascii="Calibri" w:hAnsi="Calibri" w:cs="Calibri"/>
                <w:color w:val="000000"/>
                <w:sz w:val="16"/>
                <w:szCs w:val="16"/>
              </w:rPr>
              <w:t> </w:t>
            </w:r>
          </w:p>
        </w:tc>
      </w:tr>
    </w:tbl>
    <w:p w14:paraId="45907EF2" w14:textId="3AA69E6D" w:rsidR="00E227CF" w:rsidRPr="000A5B5A" w:rsidRDefault="00E227CF" w:rsidP="004D61AD">
      <w:pPr>
        <w:pStyle w:val="Sourcenotes"/>
        <w:ind w:left="0"/>
      </w:pPr>
    </w:p>
    <w:p w14:paraId="40D62251" w14:textId="1B287BD6" w:rsidR="00E90440" w:rsidRDefault="00E90440" w:rsidP="00E90440">
      <w:pPr>
        <w:pStyle w:val="Sourcenotes"/>
        <w:ind w:left="0"/>
      </w:pPr>
      <w:r w:rsidRPr="00B2058F">
        <w:t>Note:</w:t>
      </w:r>
      <w:r>
        <w:t xml:space="preserve"> </w:t>
      </w:r>
      <w:r w:rsidRPr="00B2058F">
        <w:t xml:space="preserve">The colour schemes </w:t>
      </w:r>
      <w:proofErr w:type="gramStart"/>
      <w:r w:rsidRPr="00B2058F">
        <w:t>indicates</w:t>
      </w:r>
      <w:proofErr w:type="gramEnd"/>
      <w:r w:rsidRPr="00B2058F">
        <w:t xml:space="preserve"> whether carbon pricing had a positive (green), negative (red), statistically insignificant (yellow) or mixed (blue) effect on the outcome variables of regulated versus non-regulated states, sectors, firms, or installations</w:t>
      </w:r>
      <w:r>
        <w:t>.</w:t>
      </w:r>
    </w:p>
    <w:p w14:paraId="71EF6739" w14:textId="77777777" w:rsidR="00E90440" w:rsidRDefault="00E90440" w:rsidP="00E90440">
      <w:pPr>
        <w:pStyle w:val="Sourcenotes"/>
        <w:ind w:left="0"/>
      </w:pPr>
      <w:r w:rsidRPr="00B24C6F">
        <w:rPr>
          <w:i/>
        </w:rPr>
        <w:t>Source</w:t>
      </w:r>
      <w:r w:rsidRPr="00B24C6F">
        <w:t xml:space="preserve">: Authors </w:t>
      </w:r>
    </w:p>
    <w:p w14:paraId="20F33272" w14:textId="7AE362D0" w:rsidR="00E227CF" w:rsidRPr="001376D7" w:rsidRDefault="00E227CF" w:rsidP="004D61AD">
      <w:pPr>
        <w:pStyle w:val="Sourcenotes"/>
        <w:ind w:left="0"/>
        <w:sectPr w:rsidR="00E227CF" w:rsidRPr="001376D7" w:rsidSect="00181986">
          <w:headerReference w:type="default" r:id="rId24"/>
          <w:endnotePr>
            <w:numFmt w:val="decimal"/>
            <w:numRestart w:val="eachSect"/>
          </w:endnotePr>
          <w:pgSz w:w="16840" w:h="11907" w:orient="landscape" w:code="9"/>
          <w:pgMar w:top="2098" w:right="2098" w:bottom="1928" w:left="1928" w:header="1531" w:footer="1134" w:gutter="0"/>
          <w:cols w:space="720"/>
          <w:docGrid w:linePitch="360"/>
        </w:sectPr>
      </w:pPr>
    </w:p>
    <w:bookmarkEnd w:id="56"/>
    <w:bookmarkEnd w:id="57"/>
    <w:p w14:paraId="2CE2F30B" w14:textId="3801FFB3" w:rsidR="004D61AD" w:rsidRDefault="004B58ED" w:rsidP="004D61AD">
      <w:pPr>
        <w:pStyle w:val="Titre1"/>
      </w:pPr>
      <w:r w:rsidRPr="001376D7">
        <w:lastRenderedPageBreak/>
        <w:t xml:space="preserve"> </w:t>
      </w:r>
      <w:r>
        <w:t>Conclusions</w:t>
      </w:r>
    </w:p>
    <w:p w14:paraId="1992A63E" w14:textId="77777777" w:rsidR="004D61AD" w:rsidRDefault="004D61AD" w:rsidP="004D61AD">
      <w:pPr>
        <w:pStyle w:val="Para0"/>
      </w:pPr>
      <w:r w:rsidRPr="00FC2112">
        <w:t>Limited effects of carbon pricing on short-term competitiveness</w:t>
      </w:r>
      <w:r w:rsidRPr="00DA315F">
        <w:t xml:space="preserve"> </w:t>
      </w:r>
      <w:r w:rsidRPr="00FC2112">
        <w:t>have been found to date. When effects have been found, they are small (either positive or negative). This demonstrates that concerns about negative short-term effects of carbon pricing</w:t>
      </w:r>
      <w:r>
        <w:t xml:space="preserve"> on firms’ or sectors’ international competitiveness </w:t>
      </w:r>
      <w:r w:rsidRPr="000A0B9C">
        <w:t xml:space="preserve">have </w:t>
      </w:r>
      <w:r>
        <w:t>not come to pass, at least to date. However, these findings are in part because carbon prices levied on industry have been low, either because of exemptions to carbon taxes, or because of generous levels of free allowances to firms covered by emissions trading schemes. There is therefore no experience to date on how the competitiveness of energy-intensive industries could be affected in the absence of free allocation of allowances or at substantially higher carbon price levels, although ex-ante studies indicate that levels of carbon leakage could be significant.</w:t>
      </w:r>
    </w:p>
    <w:p w14:paraId="2A0069AC" w14:textId="77777777" w:rsidR="004D61AD" w:rsidRDefault="004D61AD" w:rsidP="004D61AD">
      <w:pPr>
        <w:pStyle w:val="Lgende"/>
      </w:pPr>
      <w:bookmarkStart w:id="58" w:name="_Ref8047151"/>
      <w:bookmarkStart w:id="59" w:name="_Toc8061886"/>
      <w:bookmarkStart w:id="60" w:name="_Toc19721944"/>
      <w:r>
        <w:t xml:space="preserve">Table </w:t>
      </w:r>
      <w:fldSimple w:instr=" SEQ Table \* ARABIC ">
        <w:r>
          <w:rPr>
            <w:noProof/>
          </w:rPr>
          <w:t>2</w:t>
        </w:r>
      </w:fldSimple>
      <w:bookmarkEnd w:id="58"/>
      <w:r>
        <w:t>: Overview of ex post studies on the effect of a carbon tax, ETS or energy price variation on different dimensions of competitiveness in industrial sectors*</w:t>
      </w:r>
      <w:bookmarkEnd w:id="59"/>
      <w:bookmarkEnd w:id="60"/>
    </w:p>
    <w:tbl>
      <w:tblPr>
        <w:tblStyle w:val="OECD"/>
        <w:tblW w:w="0" w:type="auto"/>
        <w:tblLook w:val="04A0" w:firstRow="1" w:lastRow="0" w:firstColumn="1" w:lastColumn="0" w:noHBand="0" w:noVBand="1"/>
      </w:tblPr>
      <w:tblGrid>
        <w:gridCol w:w="2157"/>
        <w:gridCol w:w="1923"/>
        <w:gridCol w:w="1874"/>
        <w:gridCol w:w="1923"/>
        <w:gridCol w:w="1412"/>
      </w:tblGrid>
      <w:tr w:rsidR="004D61AD" w14:paraId="6700019C" w14:textId="77777777" w:rsidTr="00181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bottom w:val="single" w:sz="4" w:space="0" w:color="auto"/>
              <w:right w:val="single" w:sz="4" w:space="0" w:color="auto"/>
            </w:tcBorders>
          </w:tcPr>
          <w:p w14:paraId="6CE2BA75" w14:textId="77777777" w:rsidR="004D61AD" w:rsidRPr="007608CA" w:rsidRDefault="004D61AD" w:rsidP="00181986">
            <w:pPr>
              <w:rPr>
                <w:rFonts w:ascii="Arial Narrow" w:hAnsi="Arial Narrow"/>
                <w:sz w:val="18"/>
                <w:szCs w:val="18"/>
              </w:rPr>
            </w:pPr>
          </w:p>
        </w:tc>
        <w:tc>
          <w:tcPr>
            <w:tcW w:w="1923" w:type="dxa"/>
            <w:tcBorders>
              <w:left w:val="single" w:sz="4" w:space="0" w:color="auto"/>
              <w:bottom w:val="single" w:sz="4" w:space="0" w:color="auto"/>
            </w:tcBorders>
          </w:tcPr>
          <w:p w14:paraId="51180593" w14:textId="6FDB4995" w:rsidR="004D61AD" w:rsidRPr="007608CA" w:rsidRDefault="00BA32D5" w:rsidP="001819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Loss (</w:t>
            </w:r>
            <w:r w:rsidR="004D61AD" w:rsidRPr="007608CA">
              <w:rPr>
                <w:rFonts w:ascii="Arial Narrow" w:hAnsi="Arial Narrow"/>
                <w:sz w:val="18"/>
                <w:szCs w:val="18"/>
              </w:rPr>
              <w:t>Negative</w:t>
            </w:r>
            <w:r>
              <w:rPr>
                <w:rFonts w:ascii="Arial Narrow" w:hAnsi="Arial Narrow"/>
                <w:sz w:val="18"/>
                <w:szCs w:val="18"/>
              </w:rPr>
              <w:t>)</w:t>
            </w:r>
          </w:p>
        </w:tc>
        <w:tc>
          <w:tcPr>
            <w:tcW w:w="1874" w:type="dxa"/>
            <w:tcBorders>
              <w:bottom w:val="single" w:sz="4" w:space="0" w:color="auto"/>
            </w:tcBorders>
          </w:tcPr>
          <w:p w14:paraId="219AC7F9" w14:textId="77777777" w:rsidR="004D61AD" w:rsidRPr="007608CA" w:rsidRDefault="004D61AD" w:rsidP="001819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Insignificant</w:t>
            </w:r>
          </w:p>
        </w:tc>
        <w:tc>
          <w:tcPr>
            <w:tcW w:w="1923" w:type="dxa"/>
            <w:tcBorders>
              <w:bottom w:val="single" w:sz="4" w:space="0" w:color="auto"/>
            </w:tcBorders>
          </w:tcPr>
          <w:p w14:paraId="49F660B1" w14:textId="5A09E70B" w:rsidR="004D61AD" w:rsidRPr="007608CA" w:rsidRDefault="00BA32D5" w:rsidP="001819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Gain (</w:t>
            </w:r>
            <w:r w:rsidR="004D61AD" w:rsidRPr="007608CA">
              <w:rPr>
                <w:rFonts w:ascii="Arial Narrow" w:hAnsi="Arial Narrow"/>
                <w:sz w:val="18"/>
                <w:szCs w:val="18"/>
              </w:rPr>
              <w:t>Positive</w:t>
            </w:r>
            <w:r>
              <w:rPr>
                <w:rFonts w:ascii="Arial Narrow" w:hAnsi="Arial Narrow"/>
                <w:sz w:val="18"/>
                <w:szCs w:val="18"/>
              </w:rPr>
              <w:t>)</w:t>
            </w:r>
          </w:p>
        </w:tc>
        <w:tc>
          <w:tcPr>
            <w:tcW w:w="1412" w:type="dxa"/>
            <w:tcBorders>
              <w:bottom w:val="single" w:sz="4" w:space="0" w:color="auto"/>
            </w:tcBorders>
          </w:tcPr>
          <w:p w14:paraId="0BE839D9" w14:textId="77777777" w:rsidR="004D61AD" w:rsidRPr="007608CA" w:rsidRDefault="004D61AD" w:rsidP="001819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Mixed</w:t>
            </w:r>
          </w:p>
        </w:tc>
      </w:tr>
      <w:tr w:rsidR="004D61AD" w14:paraId="22EA38DC" w14:textId="77777777" w:rsidTr="0018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top w:val="single" w:sz="4" w:space="0" w:color="auto"/>
              <w:bottom w:val="nil"/>
              <w:right w:val="single" w:sz="4" w:space="0" w:color="auto"/>
            </w:tcBorders>
          </w:tcPr>
          <w:p w14:paraId="064ABE54" w14:textId="165854DB" w:rsidR="004D61AD" w:rsidRPr="007608CA" w:rsidRDefault="004D61AD" w:rsidP="00181986">
            <w:pPr>
              <w:rPr>
                <w:rFonts w:ascii="Arial Narrow" w:hAnsi="Arial Narrow"/>
                <w:sz w:val="18"/>
                <w:szCs w:val="18"/>
              </w:rPr>
            </w:pPr>
            <w:r w:rsidRPr="007608CA">
              <w:rPr>
                <w:rFonts w:ascii="Arial Narrow" w:hAnsi="Arial Narrow"/>
                <w:sz w:val="18"/>
                <w:szCs w:val="18"/>
              </w:rPr>
              <w:t xml:space="preserve">Net </w:t>
            </w:r>
            <w:r w:rsidR="00BA32D5">
              <w:rPr>
                <w:rFonts w:ascii="Arial Narrow" w:hAnsi="Arial Narrow"/>
                <w:sz w:val="18"/>
                <w:szCs w:val="18"/>
              </w:rPr>
              <w:t>exports</w:t>
            </w:r>
          </w:p>
        </w:tc>
        <w:tc>
          <w:tcPr>
            <w:tcW w:w="1923" w:type="dxa"/>
            <w:tcBorders>
              <w:top w:val="single" w:sz="4" w:space="0" w:color="auto"/>
              <w:left w:val="single" w:sz="4" w:space="0" w:color="auto"/>
              <w:bottom w:val="nil"/>
            </w:tcBorders>
          </w:tcPr>
          <w:p w14:paraId="7C744B44" w14:textId="55BC01EA" w:rsidR="004D61AD" w:rsidRPr="007608CA" w:rsidRDefault="00BA32D5"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5</w:t>
            </w:r>
          </w:p>
        </w:tc>
        <w:tc>
          <w:tcPr>
            <w:tcW w:w="1874" w:type="dxa"/>
            <w:tcBorders>
              <w:top w:val="single" w:sz="4" w:space="0" w:color="auto"/>
              <w:bottom w:val="nil"/>
            </w:tcBorders>
          </w:tcPr>
          <w:p w14:paraId="14787D19" w14:textId="28A25C3B" w:rsidR="004D61AD" w:rsidRPr="007608CA" w:rsidRDefault="00E773B1"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7</w:t>
            </w:r>
          </w:p>
        </w:tc>
        <w:tc>
          <w:tcPr>
            <w:tcW w:w="1923" w:type="dxa"/>
            <w:tcBorders>
              <w:top w:val="single" w:sz="4" w:space="0" w:color="auto"/>
              <w:bottom w:val="nil"/>
            </w:tcBorders>
          </w:tcPr>
          <w:p w14:paraId="6D63D244" w14:textId="77B8FE53" w:rsidR="004D61AD" w:rsidRPr="007608CA" w:rsidRDefault="00BA32D5"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2</w:t>
            </w:r>
          </w:p>
        </w:tc>
        <w:tc>
          <w:tcPr>
            <w:tcW w:w="1412" w:type="dxa"/>
            <w:tcBorders>
              <w:top w:val="single" w:sz="4" w:space="0" w:color="auto"/>
              <w:bottom w:val="nil"/>
            </w:tcBorders>
          </w:tcPr>
          <w:p w14:paraId="29865EA9"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0</w:t>
            </w:r>
          </w:p>
        </w:tc>
      </w:tr>
      <w:tr w:rsidR="004D61AD" w14:paraId="49FC92AE" w14:textId="77777777" w:rsidTr="00181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top w:val="nil"/>
              <w:bottom w:val="nil"/>
              <w:right w:val="single" w:sz="4" w:space="0" w:color="auto"/>
            </w:tcBorders>
          </w:tcPr>
          <w:p w14:paraId="0E9423FF" w14:textId="12B27212" w:rsidR="004D61AD" w:rsidRPr="007608CA" w:rsidRDefault="004D61AD" w:rsidP="00181986">
            <w:pPr>
              <w:rPr>
                <w:rFonts w:ascii="Arial Narrow" w:hAnsi="Arial Narrow"/>
                <w:sz w:val="18"/>
                <w:szCs w:val="18"/>
              </w:rPr>
            </w:pPr>
            <w:r>
              <w:rPr>
                <w:rFonts w:ascii="Arial Narrow" w:hAnsi="Arial Narrow"/>
                <w:sz w:val="18"/>
                <w:szCs w:val="18"/>
              </w:rPr>
              <w:t>Foreign Direct Investment</w:t>
            </w:r>
            <w:r w:rsidR="00BA32D5">
              <w:rPr>
                <w:rFonts w:ascii="Arial Narrow" w:hAnsi="Arial Narrow"/>
                <w:sz w:val="18"/>
                <w:szCs w:val="18"/>
              </w:rPr>
              <w:t>**</w:t>
            </w:r>
          </w:p>
        </w:tc>
        <w:tc>
          <w:tcPr>
            <w:tcW w:w="1923" w:type="dxa"/>
            <w:tcBorders>
              <w:left w:val="single" w:sz="4" w:space="0" w:color="auto"/>
            </w:tcBorders>
          </w:tcPr>
          <w:p w14:paraId="64359978" w14:textId="0F01AD84" w:rsidR="004D61AD" w:rsidRPr="007608CA" w:rsidRDefault="00BA32D5"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3</w:t>
            </w:r>
          </w:p>
        </w:tc>
        <w:tc>
          <w:tcPr>
            <w:tcW w:w="1874" w:type="dxa"/>
          </w:tcPr>
          <w:p w14:paraId="774D7465"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1</w:t>
            </w:r>
          </w:p>
        </w:tc>
        <w:tc>
          <w:tcPr>
            <w:tcW w:w="1923" w:type="dxa"/>
          </w:tcPr>
          <w:p w14:paraId="717744CB" w14:textId="4E6A6211" w:rsidR="004D61AD" w:rsidRPr="007608CA" w:rsidRDefault="00BA32D5"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0</w:t>
            </w:r>
          </w:p>
        </w:tc>
        <w:tc>
          <w:tcPr>
            <w:tcW w:w="1412" w:type="dxa"/>
          </w:tcPr>
          <w:p w14:paraId="07971490"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0</w:t>
            </w:r>
          </w:p>
        </w:tc>
      </w:tr>
      <w:tr w:rsidR="004D61AD" w14:paraId="6DC42D62" w14:textId="77777777" w:rsidTr="0018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top w:val="nil"/>
              <w:right w:val="single" w:sz="4" w:space="0" w:color="auto"/>
            </w:tcBorders>
          </w:tcPr>
          <w:p w14:paraId="79940A27" w14:textId="77777777" w:rsidR="004D61AD" w:rsidRPr="007608CA" w:rsidRDefault="004D61AD" w:rsidP="00181986">
            <w:pPr>
              <w:rPr>
                <w:rFonts w:ascii="Arial Narrow" w:hAnsi="Arial Narrow"/>
                <w:sz w:val="18"/>
                <w:szCs w:val="18"/>
              </w:rPr>
            </w:pPr>
            <w:r w:rsidRPr="007608CA">
              <w:rPr>
                <w:rFonts w:ascii="Arial Narrow" w:hAnsi="Arial Narrow"/>
                <w:sz w:val="18"/>
                <w:szCs w:val="18"/>
              </w:rPr>
              <w:t>Turnover and value added</w:t>
            </w:r>
          </w:p>
        </w:tc>
        <w:tc>
          <w:tcPr>
            <w:tcW w:w="1923" w:type="dxa"/>
            <w:tcBorders>
              <w:top w:val="nil"/>
              <w:left w:val="single" w:sz="4" w:space="0" w:color="auto"/>
            </w:tcBorders>
          </w:tcPr>
          <w:p w14:paraId="3F567E6B"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1</w:t>
            </w:r>
          </w:p>
        </w:tc>
        <w:tc>
          <w:tcPr>
            <w:tcW w:w="1874" w:type="dxa"/>
            <w:tcBorders>
              <w:top w:val="nil"/>
            </w:tcBorders>
          </w:tcPr>
          <w:p w14:paraId="743C9946"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4</w:t>
            </w:r>
          </w:p>
        </w:tc>
        <w:tc>
          <w:tcPr>
            <w:tcW w:w="1923" w:type="dxa"/>
            <w:tcBorders>
              <w:top w:val="nil"/>
            </w:tcBorders>
          </w:tcPr>
          <w:p w14:paraId="53D0FA6E"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3</w:t>
            </w:r>
          </w:p>
        </w:tc>
        <w:tc>
          <w:tcPr>
            <w:tcW w:w="1412" w:type="dxa"/>
            <w:tcBorders>
              <w:top w:val="nil"/>
            </w:tcBorders>
          </w:tcPr>
          <w:p w14:paraId="13242C4C"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2</w:t>
            </w:r>
          </w:p>
        </w:tc>
      </w:tr>
      <w:tr w:rsidR="004D61AD" w14:paraId="6DFFF2D8" w14:textId="77777777" w:rsidTr="00181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right w:val="single" w:sz="4" w:space="0" w:color="auto"/>
            </w:tcBorders>
          </w:tcPr>
          <w:p w14:paraId="1A0DF746" w14:textId="77777777" w:rsidR="004D61AD" w:rsidRPr="007608CA" w:rsidRDefault="004D61AD" w:rsidP="00181986">
            <w:pPr>
              <w:rPr>
                <w:rFonts w:ascii="Arial Narrow" w:hAnsi="Arial Narrow"/>
                <w:sz w:val="18"/>
                <w:szCs w:val="18"/>
              </w:rPr>
            </w:pPr>
            <w:r w:rsidRPr="007608CA">
              <w:rPr>
                <w:rFonts w:ascii="Arial Narrow" w:hAnsi="Arial Narrow"/>
                <w:sz w:val="18"/>
                <w:szCs w:val="18"/>
              </w:rPr>
              <w:t>Total assets and investment</w:t>
            </w:r>
          </w:p>
        </w:tc>
        <w:tc>
          <w:tcPr>
            <w:tcW w:w="1923" w:type="dxa"/>
            <w:tcBorders>
              <w:left w:val="single" w:sz="4" w:space="0" w:color="auto"/>
            </w:tcBorders>
          </w:tcPr>
          <w:p w14:paraId="24D3F6D9"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1</w:t>
            </w:r>
          </w:p>
        </w:tc>
        <w:tc>
          <w:tcPr>
            <w:tcW w:w="1874" w:type="dxa"/>
          </w:tcPr>
          <w:p w14:paraId="72B1A212"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1</w:t>
            </w:r>
          </w:p>
        </w:tc>
        <w:tc>
          <w:tcPr>
            <w:tcW w:w="1923" w:type="dxa"/>
          </w:tcPr>
          <w:p w14:paraId="23A37212"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3</w:t>
            </w:r>
          </w:p>
        </w:tc>
        <w:tc>
          <w:tcPr>
            <w:tcW w:w="1412" w:type="dxa"/>
          </w:tcPr>
          <w:p w14:paraId="505BD4CF" w14:textId="6240FA18" w:rsidR="004D61AD" w:rsidRPr="007608CA" w:rsidRDefault="00B8106B"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2</w:t>
            </w:r>
          </w:p>
        </w:tc>
      </w:tr>
      <w:tr w:rsidR="004D61AD" w14:paraId="37358C2F" w14:textId="77777777" w:rsidTr="0018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right w:val="single" w:sz="4" w:space="0" w:color="auto"/>
            </w:tcBorders>
          </w:tcPr>
          <w:p w14:paraId="0F144D05" w14:textId="77777777" w:rsidR="004D61AD" w:rsidRPr="007608CA" w:rsidRDefault="004D61AD" w:rsidP="00181986">
            <w:pPr>
              <w:rPr>
                <w:rFonts w:ascii="Arial Narrow" w:hAnsi="Arial Narrow"/>
                <w:sz w:val="18"/>
                <w:szCs w:val="18"/>
              </w:rPr>
            </w:pPr>
            <w:r w:rsidRPr="007608CA">
              <w:rPr>
                <w:rFonts w:ascii="Arial Narrow" w:hAnsi="Arial Narrow"/>
                <w:sz w:val="18"/>
                <w:szCs w:val="18"/>
              </w:rPr>
              <w:t>Employment</w:t>
            </w:r>
          </w:p>
        </w:tc>
        <w:tc>
          <w:tcPr>
            <w:tcW w:w="1923" w:type="dxa"/>
            <w:tcBorders>
              <w:left w:val="single" w:sz="4" w:space="0" w:color="auto"/>
            </w:tcBorders>
          </w:tcPr>
          <w:p w14:paraId="18DB78BC" w14:textId="71C75557" w:rsidR="004D61AD" w:rsidRPr="007608CA" w:rsidRDefault="00EF2A25"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2</w:t>
            </w:r>
          </w:p>
        </w:tc>
        <w:tc>
          <w:tcPr>
            <w:tcW w:w="1874" w:type="dxa"/>
          </w:tcPr>
          <w:p w14:paraId="36B37573" w14:textId="10D5B2B9" w:rsidR="004D61AD" w:rsidRPr="007608CA" w:rsidRDefault="00BC160E"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6</w:t>
            </w:r>
          </w:p>
        </w:tc>
        <w:tc>
          <w:tcPr>
            <w:tcW w:w="1923" w:type="dxa"/>
          </w:tcPr>
          <w:p w14:paraId="1DAD9C9D" w14:textId="0721D6A8" w:rsidR="004D61AD" w:rsidRPr="007608CA" w:rsidRDefault="00BC160E"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2</w:t>
            </w:r>
          </w:p>
        </w:tc>
        <w:tc>
          <w:tcPr>
            <w:tcW w:w="1412" w:type="dxa"/>
          </w:tcPr>
          <w:p w14:paraId="285DF2BA" w14:textId="38349BCF" w:rsidR="004D61AD" w:rsidRPr="007608CA" w:rsidRDefault="00EF2A25"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4</w:t>
            </w:r>
          </w:p>
        </w:tc>
      </w:tr>
      <w:tr w:rsidR="004D61AD" w14:paraId="2B447D7D" w14:textId="77777777" w:rsidTr="00181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right w:val="single" w:sz="4" w:space="0" w:color="auto"/>
            </w:tcBorders>
          </w:tcPr>
          <w:p w14:paraId="1C4FACE9" w14:textId="77777777" w:rsidR="004D61AD" w:rsidRPr="007608CA" w:rsidRDefault="004D61AD" w:rsidP="00181986">
            <w:pPr>
              <w:rPr>
                <w:rFonts w:ascii="Arial Narrow" w:hAnsi="Arial Narrow"/>
                <w:sz w:val="18"/>
                <w:szCs w:val="18"/>
              </w:rPr>
            </w:pPr>
            <w:r w:rsidRPr="007608CA">
              <w:rPr>
                <w:rFonts w:ascii="Arial Narrow" w:hAnsi="Arial Narrow"/>
                <w:sz w:val="18"/>
                <w:szCs w:val="18"/>
              </w:rPr>
              <w:t xml:space="preserve">Productivity </w:t>
            </w:r>
          </w:p>
        </w:tc>
        <w:tc>
          <w:tcPr>
            <w:tcW w:w="1923" w:type="dxa"/>
            <w:tcBorders>
              <w:left w:val="single" w:sz="4" w:space="0" w:color="auto"/>
            </w:tcBorders>
          </w:tcPr>
          <w:p w14:paraId="37A92536"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1</w:t>
            </w:r>
          </w:p>
        </w:tc>
        <w:tc>
          <w:tcPr>
            <w:tcW w:w="1874" w:type="dxa"/>
          </w:tcPr>
          <w:p w14:paraId="6F0555CA"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1</w:t>
            </w:r>
          </w:p>
        </w:tc>
        <w:tc>
          <w:tcPr>
            <w:tcW w:w="1923" w:type="dxa"/>
          </w:tcPr>
          <w:p w14:paraId="3AB92A08" w14:textId="554A378E" w:rsidR="004D61AD" w:rsidRPr="007608CA" w:rsidRDefault="001C618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4</w:t>
            </w:r>
          </w:p>
        </w:tc>
        <w:tc>
          <w:tcPr>
            <w:tcW w:w="1412" w:type="dxa"/>
          </w:tcPr>
          <w:p w14:paraId="6C8E544A" w14:textId="1B4216E2" w:rsidR="004D61AD" w:rsidRPr="007608CA" w:rsidRDefault="00E773B1"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Pr>
                <w:rFonts w:ascii="Arial Narrow" w:hAnsi="Arial Narrow"/>
                <w:sz w:val="18"/>
                <w:szCs w:val="18"/>
              </w:rPr>
              <w:t>2</w:t>
            </w:r>
          </w:p>
        </w:tc>
      </w:tr>
      <w:tr w:rsidR="004D61AD" w:rsidRPr="00FE3BF8" w14:paraId="49D09AAE" w14:textId="77777777" w:rsidTr="0018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right w:val="single" w:sz="4" w:space="0" w:color="auto"/>
            </w:tcBorders>
          </w:tcPr>
          <w:p w14:paraId="7D8EFFBF" w14:textId="77777777" w:rsidR="004D61AD" w:rsidRPr="007608CA" w:rsidRDefault="004D61AD" w:rsidP="00181986">
            <w:pPr>
              <w:rPr>
                <w:rFonts w:ascii="Arial Narrow" w:hAnsi="Arial Narrow"/>
                <w:sz w:val="18"/>
                <w:szCs w:val="18"/>
              </w:rPr>
            </w:pPr>
            <w:r w:rsidRPr="007608CA">
              <w:rPr>
                <w:rFonts w:ascii="Arial Narrow" w:hAnsi="Arial Narrow"/>
                <w:sz w:val="18"/>
                <w:szCs w:val="18"/>
              </w:rPr>
              <w:t>Profit</w:t>
            </w:r>
          </w:p>
        </w:tc>
        <w:tc>
          <w:tcPr>
            <w:tcW w:w="1923" w:type="dxa"/>
            <w:tcBorders>
              <w:left w:val="single" w:sz="4" w:space="0" w:color="auto"/>
            </w:tcBorders>
          </w:tcPr>
          <w:p w14:paraId="71F62C55" w14:textId="51749CD7" w:rsidR="004D61AD" w:rsidRPr="007608CA" w:rsidRDefault="00C91F12"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2</w:t>
            </w:r>
          </w:p>
        </w:tc>
        <w:tc>
          <w:tcPr>
            <w:tcW w:w="1874" w:type="dxa"/>
          </w:tcPr>
          <w:p w14:paraId="0C0FB317"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2</w:t>
            </w:r>
          </w:p>
        </w:tc>
        <w:tc>
          <w:tcPr>
            <w:tcW w:w="1923" w:type="dxa"/>
          </w:tcPr>
          <w:p w14:paraId="515636B9" w14:textId="77777777" w:rsidR="004D61AD" w:rsidRPr="007608CA"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2</w:t>
            </w:r>
          </w:p>
        </w:tc>
        <w:tc>
          <w:tcPr>
            <w:tcW w:w="1412" w:type="dxa"/>
          </w:tcPr>
          <w:p w14:paraId="737E27FA" w14:textId="77777777" w:rsidR="004D61AD" w:rsidRPr="007608CA" w:rsidDel="00B83D0D" w:rsidRDefault="004D61AD" w:rsidP="001819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7608CA">
              <w:rPr>
                <w:rFonts w:ascii="Arial Narrow" w:hAnsi="Arial Narrow"/>
                <w:sz w:val="18"/>
                <w:szCs w:val="18"/>
              </w:rPr>
              <w:t>2</w:t>
            </w:r>
          </w:p>
        </w:tc>
      </w:tr>
      <w:tr w:rsidR="004D61AD" w14:paraId="046A6E9B" w14:textId="77777777" w:rsidTr="001819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Borders>
              <w:bottom w:val="single" w:sz="12" w:space="0" w:color="auto"/>
              <w:right w:val="single" w:sz="4" w:space="0" w:color="auto"/>
            </w:tcBorders>
          </w:tcPr>
          <w:p w14:paraId="62CADE99" w14:textId="77777777" w:rsidR="004D61AD" w:rsidRPr="007608CA" w:rsidRDefault="004D61AD" w:rsidP="00181986">
            <w:pPr>
              <w:rPr>
                <w:rFonts w:ascii="Arial Narrow" w:hAnsi="Arial Narrow"/>
                <w:sz w:val="18"/>
                <w:szCs w:val="18"/>
              </w:rPr>
            </w:pPr>
            <w:r w:rsidRPr="007608CA">
              <w:rPr>
                <w:rFonts w:ascii="Arial Narrow" w:hAnsi="Arial Narrow"/>
                <w:sz w:val="18"/>
                <w:szCs w:val="18"/>
              </w:rPr>
              <w:t>Innovation</w:t>
            </w:r>
          </w:p>
        </w:tc>
        <w:tc>
          <w:tcPr>
            <w:tcW w:w="1923" w:type="dxa"/>
            <w:tcBorders>
              <w:left w:val="single" w:sz="4" w:space="0" w:color="auto"/>
            </w:tcBorders>
          </w:tcPr>
          <w:p w14:paraId="1BCA882C"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0</w:t>
            </w:r>
          </w:p>
        </w:tc>
        <w:tc>
          <w:tcPr>
            <w:tcW w:w="1874" w:type="dxa"/>
          </w:tcPr>
          <w:p w14:paraId="43D6CBBD"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0</w:t>
            </w:r>
          </w:p>
        </w:tc>
        <w:tc>
          <w:tcPr>
            <w:tcW w:w="1923" w:type="dxa"/>
          </w:tcPr>
          <w:p w14:paraId="2252DDA4"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4</w:t>
            </w:r>
          </w:p>
        </w:tc>
        <w:tc>
          <w:tcPr>
            <w:tcW w:w="1412" w:type="dxa"/>
          </w:tcPr>
          <w:p w14:paraId="600D9718" w14:textId="77777777" w:rsidR="004D61AD" w:rsidRPr="007608CA" w:rsidRDefault="004D61AD" w:rsidP="0018198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rPr>
            </w:pPr>
            <w:r w:rsidRPr="007608CA">
              <w:rPr>
                <w:rFonts w:ascii="Arial Narrow" w:hAnsi="Arial Narrow"/>
                <w:sz w:val="18"/>
                <w:szCs w:val="18"/>
              </w:rPr>
              <w:t>0</w:t>
            </w:r>
          </w:p>
        </w:tc>
      </w:tr>
    </w:tbl>
    <w:p w14:paraId="0221DF98" w14:textId="7C7E575B" w:rsidR="004D61AD" w:rsidRDefault="004D61AD" w:rsidP="004D61AD">
      <w:pPr>
        <w:pStyle w:val="Sourcenotes"/>
      </w:pPr>
      <w:r>
        <w:t xml:space="preserve">Note: </w:t>
      </w:r>
      <w:r w:rsidRPr="009047A3">
        <w:t>*Number of studies which report negative, positive</w:t>
      </w:r>
      <w:r>
        <w:t xml:space="preserve">, </w:t>
      </w:r>
      <w:proofErr w:type="gramStart"/>
      <w:r w:rsidRPr="009047A3">
        <w:t>insignificant</w:t>
      </w:r>
      <w:proofErr w:type="gramEnd"/>
      <w:r w:rsidRPr="009047A3">
        <w:t xml:space="preserve"> </w:t>
      </w:r>
      <w:r>
        <w:t xml:space="preserve">or mixed </w:t>
      </w:r>
      <w:r w:rsidRPr="009047A3">
        <w:t>results for all industrial sectors on aggregate (according to a 10% significance level)</w:t>
      </w:r>
      <w:r w:rsidR="00BA32D5">
        <w:t>.</w:t>
      </w:r>
      <w:r w:rsidR="00BC160E">
        <w:t xml:space="preserve"> **A loss in competitiveness corresponds to a positive effect on outward FDI and/or negative effect on inward FDI.</w:t>
      </w:r>
    </w:p>
    <w:p w14:paraId="688B6EEE" w14:textId="77777777" w:rsidR="004D61AD" w:rsidRPr="009047A3" w:rsidRDefault="004D61AD" w:rsidP="004D61AD">
      <w:pPr>
        <w:pStyle w:val="Sourcenotes"/>
      </w:pPr>
      <w:r>
        <w:t>Source: Authors</w:t>
      </w:r>
    </w:p>
    <w:p w14:paraId="482BA0D1" w14:textId="01B1BB8D" w:rsidR="004D61AD" w:rsidRPr="00FC2112" w:rsidRDefault="004D61AD" w:rsidP="004D61AD">
      <w:pPr>
        <w:pStyle w:val="Para0"/>
      </w:pPr>
      <w:r w:rsidRPr="00FC2112">
        <w:t xml:space="preserve">Free allocation of allowances (or carbon tax exemptions) is likely to continue to be needed in some sectors while significant differences in carbon pricing exist between jurisdictions. However, there is no agreement on which sectors should benefit, or on what level of free allowances is appropriate. The level of optimal free allocation will vary depending on the stringency of carbon constraints, the carbon price, as well as the level of trade exposure for specific products. Allocating free allowances based on a benchmark performance standard in terms of GHG per unit output instead of allocation based on past emission levels would reduce perverse incentives for keeping emission levels high.  </w:t>
      </w:r>
    </w:p>
    <w:p w14:paraId="4CC5422C" w14:textId="1C744BC2" w:rsidR="004D61AD" w:rsidRPr="00FC2112" w:rsidRDefault="004D61AD" w:rsidP="004D61AD">
      <w:pPr>
        <w:pStyle w:val="Para0"/>
      </w:pPr>
      <w:r w:rsidRPr="00FC2112">
        <w:t xml:space="preserve">Setting up carbon pricing schemes (even if the initial price is low) and smoothing out the significant price variability noted to date in </w:t>
      </w:r>
      <w:r w:rsidR="008F3F9E">
        <w:t>ETS</w:t>
      </w:r>
      <w:r w:rsidRPr="00FC2112">
        <w:t xml:space="preserve"> will provide a clearer policy signal to participating firms. It may be more politically acceptable to establish a carbon pricing system with a low initial carbon price, and then raise it over time – as has occurred in the trading systems in place e.g. in the EU, South Korea, New Zealand and Shenz</w:t>
      </w:r>
      <w:r w:rsidR="002C4621">
        <w:t>h</w:t>
      </w:r>
      <w:r w:rsidRPr="00FC2112">
        <w:t xml:space="preserve">en. Further, postponing the introduction of carbon pricing may entail competitiveness risks if it means that firms </w:t>
      </w:r>
      <w:r w:rsidR="00EF3DA1">
        <w:t>delay the adoption of abatement technologies</w:t>
      </w:r>
      <w:r w:rsidRPr="00FC2112">
        <w:t xml:space="preserve">. A price stability mechanism (potentially including a price floor and/or ceiling) </w:t>
      </w:r>
      <w:r w:rsidR="002C4621">
        <w:t>could</w:t>
      </w:r>
      <w:r w:rsidRPr="00FC2112">
        <w:t xml:space="preserve"> thus provide a stable incentive to invest in GHG abatement</w:t>
      </w:r>
      <w:r w:rsidR="00EF3DA1">
        <w:t>, increasing firms’ long-term competitiveness in an increasingly carbon-constrained economy.</w:t>
      </w:r>
      <w:r w:rsidRPr="00FC2112">
        <w:t xml:space="preserve"> A </w:t>
      </w:r>
      <w:r w:rsidRPr="00FC2112" w:rsidDel="002D2CF2">
        <w:t>price</w:t>
      </w:r>
      <w:r w:rsidRPr="00FC2112">
        <w:t xml:space="preserve"> stability mechanism can also increase the stringency of the system if, as in the EU ETS, it is used to reduce the number of allowances in circulation. </w:t>
      </w:r>
    </w:p>
    <w:p w14:paraId="4688806E" w14:textId="348B2579" w:rsidR="004D61AD" w:rsidRDefault="004D61AD" w:rsidP="004D61AD">
      <w:pPr>
        <w:pStyle w:val="Para0"/>
      </w:pPr>
      <w:r w:rsidRPr="00FC2112">
        <w:t xml:space="preserve">Carbon pricing has a positive effect on innovation, but effects on long-run competitiveness </w:t>
      </w:r>
      <w:r>
        <w:t>remain</w:t>
      </w:r>
      <w:r w:rsidRPr="00FC2112">
        <w:t xml:space="preserve"> inconclusive. Innovation is key to driv</w:t>
      </w:r>
      <w:r w:rsidR="002C4621">
        <w:t>ing</w:t>
      </w:r>
      <w:r w:rsidRPr="00FC2112">
        <w:t xml:space="preserve"> the low-carbon transition in many sectors. Carbon pricing has been found to drive private money into innovation of low-carbon technologies, which equip </w:t>
      </w:r>
      <w:r w:rsidRPr="00FC2112">
        <w:lastRenderedPageBreak/>
        <w:t xml:space="preserve">firms for international competition in the long-run – when carbon price levels increase. However, this competitive advantage in the </w:t>
      </w:r>
      <w:proofErr w:type="gramStart"/>
      <w:r w:rsidRPr="00FC2112">
        <w:t>long-run</w:t>
      </w:r>
      <w:proofErr w:type="gramEnd"/>
      <w:r w:rsidRPr="00FC2112">
        <w:t xml:space="preserve"> has not (yet) materialised into economic outcomes.</w:t>
      </w:r>
    </w:p>
    <w:p w14:paraId="18F7567C" w14:textId="29FEA40C" w:rsidR="00F843CC" w:rsidRPr="00EC7006" w:rsidRDefault="00F843CC" w:rsidP="00997125">
      <w:pPr>
        <w:pStyle w:val="Para0"/>
      </w:pPr>
      <w:r>
        <w:t xml:space="preserve">Future research could follow two avenues once more </w:t>
      </w:r>
      <w:r w:rsidR="00AC2CED">
        <w:t xml:space="preserve">empirical </w:t>
      </w:r>
      <w:r>
        <w:t>studies are available:</w:t>
      </w:r>
      <w:r w:rsidR="00EF3DA1">
        <w:t xml:space="preserve"> First, c</w:t>
      </w:r>
      <w:r>
        <w:t xml:space="preserve">arving out the competitiveness effects depending on the instruments used. While economic theory predicts that the effect of different pricing instruments (e.g. carbon tax or </w:t>
      </w:r>
      <w:r w:rsidR="00AC2CED">
        <w:t>fuel</w:t>
      </w:r>
      <w:r>
        <w:t xml:space="preserve"> tax) would be the same, actual responses of firms might differ depending on </w:t>
      </w:r>
      <w:r w:rsidR="00AC2CED">
        <w:t>how the instrument is labelled.</w:t>
      </w:r>
      <w:r w:rsidR="00EF3DA1">
        <w:t xml:space="preserve"> Second, an</w:t>
      </w:r>
      <w:r w:rsidR="00AC2CED">
        <w:t xml:space="preserve">alysing the competitiveness impacts of different ETSs designs, including different price stability mechanisms, </w:t>
      </w:r>
      <w:r w:rsidR="006765ED">
        <w:t>such as a</w:t>
      </w:r>
      <w:r w:rsidR="00AC2CED">
        <w:t xml:space="preserve"> price floor (as in California) and the market stability reserve (as in the EU ETS).</w:t>
      </w:r>
    </w:p>
    <w:bookmarkStart w:id="61" w:name="_Toc19721942" w:displacedByCustomXml="next"/>
    <w:sdt>
      <w:sdtPr>
        <w:rPr>
          <w:rFonts w:cs="Times New Roman"/>
          <w:bCs w:val="0"/>
          <w:i w:val="0"/>
          <w:color w:val="auto"/>
          <w:kern w:val="0"/>
          <w:sz w:val="22"/>
          <w:szCs w:val="20"/>
        </w:rPr>
        <w:id w:val="-1795816908"/>
        <w:docPartObj>
          <w:docPartGallery w:val="Bibliographies"/>
          <w:docPartUnique/>
        </w:docPartObj>
      </w:sdtPr>
      <w:sdtEndPr/>
      <w:sdtContent>
        <w:p w14:paraId="63BD9582" w14:textId="77777777" w:rsidR="004D61AD" w:rsidRDefault="004D61AD" w:rsidP="004D61AD">
          <w:pPr>
            <w:pStyle w:val="Titre"/>
          </w:pPr>
          <w:r>
            <w:t>References</w:t>
          </w:r>
          <w:bookmarkEnd w:id="61"/>
        </w:p>
        <w:sdt>
          <w:sdtPr>
            <w:id w:val="-261769105"/>
            <w:bibliography/>
          </w:sdtPr>
          <w:sdtEndPr/>
          <w:sdtContent>
            <w:p w14:paraId="7B1D7A7C" w14:textId="77777777" w:rsidR="004D61AD" w:rsidRDefault="004D61AD" w:rsidP="004D61AD">
              <w:pPr>
                <w:spacing w:line="240" w:lineRule="exact"/>
                <w:rPr>
                  <w:rFonts w:ascii="Georgia" w:hAnsi="Georgia"/>
                  <w:noProof/>
                  <w:sz w:val="20"/>
                  <w:lang w:val="en-US"/>
                </w:rPr>
              </w:pPr>
              <w:r>
                <w:rPr>
                  <w:rFonts w:eastAsia="SimSun"/>
                </w:rPr>
                <w:fldChar w:fldCharType="begin"/>
              </w:r>
              <w:r w:rsidRPr="00997125">
                <w:instrText xml:space="preserve"> BIBLIOGRAPHY </w:instrText>
              </w:r>
              <w:r>
                <w:rPr>
                  <w:rFonts w:eastAsia="SimSun"/>
                </w:rPr>
                <w:fldChar w:fldCharType="separate"/>
              </w:r>
            </w:p>
            <w:tbl>
              <w:tblPr>
                <w:tblW w:w="9299" w:type="dxa"/>
                <w:tblInd w:w="60" w:type="dxa"/>
                <w:tblLayout w:type="fixed"/>
                <w:tblCellMar>
                  <w:top w:w="60" w:type="dxa"/>
                  <w:left w:w="60" w:type="dxa"/>
                  <w:bottom w:w="60" w:type="dxa"/>
                  <w:right w:w="60" w:type="dxa"/>
                </w:tblCellMar>
                <w:tblLook w:val="04A0" w:firstRow="1" w:lastRow="0" w:firstColumn="1" w:lastColumn="0" w:noHBand="0" w:noVBand="1"/>
              </w:tblPr>
              <w:tblGrid>
                <w:gridCol w:w="8699"/>
                <w:gridCol w:w="600"/>
              </w:tblGrid>
              <w:tr w:rsidR="004D61AD" w14:paraId="209A2DC5" w14:textId="77777777" w:rsidTr="00181986">
                <w:trPr>
                  <w:cantSplit/>
                </w:trPr>
                <w:tc>
                  <w:tcPr>
                    <w:tcW w:w="8699" w:type="dxa"/>
                    <w:hideMark/>
                  </w:tcPr>
                  <w:p w14:paraId="34F0D438" w14:textId="77777777" w:rsidR="004D61AD" w:rsidRDefault="004D61AD" w:rsidP="00181986">
                    <w:pPr>
                      <w:pStyle w:val="Bibliographie"/>
                      <w:spacing w:line="240" w:lineRule="exact"/>
                      <w:rPr>
                        <w:noProof/>
                        <w:sz w:val="24"/>
                        <w:szCs w:val="24"/>
                      </w:rPr>
                    </w:pPr>
                    <w:r>
                      <w:rPr>
                        <w:noProof/>
                      </w:rPr>
                      <w:t xml:space="preserve">Abrell, J., A. Ndoye Faye and G. Zachmann (2011), “Assessing the impact of the EU ETS using firm level data”, </w:t>
                    </w:r>
                    <w:r>
                      <w:rPr>
                        <w:i/>
                        <w:iCs/>
                        <w:noProof/>
                      </w:rPr>
                      <w:t>Bruegel Working Paper, No. 2011/08</w:t>
                    </w:r>
                    <w:r>
                      <w:rPr>
                        <w:noProof/>
                      </w:rPr>
                      <w:t>.</w:t>
                    </w:r>
                  </w:p>
                </w:tc>
                <w:tc>
                  <w:tcPr>
                    <w:tcW w:w="600" w:type="dxa"/>
                    <w:noWrap/>
                    <w:hideMark/>
                  </w:tcPr>
                  <w:p w14:paraId="160A34D9" w14:textId="77777777" w:rsidR="004D61AD" w:rsidRDefault="004D61AD" w:rsidP="00181986">
                    <w:pPr>
                      <w:spacing w:before="100" w:beforeAutospacing="1" w:after="100" w:afterAutospacing="1"/>
                      <w:jc w:val="right"/>
                      <w:rPr>
                        <w:noProof/>
                      </w:rPr>
                    </w:pPr>
                    <w:r>
                      <w:rPr>
                        <w:noProof/>
                        <w:color w:val="000000"/>
                        <w:sz w:val="16"/>
                        <w:szCs w:val="16"/>
                      </w:rPr>
                      <w:t>[39]</w:t>
                    </w:r>
                  </w:p>
                </w:tc>
              </w:tr>
              <w:tr w:rsidR="004D61AD" w14:paraId="68DF8063" w14:textId="77777777" w:rsidTr="00181986">
                <w:trPr>
                  <w:cantSplit/>
                </w:trPr>
                <w:tc>
                  <w:tcPr>
                    <w:tcW w:w="8699" w:type="dxa"/>
                    <w:hideMark/>
                  </w:tcPr>
                  <w:p w14:paraId="55DA963D" w14:textId="77777777" w:rsidR="004D61AD" w:rsidRDefault="004D61AD" w:rsidP="00181986">
                    <w:pPr>
                      <w:pStyle w:val="Bibliographie"/>
                      <w:spacing w:line="240" w:lineRule="exact"/>
                      <w:rPr>
                        <w:noProof/>
                      </w:rPr>
                    </w:pPr>
                    <w:r>
                      <w:rPr>
                        <w:noProof/>
                      </w:rPr>
                      <w:t xml:space="preserve">Aghion, P. et al. (2016), “Carbon Taxes, Path Dependency and Directed Technical Change: Evidence from the Auto Industry”, </w:t>
                    </w:r>
                    <w:r>
                      <w:rPr>
                        <w:i/>
                        <w:iCs/>
                        <w:noProof/>
                      </w:rPr>
                      <w:t>Journal of Political Economy</w:t>
                    </w:r>
                    <w:r>
                      <w:rPr>
                        <w:noProof/>
                      </w:rPr>
                      <w:t xml:space="preserve">, Vol. 124/1, pp. 1-51, </w:t>
                    </w:r>
                    <w:r>
                      <w:rPr>
                        <w:noProof/>
                        <w:color w:val="0000FF"/>
                        <w:u w:val="single"/>
                      </w:rPr>
                      <w:t>http://dx.doi.org/10.2139/ssrn.2202047</w:t>
                    </w:r>
                    <w:r>
                      <w:rPr>
                        <w:noProof/>
                      </w:rPr>
                      <w:t>.</w:t>
                    </w:r>
                  </w:p>
                </w:tc>
                <w:tc>
                  <w:tcPr>
                    <w:tcW w:w="600" w:type="dxa"/>
                    <w:noWrap/>
                    <w:hideMark/>
                  </w:tcPr>
                  <w:p w14:paraId="3DC27A6D" w14:textId="77777777" w:rsidR="004D61AD" w:rsidRDefault="004D61AD" w:rsidP="00181986">
                    <w:pPr>
                      <w:spacing w:before="100" w:beforeAutospacing="1" w:after="100" w:afterAutospacing="1"/>
                      <w:jc w:val="right"/>
                      <w:rPr>
                        <w:noProof/>
                      </w:rPr>
                    </w:pPr>
                    <w:r>
                      <w:rPr>
                        <w:noProof/>
                        <w:color w:val="000000"/>
                        <w:sz w:val="16"/>
                        <w:szCs w:val="16"/>
                      </w:rPr>
                      <w:t>[43]</w:t>
                    </w:r>
                  </w:p>
                </w:tc>
              </w:tr>
              <w:tr w:rsidR="004D61AD" w14:paraId="40CDDFF3" w14:textId="77777777" w:rsidTr="00181986">
                <w:trPr>
                  <w:cantSplit/>
                </w:trPr>
                <w:tc>
                  <w:tcPr>
                    <w:tcW w:w="8699" w:type="dxa"/>
                    <w:hideMark/>
                  </w:tcPr>
                  <w:p w14:paraId="614D392B" w14:textId="742B896D" w:rsidR="004D61AD" w:rsidRDefault="004D61AD" w:rsidP="00181986">
                    <w:pPr>
                      <w:pStyle w:val="Bibliographie"/>
                      <w:spacing w:line="240" w:lineRule="exact"/>
                      <w:rPr>
                        <w:noProof/>
                      </w:rPr>
                    </w:pPr>
                    <w:r>
                      <w:rPr>
                        <w:noProof/>
                      </w:rPr>
                      <w:t xml:space="preserve">Albrizio, S., T. Koźluk and V. Zipperer (2014), “Empirical evidence on the effects of environmental policy stringency on productivity growth”, </w:t>
                    </w:r>
                    <w:r>
                      <w:rPr>
                        <w:i/>
                        <w:iCs/>
                        <w:noProof/>
                      </w:rPr>
                      <w:t>OECD Economics Deparment Working Papers No. 1179</w:t>
                    </w:r>
                    <w:r>
                      <w:rPr>
                        <w:noProof/>
                      </w:rPr>
                      <w:t>.</w:t>
                    </w:r>
                  </w:p>
                </w:tc>
                <w:tc>
                  <w:tcPr>
                    <w:tcW w:w="600" w:type="dxa"/>
                    <w:noWrap/>
                    <w:hideMark/>
                  </w:tcPr>
                  <w:p w14:paraId="6A971357" w14:textId="77777777" w:rsidR="004D61AD" w:rsidRDefault="004D61AD" w:rsidP="00181986">
                    <w:pPr>
                      <w:spacing w:before="100" w:beforeAutospacing="1" w:after="100" w:afterAutospacing="1"/>
                      <w:jc w:val="right"/>
                      <w:rPr>
                        <w:noProof/>
                      </w:rPr>
                    </w:pPr>
                    <w:r>
                      <w:rPr>
                        <w:noProof/>
                        <w:color w:val="000000"/>
                        <w:sz w:val="16"/>
                        <w:szCs w:val="16"/>
                      </w:rPr>
                      <w:t>[61]</w:t>
                    </w:r>
                  </w:p>
                </w:tc>
              </w:tr>
              <w:tr w:rsidR="004D61AD" w14:paraId="46DF2A05" w14:textId="77777777" w:rsidTr="00181986">
                <w:trPr>
                  <w:cantSplit/>
                </w:trPr>
                <w:tc>
                  <w:tcPr>
                    <w:tcW w:w="8699" w:type="dxa"/>
                    <w:hideMark/>
                  </w:tcPr>
                  <w:p w14:paraId="351543F8" w14:textId="77777777" w:rsidR="004D61AD" w:rsidRDefault="004D61AD" w:rsidP="00181986">
                    <w:pPr>
                      <w:pStyle w:val="Bibliographie"/>
                      <w:spacing w:line="240" w:lineRule="exact"/>
                      <w:rPr>
                        <w:noProof/>
                      </w:rPr>
                    </w:pPr>
                    <w:r>
                      <w:rPr>
                        <w:noProof/>
                      </w:rPr>
                      <w:t xml:space="preserve">Aldy, J. and W. Pizer (2015), “The Competitiveness Impacts of Climate Change Mitigation Policies”, </w:t>
                    </w:r>
                    <w:r>
                      <w:rPr>
                        <w:i/>
                        <w:iCs/>
                        <w:noProof/>
                      </w:rPr>
                      <w:t>Journal of the Association of Environmental and Resource Economists</w:t>
                    </w:r>
                    <w:r>
                      <w:rPr>
                        <w:noProof/>
                      </w:rPr>
                      <w:t xml:space="preserve">, Vol. 2/4, </w:t>
                    </w:r>
                    <w:r>
                      <w:rPr>
                        <w:noProof/>
                        <w:color w:val="0000FF"/>
                        <w:u w:val="single"/>
                      </w:rPr>
                      <w:t>http://www.nber.org/papers/w17705</w:t>
                    </w:r>
                    <w:r>
                      <w:rPr>
                        <w:noProof/>
                      </w:rPr>
                      <w:t>, pp. 565-595.</w:t>
                    </w:r>
                  </w:p>
                </w:tc>
                <w:tc>
                  <w:tcPr>
                    <w:tcW w:w="600" w:type="dxa"/>
                    <w:noWrap/>
                    <w:hideMark/>
                  </w:tcPr>
                  <w:p w14:paraId="0BDD6101" w14:textId="77777777" w:rsidR="004D61AD" w:rsidRDefault="004D61AD" w:rsidP="00181986">
                    <w:pPr>
                      <w:spacing w:before="100" w:beforeAutospacing="1" w:after="100" w:afterAutospacing="1"/>
                      <w:jc w:val="right"/>
                      <w:rPr>
                        <w:noProof/>
                      </w:rPr>
                    </w:pPr>
                    <w:r>
                      <w:rPr>
                        <w:noProof/>
                        <w:color w:val="000000"/>
                        <w:sz w:val="16"/>
                        <w:szCs w:val="16"/>
                      </w:rPr>
                      <w:t>[26]</w:t>
                    </w:r>
                  </w:p>
                </w:tc>
              </w:tr>
              <w:tr w:rsidR="004D61AD" w14:paraId="35E5D9C9" w14:textId="77777777" w:rsidTr="00181986">
                <w:trPr>
                  <w:cantSplit/>
                </w:trPr>
                <w:tc>
                  <w:tcPr>
                    <w:tcW w:w="8699" w:type="dxa"/>
                    <w:hideMark/>
                  </w:tcPr>
                  <w:p w14:paraId="7A5BE6AB" w14:textId="77777777" w:rsidR="004D61AD" w:rsidRDefault="004D61AD" w:rsidP="00181986">
                    <w:pPr>
                      <w:pStyle w:val="Bibliographie"/>
                      <w:spacing w:line="240" w:lineRule="exact"/>
                      <w:rPr>
                        <w:noProof/>
                      </w:rPr>
                    </w:pPr>
                    <w:r>
                      <w:rPr>
                        <w:noProof/>
                      </w:rPr>
                      <w:t xml:space="preserve">Alexeeva-Talebi, V. (2011), “Cost pass-through of the EU emissions allowances: Examining the European petroleum markets”, </w:t>
                    </w:r>
                    <w:r>
                      <w:rPr>
                        <w:i/>
                        <w:iCs/>
                        <w:noProof/>
                      </w:rPr>
                      <w:t>Energy Economics</w:t>
                    </w:r>
                    <w:r>
                      <w:rPr>
                        <w:noProof/>
                      </w:rPr>
                      <w:t xml:space="preserve">, Vol. 33, pp. S75-S83, </w:t>
                    </w:r>
                    <w:r>
                      <w:rPr>
                        <w:noProof/>
                        <w:color w:val="0000FF"/>
                        <w:u w:val="single"/>
                      </w:rPr>
                      <w:t>http://dx.doi.org/10.1016/J.ENECO.2011.07.029</w:t>
                    </w:r>
                    <w:r>
                      <w:rPr>
                        <w:noProof/>
                      </w:rPr>
                      <w:t>.</w:t>
                    </w:r>
                  </w:p>
                </w:tc>
                <w:tc>
                  <w:tcPr>
                    <w:tcW w:w="600" w:type="dxa"/>
                    <w:noWrap/>
                    <w:hideMark/>
                  </w:tcPr>
                  <w:p w14:paraId="32AD1AB1" w14:textId="77777777" w:rsidR="004D61AD" w:rsidRDefault="004D61AD" w:rsidP="00181986">
                    <w:pPr>
                      <w:spacing w:before="100" w:beforeAutospacing="1" w:after="100" w:afterAutospacing="1"/>
                      <w:jc w:val="right"/>
                      <w:rPr>
                        <w:noProof/>
                      </w:rPr>
                    </w:pPr>
                    <w:r>
                      <w:rPr>
                        <w:noProof/>
                        <w:color w:val="000000"/>
                        <w:sz w:val="16"/>
                        <w:szCs w:val="16"/>
                      </w:rPr>
                      <w:t>[37]</w:t>
                    </w:r>
                  </w:p>
                </w:tc>
              </w:tr>
              <w:tr w:rsidR="004D61AD" w14:paraId="23EA6AFD" w14:textId="77777777" w:rsidTr="00181986">
                <w:trPr>
                  <w:cantSplit/>
                </w:trPr>
                <w:tc>
                  <w:tcPr>
                    <w:tcW w:w="8699" w:type="dxa"/>
                    <w:hideMark/>
                  </w:tcPr>
                  <w:p w14:paraId="4DE0B38F" w14:textId="77777777" w:rsidR="004D61AD" w:rsidRDefault="004D61AD" w:rsidP="00181986">
                    <w:pPr>
                      <w:pStyle w:val="Bibliographie"/>
                      <w:spacing w:line="240" w:lineRule="exact"/>
                      <w:rPr>
                        <w:noProof/>
                      </w:rPr>
                    </w:pPr>
                    <w:r>
                      <w:rPr>
                        <w:noProof/>
                      </w:rPr>
                      <w:t xml:space="preserve">Ambec, S., M. Cohen and S. Elgie (2013), “The Porter Hypothesis at 20: Can Environmental Regulation Enhance Innovation and Competitiveness?”, </w:t>
                    </w:r>
                    <w:r>
                      <w:rPr>
                        <w:i/>
                        <w:iCs/>
                        <w:noProof/>
                      </w:rPr>
                      <w:t>Review of Environmental Economics and Policy</w:t>
                    </w:r>
                    <w:r>
                      <w:rPr>
                        <w:noProof/>
                      </w:rPr>
                      <w:t>, Vol. 7/1, pp. 104-115.</w:t>
                    </w:r>
                  </w:p>
                </w:tc>
                <w:tc>
                  <w:tcPr>
                    <w:tcW w:w="600" w:type="dxa"/>
                    <w:noWrap/>
                    <w:hideMark/>
                  </w:tcPr>
                  <w:p w14:paraId="40554FFD" w14:textId="77777777" w:rsidR="004D61AD" w:rsidRDefault="004D61AD" w:rsidP="00181986">
                    <w:pPr>
                      <w:spacing w:before="100" w:beforeAutospacing="1" w:after="100" w:afterAutospacing="1"/>
                      <w:jc w:val="right"/>
                      <w:rPr>
                        <w:noProof/>
                      </w:rPr>
                    </w:pPr>
                    <w:r>
                      <w:rPr>
                        <w:noProof/>
                        <w:color w:val="000000"/>
                        <w:sz w:val="16"/>
                        <w:szCs w:val="16"/>
                      </w:rPr>
                      <w:t>[14]</w:t>
                    </w:r>
                  </w:p>
                </w:tc>
              </w:tr>
              <w:tr w:rsidR="004D61AD" w14:paraId="10FA5D85" w14:textId="77777777" w:rsidTr="00181986">
                <w:trPr>
                  <w:cantSplit/>
                </w:trPr>
                <w:tc>
                  <w:tcPr>
                    <w:tcW w:w="8699" w:type="dxa"/>
                    <w:hideMark/>
                  </w:tcPr>
                  <w:p w14:paraId="731729B9" w14:textId="77777777" w:rsidR="004D61AD" w:rsidRDefault="004D61AD" w:rsidP="00181986">
                    <w:pPr>
                      <w:pStyle w:val="Bibliographie"/>
                      <w:spacing w:line="240" w:lineRule="exact"/>
                      <w:rPr>
                        <w:noProof/>
                      </w:rPr>
                    </w:pPr>
                    <w:r>
                      <w:rPr>
                        <w:noProof/>
                      </w:rPr>
                      <w:t xml:space="preserve">Anger, N. and U. Oberndorfer (2008), “Firm performance and employment in the EU emissions trading scheme : An empirical assessment for Germany”, </w:t>
                    </w:r>
                    <w:r>
                      <w:rPr>
                        <w:i/>
                        <w:iCs/>
                        <w:noProof/>
                      </w:rPr>
                      <w:t>Energy Policy</w:t>
                    </w:r>
                    <w:r>
                      <w:rPr>
                        <w:noProof/>
                      </w:rPr>
                      <w:t xml:space="preserve">, Vol. 36/36, pp. 12-22, </w:t>
                    </w:r>
                    <w:r>
                      <w:rPr>
                        <w:noProof/>
                        <w:color w:val="0000FF"/>
                        <w:u w:val="single"/>
                      </w:rPr>
                      <w:t>http://dx.doi.org/10.1016/j.enpol.2007.09.007</w:t>
                    </w:r>
                    <w:r>
                      <w:rPr>
                        <w:noProof/>
                      </w:rPr>
                      <w:t>.</w:t>
                    </w:r>
                  </w:p>
                </w:tc>
                <w:tc>
                  <w:tcPr>
                    <w:tcW w:w="600" w:type="dxa"/>
                    <w:noWrap/>
                    <w:hideMark/>
                  </w:tcPr>
                  <w:p w14:paraId="5AA898CA" w14:textId="77777777" w:rsidR="004D61AD" w:rsidRDefault="004D61AD" w:rsidP="00181986">
                    <w:pPr>
                      <w:spacing w:before="100" w:beforeAutospacing="1" w:after="100" w:afterAutospacing="1"/>
                      <w:jc w:val="right"/>
                      <w:rPr>
                        <w:noProof/>
                      </w:rPr>
                    </w:pPr>
                    <w:r>
                      <w:rPr>
                        <w:noProof/>
                        <w:color w:val="000000"/>
                        <w:sz w:val="16"/>
                        <w:szCs w:val="16"/>
                      </w:rPr>
                      <w:t>[63]</w:t>
                    </w:r>
                  </w:p>
                </w:tc>
              </w:tr>
              <w:tr w:rsidR="004D61AD" w14:paraId="643AC8D2" w14:textId="77777777" w:rsidTr="00181986">
                <w:trPr>
                  <w:cantSplit/>
                </w:trPr>
                <w:tc>
                  <w:tcPr>
                    <w:tcW w:w="8699" w:type="dxa"/>
                    <w:hideMark/>
                  </w:tcPr>
                  <w:p w14:paraId="6FE26C83" w14:textId="77777777" w:rsidR="004D61AD" w:rsidRDefault="004D61AD" w:rsidP="00181986">
                    <w:pPr>
                      <w:pStyle w:val="Bibliographie"/>
                      <w:spacing w:line="240" w:lineRule="exact"/>
                      <w:rPr>
                        <w:noProof/>
                      </w:rPr>
                    </w:pPr>
                    <w:r>
                      <w:rPr>
                        <w:noProof/>
                      </w:rPr>
                      <w:t xml:space="preserve">Berger, T. (2008), “Concepts of national competitiveness”, </w:t>
                    </w:r>
                    <w:r>
                      <w:rPr>
                        <w:i/>
                        <w:iCs/>
                        <w:noProof/>
                      </w:rPr>
                      <w:t>Journal of International Business and Economy</w:t>
                    </w:r>
                    <w:r>
                      <w:rPr>
                        <w:noProof/>
                      </w:rPr>
                      <w:t xml:space="preserve">, Vol. 9/1, </w:t>
                    </w:r>
                    <w:r>
                      <w:rPr>
                        <w:noProof/>
                        <w:color w:val="0000FF"/>
                        <w:u w:val="single"/>
                      </w:rPr>
                      <w:t>http://www.i-jibe.org/achive/2008spring/5-Berger.pdf</w:t>
                    </w:r>
                    <w:r>
                      <w:rPr>
                        <w:noProof/>
                      </w:rPr>
                      <w:t>, pp. 91-111.</w:t>
                    </w:r>
                  </w:p>
                </w:tc>
                <w:tc>
                  <w:tcPr>
                    <w:tcW w:w="600" w:type="dxa"/>
                    <w:noWrap/>
                    <w:hideMark/>
                  </w:tcPr>
                  <w:p w14:paraId="5C69DC71" w14:textId="77777777" w:rsidR="004D61AD" w:rsidRDefault="004D61AD" w:rsidP="00181986">
                    <w:pPr>
                      <w:spacing w:before="100" w:beforeAutospacing="1" w:after="100" w:afterAutospacing="1"/>
                      <w:jc w:val="right"/>
                      <w:rPr>
                        <w:noProof/>
                      </w:rPr>
                    </w:pPr>
                    <w:r>
                      <w:rPr>
                        <w:noProof/>
                        <w:color w:val="000000"/>
                        <w:sz w:val="16"/>
                        <w:szCs w:val="16"/>
                      </w:rPr>
                      <w:t>[1]</w:t>
                    </w:r>
                  </w:p>
                </w:tc>
              </w:tr>
              <w:tr w:rsidR="004D61AD" w14:paraId="64A980FD" w14:textId="77777777" w:rsidTr="00181986">
                <w:trPr>
                  <w:cantSplit/>
                </w:trPr>
                <w:tc>
                  <w:tcPr>
                    <w:tcW w:w="8699" w:type="dxa"/>
                    <w:hideMark/>
                  </w:tcPr>
                  <w:p w14:paraId="3E36FE1A" w14:textId="77777777" w:rsidR="00B43E56" w:rsidRDefault="00B43E56" w:rsidP="00181986">
                    <w:pPr>
                      <w:pStyle w:val="Bibliographie"/>
                      <w:spacing w:line="240" w:lineRule="exact"/>
                    </w:pPr>
                    <w:proofErr w:type="spellStart"/>
                    <w:r>
                      <w:t>Böhringer</w:t>
                    </w:r>
                    <w:proofErr w:type="spellEnd"/>
                    <w:r>
                      <w:t xml:space="preserve">, C., and A. Lange (2005) "On the design of optimal grandfathering schemes for emission allowances", </w:t>
                    </w:r>
                    <w:r>
                      <w:rPr>
                        <w:i/>
                        <w:iCs/>
                      </w:rPr>
                      <w:t>European Economic Review</w:t>
                    </w:r>
                    <w:r>
                      <w:t xml:space="preserve">, </w:t>
                    </w:r>
                    <w:r>
                      <w:rPr>
                        <w:i/>
                        <w:iCs/>
                      </w:rPr>
                      <w:t>49</w:t>
                    </w:r>
                    <w:r>
                      <w:t xml:space="preserve">, 2041–2055. </w:t>
                    </w:r>
                  </w:p>
                  <w:p w14:paraId="5EBEEECE" w14:textId="77777777" w:rsidR="004D61AD" w:rsidRDefault="004D61AD" w:rsidP="00181986">
                    <w:pPr>
                      <w:pStyle w:val="Bibliographie"/>
                      <w:spacing w:line="240" w:lineRule="exact"/>
                      <w:rPr>
                        <w:noProof/>
                      </w:rPr>
                    </w:pPr>
                    <w:r>
                      <w:rPr>
                        <w:noProof/>
                      </w:rPr>
                      <w:t xml:space="preserve">Borghesi, S., C. Franco and G. Marin (2018), “Outward Foreign Direct Investments Patterns of Italian Firms in the EU ETS”, </w:t>
                    </w:r>
                    <w:r>
                      <w:rPr>
                        <w:i/>
                        <w:iCs/>
                        <w:noProof/>
                      </w:rPr>
                      <w:t>The Scandinavian Journal of Economics</w:t>
                    </w:r>
                    <w:r>
                      <w:rPr>
                        <w:noProof/>
                      </w:rPr>
                      <w:t xml:space="preserve">, Vol. in press, </w:t>
                    </w:r>
                    <w:r>
                      <w:rPr>
                        <w:noProof/>
                        <w:color w:val="0000FF"/>
                        <w:u w:val="single"/>
                      </w:rPr>
                      <w:t>http://dx.doi.org/10.1111/sjoe.12323</w:t>
                    </w:r>
                    <w:r>
                      <w:rPr>
                        <w:noProof/>
                      </w:rPr>
                      <w:t>.</w:t>
                    </w:r>
                  </w:p>
                </w:tc>
                <w:tc>
                  <w:tcPr>
                    <w:tcW w:w="600" w:type="dxa"/>
                    <w:noWrap/>
                    <w:hideMark/>
                  </w:tcPr>
                  <w:p w14:paraId="5DDC39FD" w14:textId="77777777" w:rsidR="004D61AD" w:rsidRDefault="004D61AD" w:rsidP="00181986">
                    <w:pPr>
                      <w:spacing w:before="100" w:beforeAutospacing="1" w:after="100" w:afterAutospacing="1"/>
                      <w:jc w:val="right"/>
                      <w:rPr>
                        <w:noProof/>
                      </w:rPr>
                    </w:pPr>
                    <w:r>
                      <w:rPr>
                        <w:noProof/>
                        <w:color w:val="000000"/>
                        <w:sz w:val="16"/>
                        <w:szCs w:val="16"/>
                      </w:rPr>
                      <w:t>[27]</w:t>
                    </w:r>
                  </w:p>
                </w:tc>
              </w:tr>
              <w:tr w:rsidR="004D61AD" w14:paraId="24DD0DA8" w14:textId="77777777" w:rsidTr="00181986">
                <w:trPr>
                  <w:cantSplit/>
                </w:trPr>
                <w:tc>
                  <w:tcPr>
                    <w:tcW w:w="8699" w:type="dxa"/>
                    <w:hideMark/>
                  </w:tcPr>
                  <w:p w14:paraId="55C66132" w14:textId="77777777" w:rsidR="004D61AD" w:rsidRDefault="004D61AD" w:rsidP="00181986">
                    <w:pPr>
                      <w:pStyle w:val="Bibliographie"/>
                      <w:spacing w:line="240" w:lineRule="exact"/>
                      <w:rPr>
                        <w:noProof/>
                      </w:rPr>
                    </w:pPr>
                    <w:r>
                      <w:rPr>
                        <w:noProof/>
                      </w:rPr>
                      <w:t xml:space="preserve">Boutabba, M. and S. Lardic (2017), “EU Emissions Trading Scheme , competitiveness and carbon leakage : new evidence from cement and steel industries”, </w:t>
                    </w:r>
                    <w:r>
                      <w:rPr>
                        <w:i/>
                        <w:iCs/>
                        <w:noProof/>
                      </w:rPr>
                      <w:t>Annals of Operations Research</w:t>
                    </w:r>
                    <w:r>
                      <w:rPr>
                        <w:noProof/>
                      </w:rPr>
                      <w:t xml:space="preserve">, Vol. 255/1, pp. 47-61, </w:t>
                    </w:r>
                    <w:r>
                      <w:rPr>
                        <w:noProof/>
                        <w:color w:val="0000FF"/>
                        <w:u w:val="single"/>
                      </w:rPr>
                      <w:t>http://dx.doi.org/10.1007/s10479-016-2246-9</w:t>
                    </w:r>
                    <w:r>
                      <w:rPr>
                        <w:noProof/>
                      </w:rPr>
                      <w:t>.</w:t>
                    </w:r>
                  </w:p>
                </w:tc>
                <w:tc>
                  <w:tcPr>
                    <w:tcW w:w="600" w:type="dxa"/>
                    <w:noWrap/>
                    <w:hideMark/>
                  </w:tcPr>
                  <w:p w14:paraId="368B9B99" w14:textId="77777777" w:rsidR="004D61AD" w:rsidRDefault="004D61AD" w:rsidP="00181986">
                    <w:pPr>
                      <w:spacing w:before="100" w:beforeAutospacing="1" w:after="100" w:afterAutospacing="1"/>
                      <w:jc w:val="right"/>
                      <w:rPr>
                        <w:noProof/>
                      </w:rPr>
                    </w:pPr>
                    <w:r>
                      <w:rPr>
                        <w:noProof/>
                        <w:color w:val="000000"/>
                        <w:sz w:val="16"/>
                        <w:szCs w:val="16"/>
                      </w:rPr>
                      <w:t>[25]</w:t>
                    </w:r>
                  </w:p>
                </w:tc>
              </w:tr>
              <w:tr w:rsidR="004D61AD" w14:paraId="512663FC" w14:textId="77777777" w:rsidTr="00181986">
                <w:trPr>
                  <w:cantSplit/>
                </w:trPr>
                <w:tc>
                  <w:tcPr>
                    <w:tcW w:w="8699" w:type="dxa"/>
                    <w:hideMark/>
                  </w:tcPr>
                  <w:p w14:paraId="4F61AE09" w14:textId="77777777" w:rsidR="004D61AD" w:rsidRDefault="004D61AD" w:rsidP="00181986">
                    <w:pPr>
                      <w:pStyle w:val="Bibliographie"/>
                      <w:spacing w:line="240" w:lineRule="exact"/>
                      <w:rPr>
                        <w:noProof/>
                      </w:rPr>
                    </w:pPr>
                    <w:r>
                      <w:rPr>
                        <w:noProof/>
                      </w:rPr>
                      <w:t xml:space="preserve">Branger, F., P. Quirion and J. Chevallier (2014), “Carbon leakage and competitiveness of cement and steel industries under the EU ETS : much ado about nothing T”, </w:t>
                    </w:r>
                    <w:r>
                      <w:rPr>
                        <w:i/>
                        <w:iCs/>
                        <w:noProof/>
                      </w:rPr>
                      <w:t>The Energy Journal</w:t>
                    </w:r>
                    <w:r>
                      <w:rPr>
                        <w:noProof/>
                      </w:rPr>
                      <w:t>, Vol. 37/3, pp. 109-135.</w:t>
                    </w:r>
                  </w:p>
                </w:tc>
                <w:tc>
                  <w:tcPr>
                    <w:tcW w:w="600" w:type="dxa"/>
                    <w:noWrap/>
                    <w:hideMark/>
                  </w:tcPr>
                  <w:p w14:paraId="715E7E76" w14:textId="77777777" w:rsidR="004D61AD" w:rsidRDefault="004D61AD" w:rsidP="00181986">
                    <w:pPr>
                      <w:spacing w:before="100" w:beforeAutospacing="1" w:after="100" w:afterAutospacing="1"/>
                      <w:jc w:val="right"/>
                      <w:rPr>
                        <w:noProof/>
                      </w:rPr>
                    </w:pPr>
                    <w:r>
                      <w:rPr>
                        <w:noProof/>
                        <w:color w:val="000000"/>
                        <w:sz w:val="16"/>
                        <w:szCs w:val="16"/>
                      </w:rPr>
                      <w:t>[23]</w:t>
                    </w:r>
                  </w:p>
                </w:tc>
              </w:tr>
              <w:tr w:rsidR="004D61AD" w14:paraId="4B88909C" w14:textId="77777777" w:rsidTr="00181986">
                <w:trPr>
                  <w:cantSplit/>
                </w:trPr>
                <w:tc>
                  <w:tcPr>
                    <w:tcW w:w="8699" w:type="dxa"/>
                    <w:hideMark/>
                  </w:tcPr>
                  <w:p w14:paraId="48D6A2C6" w14:textId="77777777" w:rsidR="004D61AD" w:rsidRDefault="004D61AD" w:rsidP="00181986">
                    <w:pPr>
                      <w:pStyle w:val="Bibliographie"/>
                      <w:spacing w:line="240" w:lineRule="exact"/>
                      <w:rPr>
                        <w:noProof/>
                      </w:rPr>
                    </w:pPr>
                    <w:r>
                      <w:rPr>
                        <w:noProof/>
                      </w:rPr>
                      <w:lastRenderedPageBreak/>
                      <w:t xml:space="preserve">Calel, R. and A. Dechezleprêtre (2016), “Environmental Policy and Directed Technological Change: Evidence from the European Carbon Market”, </w:t>
                    </w:r>
                    <w:r>
                      <w:rPr>
                        <w:i/>
                        <w:iCs/>
                        <w:noProof/>
                      </w:rPr>
                      <w:t>Review of Economics and Statistics</w:t>
                    </w:r>
                    <w:r>
                      <w:rPr>
                        <w:noProof/>
                      </w:rPr>
                      <w:t xml:space="preserve">, Vol. 98/1, pp. 173-191, </w:t>
                    </w:r>
                    <w:r>
                      <w:rPr>
                        <w:noProof/>
                        <w:color w:val="0000FF"/>
                        <w:u w:val="single"/>
                      </w:rPr>
                      <w:t>http://dx.doi.org/10.1162/REST_a_00470</w:t>
                    </w:r>
                    <w:r>
                      <w:rPr>
                        <w:noProof/>
                      </w:rPr>
                      <w:t>.</w:t>
                    </w:r>
                  </w:p>
                </w:tc>
                <w:tc>
                  <w:tcPr>
                    <w:tcW w:w="600" w:type="dxa"/>
                    <w:noWrap/>
                    <w:hideMark/>
                  </w:tcPr>
                  <w:p w14:paraId="6D2F52CE" w14:textId="77777777" w:rsidR="004D61AD" w:rsidRDefault="004D61AD" w:rsidP="00181986">
                    <w:pPr>
                      <w:spacing w:before="100" w:beforeAutospacing="1" w:after="100" w:afterAutospacing="1"/>
                      <w:jc w:val="right"/>
                      <w:rPr>
                        <w:noProof/>
                      </w:rPr>
                    </w:pPr>
                    <w:r>
                      <w:rPr>
                        <w:noProof/>
                        <w:color w:val="000000"/>
                        <w:sz w:val="16"/>
                        <w:szCs w:val="16"/>
                      </w:rPr>
                      <w:t>[40]</w:t>
                    </w:r>
                  </w:p>
                </w:tc>
              </w:tr>
              <w:tr w:rsidR="004D61AD" w14:paraId="1A3EA096" w14:textId="77777777" w:rsidTr="00181986">
                <w:trPr>
                  <w:cantSplit/>
                </w:trPr>
                <w:tc>
                  <w:tcPr>
                    <w:tcW w:w="8699" w:type="dxa"/>
                    <w:hideMark/>
                  </w:tcPr>
                  <w:p w14:paraId="5120A08A" w14:textId="77777777" w:rsidR="004D61AD" w:rsidRDefault="004D61AD" w:rsidP="00181986">
                    <w:pPr>
                      <w:pStyle w:val="Bibliographie"/>
                      <w:spacing w:line="240" w:lineRule="exact"/>
                      <w:rPr>
                        <w:noProof/>
                      </w:rPr>
                    </w:pPr>
                    <w:r>
                      <w:rPr>
                        <w:noProof/>
                      </w:rPr>
                      <w:t xml:space="preserve">Calligaris, S., F. Arcangelo and G. Pavan (2018), “The Impact of European Carbon Market on Firm Productivity: Evidences from Italian Manufacturing Firms”, </w:t>
                    </w:r>
                    <w:r>
                      <w:rPr>
                        <w:i/>
                        <w:iCs/>
                        <w:noProof/>
                      </w:rPr>
                      <w:t>Working paper</w:t>
                    </w:r>
                    <w:r>
                      <w:rPr>
                        <w:noProof/>
                      </w:rPr>
                      <w:t>.</w:t>
                    </w:r>
                  </w:p>
                </w:tc>
                <w:tc>
                  <w:tcPr>
                    <w:tcW w:w="600" w:type="dxa"/>
                    <w:noWrap/>
                    <w:hideMark/>
                  </w:tcPr>
                  <w:p w14:paraId="6BBBAF3D" w14:textId="77777777" w:rsidR="004D61AD" w:rsidRDefault="004D61AD" w:rsidP="00181986">
                    <w:pPr>
                      <w:spacing w:before="100" w:beforeAutospacing="1" w:after="100" w:afterAutospacing="1"/>
                      <w:jc w:val="right"/>
                      <w:rPr>
                        <w:noProof/>
                      </w:rPr>
                    </w:pPr>
                    <w:r>
                      <w:rPr>
                        <w:noProof/>
                        <w:color w:val="000000"/>
                        <w:sz w:val="16"/>
                        <w:szCs w:val="16"/>
                      </w:rPr>
                      <w:t>[33]</w:t>
                    </w:r>
                  </w:p>
                </w:tc>
              </w:tr>
              <w:tr w:rsidR="004D61AD" w14:paraId="59F5A4D1" w14:textId="77777777" w:rsidTr="00181986">
                <w:trPr>
                  <w:cantSplit/>
                </w:trPr>
                <w:tc>
                  <w:tcPr>
                    <w:tcW w:w="8699" w:type="dxa"/>
                    <w:hideMark/>
                  </w:tcPr>
                  <w:p w14:paraId="6FA363D8" w14:textId="77777777" w:rsidR="004D61AD" w:rsidRDefault="004D61AD" w:rsidP="00181986">
                    <w:pPr>
                      <w:pStyle w:val="Bibliographie"/>
                      <w:spacing w:line="240" w:lineRule="exact"/>
                      <w:rPr>
                        <w:noProof/>
                      </w:rPr>
                    </w:pPr>
                    <w:r>
                      <w:rPr>
                        <w:noProof/>
                      </w:rPr>
                      <w:t xml:space="preserve">Carbone, J. and N. Rivers (2017), “The Impacts of Unilateral Climate Policy on Competitiveness: Evidence From Computable General Equilibrium Models”, </w:t>
                    </w:r>
                    <w:r>
                      <w:rPr>
                        <w:i/>
                        <w:iCs/>
                        <w:noProof/>
                      </w:rPr>
                      <w:t>Review of Environmental Economics and Policy</w:t>
                    </w:r>
                    <w:r>
                      <w:rPr>
                        <w:noProof/>
                      </w:rPr>
                      <w:t xml:space="preserve">, Vol. 11/1, pp. 24-42, </w:t>
                    </w:r>
                    <w:r>
                      <w:rPr>
                        <w:noProof/>
                        <w:color w:val="0000FF"/>
                        <w:u w:val="single"/>
                      </w:rPr>
                      <w:t>http://dx.doi.org/10.1093/reep/rew025</w:t>
                    </w:r>
                    <w:r>
                      <w:rPr>
                        <w:noProof/>
                      </w:rPr>
                      <w:t>.</w:t>
                    </w:r>
                  </w:p>
                </w:tc>
                <w:tc>
                  <w:tcPr>
                    <w:tcW w:w="600" w:type="dxa"/>
                    <w:noWrap/>
                    <w:hideMark/>
                  </w:tcPr>
                  <w:p w14:paraId="6A3A4F00" w14:textId="77777777" w:rsidR="004D61AD" w:rsidRDefault="004D61AD" w:rsidP="00181986">
                    <w:pPr>
                      <w:spacing w:before="100" w:beforeAutospacing="1" w:after="100" w:afterAutospacing="1"/>
                      <w:jc w:val="right"/>
                      <w:rPr>
                        <w:noProof/>
                      </w:rPr>
                    </w:pPr>
                    <w:r>
                      <w:rPr>
                        <w:noProof/>
                        <w:color w:val="000000"/>
                        <w:sz w:val="16"/>
                        <w:szCs w:val="16"/>
                      </w:rPr>
                      <w:t>[17]</w:t>
                    </w:r>
                  </w:p>
                </w:tc>
              </w:tr>
              <w:tr w:rsidR="004D61AD" w14:paraId="369A34AF" w14:textId="77777777" w:rsidTr="00181986">
                <w:trPr>
                  <w:cantSplit/>
                </w:trPr>
                <w:tc>
                  <w:tcPr>
                    <w:tcW w:w="8699" w:type="dxa"/>
                    <w:hideMark/>
                  </w:tcPr>
                  <w:p w14:paraId="3FC0BC65" w14:textId="77777777" w:rsidR="004D61AD" w:rsidRDefault="004D61AD" w:rsidP="00181986">
                    <w:pPr>
                      <w:pStyle w:val="Bibliographie"/>
                      <w:spacing w:line="240" w:lineRule="exact"/>
                      <w:rPr>
                        <w:noProof/>
                      </w:rPr>
                    </w:pPr>
                    <w:r>
                      <w:rPr>
                        <w:noProof/>
                      </w:rPr>
                      <w:t xml:space="preserve">Chan, H., S. Li and F. Zhang (2013), “Firm Competitiveness and the European Union Emissions Trading Scheme”, </w:t>
                    </w:r>
                    <w:r>
                      <w:rPr>
                        <w:i/>
                        <w:iCs/>
                        <w:noProof/>
                      </w:rPr>
                      <w:t>Energy Policy</w:t>
                    </w:r>
                    <w:r>
                      <w:rPr>
                        <w:noProof/>
                      </w:rPr>
                      <w:t>, Vol. 63, pp. 1056-1064.</w:t>
                    </w:r>
                  </w:p>
                </w:tc>
                <w:tc>
                  <w:tcPr>
                    <w:tcW w:w="600" w:type="dxa"/>
                    <w:noWrap/>
                    <w:hideMark/>
                  </w:tcPr>
                  <w:p w14:paraId="600839B1" w14:textId="77777777" w:rsidR="004D61AD" w:rsidRDefault="004D61AD" w:rsidP="00181986">
                    <w:pPr>
                      <w:spacing w:before="100" w:beforeAutospacing="1" w:after="100" w:afterAutospacing="1"/>
                      <w:jc w:val="right"/>
                      <w:rPr>
                        <w:noProof/>
                      </w:rPr>
                    </w:pPr>
                    <w:r>
                      <w:rPr>
                        <w:noProof/>
                        <w:color w:val="000000"/>
                        <w:sz w:val="16"/>
                        <w:szCs w:val="16"/>
                      </w:rPr>
                      <w:t>[62]</w:t>
                    </w:r>
                  </w:p>
                </w:tc>
              </w:tr>
              <w:tr w:rsidR="004D61AD" w14:paraId="50DFAAAB" w14:textId="77777777" w:rsidTr="00181986">
                <w:trPr>
                  <w:cantSplit/>
                </w:trPr>
                <w:tc>
                  <w:tcPr>
                    <w:tcW w:w="8699" w:type="dxa"/>
                    <w:hideMark/>
                  </w:tcPr>
                  <w:p w14:paraId="54E4014E" w14:textId="77777777" w:rsidR="004D61AD" w:rsidRDefault="004D61AD" w:rsidP="00181986">
                    <w:pPr>
                      <w:pStyle w:val="Bibliographie"/>
                      <w:spacing w:line="240" w:lineRule="exact"/>
                      <w:rPr>
                        <w:noProof/>
                      </w:rPr>
                    </w:pPr>
                    <w:r>
                      <w:rPr>
                        <w:noProof/>
                      </w:rPr>
                      <w:t xml:space="preserve">Clò, S. (2010), “Grandfathering, auctioning and Carbon Leakage: Assessing the inconsistencies of the new ETS Directive”, </w:t>
                    </w:r>
                    <w:r>
                      <w:rPr>
                        <w:i/>
                        <w:iCs/>
                        <w:noProof/>
                      </w:rPr>
                      <w:t>Energy Policy</w:t>
                    </w:r>
                    <w:r>
                      <w:rPr>
                        <w:noProof/>
                      </w:rPr>
                      <w:t xml:space="preserve">, Vol. 38/5, pp. 2420-2430, </w:t>
                    </w:r>
                    <w:r>
                      <w:rPr>
                        <w:noProof/>
                        <w:color w:val="0000FF"/>
                        <w:u w:val="single"/>
                      </w:rPr>
                      <w:t>http://dx.doi.org/10.1016/j.enpol.2009.12.035</w:t>
                    </w:r>
                    <w:r>
                      <w:rPr>
                        <w:noProof/>
                      </w:rPr>
                      <w:t>.</w:t>
                    </w:r>
                  </w:p>
                </w:tc>
                <w:tc>
                  <w:tcPr>
                    <w:tcW w:w="600" w:type="dxa"/>
                    <w:noWrap/>
                    <w:hideMark/>
                  </w:tcPr>
                  <w:p w14:paraId="4A12DE1C" w14:textId="77777777" w:rsidR="004D61AD" w:rsidRDefault="004D61AD" w:rsidP="00181986">
                    <w:pPr>
                      <w:spacing w:before="100" w:beforeAutospacing="1" w:after="100" w:afterAutospacing="1"/>
                      <w:jc w:val="right"/>
                      <w:rPr>
                        <w:noProof/>
                      </w:rPr>
                    </w:pPr>
                    <w:r>
                      <w:rPr>
                        <w:noProof/>
                        <w:color w:val="000000"/>
                        <w:sz w:val="16"/>
                        <w:szCs w:val="16"/>
                      </w:rPr>
                      <w:t>[13]</w:t>
                    </w:r>
                  </w:p>
                </w:tc>
              </w:tr>
              <w:tr w:rsidR="004D61AD" w14:paraId="46E059CA" w14:textId="77777777" w:rsidTr="00181986">
                <w:trPr>
                  <w:cantSplit/>
                </w:trPr>
                <w:tc>
                  <w:tcPr>
                    <w:tcW w:w="8699" w:type="dxa"/>
                    <w:hideMark/>
                  </w:tcPr>
                  <w:p w14:paraId="2FA33B70" w14:textId="77777777" w:rsidR="004D61AD" w:rsidRDefault="004D61AD" w:rsidP="00181986">
                    <w:pPr>
                      <w:pStyle w:val="Bibliographie"/>
                      <w:spacing w:line="240" w:lineRule="exact"/>
                      <w:rPr>
                        <w:noProof/>
                      </w:rPr>
                    </w:pPr>
                    <w:r>
                      <w:rPr>
                        <w:noProof/>
                      </w:rPr>
                      <w:t xml:space="preserve">Coase, R. (1960), “The Problem of Social Cost”, </w:t>
                    </w:r>
                    <w:r>
                      <w:rPr>
                        <w:i/>
                        <w:iCs/>
                        <w:noProof/>
                      </w:rPr>
                      <w:t>The Journal of Law &amp; Economics</w:t>
                    </w:r>
                    <w:r>
                      <w:rPr>
                        <w:noProof/>
                      </w:rPr>
                      <w:t xml:space="preserve">, Vol. 3, pp. 1-44, </w:t>
                    </w:r>
                    <w:r>
                      <w:rPr>
                        <w:noProof/>
                        <w:color w:val="0000FF"/>
                        <w:u w:val="single"/>
                      </w:rPr>
                      <w:t>http://dx.doi.org/10.2307/724810</w:t>
                    </w:r>
                    <w:r>
                      <w:rPr>
                        <w:noProof/>
                      </w:rPr>
                      <w:t>.</w:t>
                    </w:r>
                  </w:p>
                </w:tc>
                <w:tc>
                  <w:tcPr>
                    <w:tcW w:w="600" w:type="dxa"/>
                    <w:noWrap/>
                    <w:hideMark/>
                  </w:tcPr>
                  <w:p w14:paraId="242BFEF2" w14:textId="77777777" w:rsidR="004D61AD" w:rsidRDefault="004D61AD" w:rsidP="00181986">
                    <w:pPr>
                      <w:spacing w:before="100" w:beforeAutospacing="1" w:after="100" w:afterAutospacing="1"/>
                      <w:jc w:val="right"/>
                      <w:rPr>
                        <w:noProof/>
                      </w:rPr>
                    </w:pPr>
                    <w:r>
                      <w:rPr>
                        <w:noProof/>
                        <w:color w:val="000000"/>
                        <w:sz w:val="16"/>
                        <w:szCs w:val="16"/>
                      </w:rPr>
                      <w:t>[6]</w:t>
                    </w:r>
                  </w:p>
                </w:tc>
              </w:tr>
              <w:tr w:rsidR="004D61AD" w14:paraId="13EB4B68" w14:textId="77777777" w:rsidTr="00181986">
                <w:trPr>
                  <w:cantSplit/>
                </w:trPr>
                <w:tc>
                  <w:tcPr>
                    <w:tcW w:w="8699" w:type="dxa"/>
                    <w:hideMark/>
                  </w:tcPr>
                  <w:p w14:paraId="27E165FD" w14:textId="77777777" w:rsidR="004D61AD" w:rsidRDefault="004D61AD" w:rsidP="00181986">
                    <w:pPr>
                      <w:pStyle w:val="Bibliographie"/>
                      <w:spacing w:line="240" w:lineRule="exact"/>
                      <w:rPr>
                        <w:noProof/>
                      </w:rPr>
                    </w:pPr>
                    <w:r>
                      <w:rPr>
                        <w:noProof/>
                      </w:rPr>
                      <w:t xml:space="preserve">Cohen, M. and A. Tubb (2018), “The Impact of Environmental Regulation on Firm and Country Competitiveness: A Meta-Analysis of the Porter Hypothesis”, </w:t>
                    </w:r>
                    <w:r>
                      <w:rPr>
                        <w:i/>
                        <w:iCs/>
                        <w:noProof/>
                      </w:rPr>
                      <w:t>Journal of the Association of Environmental and Resource Economists</w:t>
                    </w:r>
                    <w:r>
                      <w:rPr>
                        <w:noProof/>
                      </w:rPr>
                      <w:t xml:space="preserve">, Vol. 5/2, pp. 371-399, </w:t>
                    </w:r>
                    <w:r>
                      <w:rPr>
                        <w:noProof/>
                        <w:color w:val="0000FF"/>
                        <w:u w:val="single"/>
                      </w:rPr>
                      <w:t>http://dx.doi.org/10.2139/ssrn.2692919</w:t>
                    </w:r>
                    <w:r>
                      <w:rPr>
                        <w:noProof/>
                      </w:rPr>
                      <w:t>.</w:t>
                    </w:r>
                  </w:p>
                </w:tc>
                <w:tc>
                  <w:tcPr>
                    <w:tcW w:w="600" w:type="dxa"/>
                    <w:noWrap/>
                    <w:hideMark/>
                  </w:tcPr>
                  <w:p w14:paraId="0D1258F4" w14:textId="77777777" w:rsidR="004D61AD" w:rsidRDefault="004D61AD" w:rsidP="00181986">
                    <w:pPr>
                      <w:spacing w:before="100" w:beforeAutospacing="1" w:after="100" w:afterAutospacing="1"/>
                      <w:jc w:val="right"/>
                      <w:rPr>
                        <w:noProof/>
                      </w:rPr>
                    </w:pPr>
                    <w:r>
                      <w:rPr>
                        <w:noProof/>
                        <w:color w:val="000000"/>
                        <w:sz w:val="16"/>
                        <w:szCs w:val="16"/>
                      </w:rPr>
                      <w:t>[16]</w:t>
                    </w:r>
                  </w:p>
                </w:tc>
              </w:tr>
              <w:tr w:rsidR="004D61AD" w14:paraId="337C1477" w14:textId="77777777" w:rsidTr="00181986">
                <w:trPr>
                  <w:cantSplit/>
                </w:trPr>
                <w:tc>
                  <w:tcPr>
                    <w:tcW w:w="8699" w:type="dxa"/>
                    <w:hideMark/>
                  </w:tcPr>
                  <w:p w14:paraId="44B88230" w14:textId="77777777" w:rsidR="004D61AD" w:rsidRDefault="004D61AD" w:rsidP="00181986">
                    <w:pPr>
                      <w:pStyle w:val="Bibliographie"/>
                      <w:spacing w:line="240" w:lineRule="exact"/>
                      <w:rPr>
                        <w:noProof/>
                      </w:rPr>
                    </w:pPr>
                    <w:r>
                      <w:rPr>
                        <w:noProof/>
                      </w:rPr>
                      <w:t xml:space="preserve">Commins, N. et al. (2011), “Climate Policy &amp; Corporate Behavior”, </w:t>
                    </w:r>
                    <w:r>
                      <w:rPr>
                        <w:i/>
                        <w:iCs/>
                        <w:noProof/>
                      </w:rPr>
                      <w:t>The Energy Journal</w:t>
                    </w:r>
                    <w:r>
                      <w:rPr>
                        <w:noProof/>
                      </w:rPr>
                      <w:t xml:space="preserve">, Vol. 32/4, pp. 51-68, </w:t>
                    </w:r>
                    <w:r>
                      <w:rPr>
                        <w:noProof/>
                        <w:color w:val="0000FF"/>
                        <w:u w:val="single"/>
                      </w:rPr>
                      <w:t>http://dx.doi.org/10.5547/ISSN0195-6574-EJ-Vol32-No4-3</w:t>
                    </w:r>
                    <w:r>
                      <w:rPr>
                        <w:noProof/>
                      </w:rPr>
                      <w:t>.</w:t>
                    </w:r>
                  </w:p>
                  <w:p w14:paraId="7567481F" w14:textId="77777777" w:rsidR="00912E25" w:rsidRPr="00512445" w:rsidRDefault="00912E25" w:rsidP="00912E25">
                    <w:pPr>
                      <w:pStyle w:val="Bibliographie"/>
                      <w:spacing w:line="240" w:lineRule="exact"/>
                      <w:rPr>
                        <w:rFonts w:eastAsia="Times New Roman"/>
                        <w:sz w:val="24"/>
                        <w:szCs w:val="24"/>
                        <w:lang w:eastAsia="fr-BE"/>
                      </w:rPr>
                    </w:pPr>
                    <w:r w:rsidRPr="00512445">
                      <w:rPr>
                        <w:noProof/>
                      </w:rPr>
                      <w:t xml:space="preserve">Costantini, V., </w:t>
                    </w:r>
                    <w:r>
                      <w:rPr>
                        <w:noProof/>
                      </w:rPr>
                      <w:t>and</w:t>
                    </w:r>
                    <w:r w:rsidRPr="00512445">
                      <w:rPr>
                        <w:noProof/>
                      </w:rPr>
                      <w:t xml:space="preserve"> </w:t>
                    </w:r>
                    <w:r>
                      <w:rPr>
                        <w:noProof/>
                      </w:rPr>
                      <w:t xml:space="preserve">M. </w:t>
                    </w:r>
                    <w:r w:rsidRPr="00512445">
                      <w:rPr>
                        <w:noProof/>
                      </w:rPr>
                      <w:t>Mazzanti (2012)</w:t>
                    </w:r>
                    <w:r>
                      <w:rPr>
                        <w:noProof/>
                      </w:rPr>
                      <w:t>,</w:t>
                    </w:r>
                    <w:r w:rsidRPr="00512445">
                      <w:rPr>
                        <w:noProof/>
                      </w:rPr>
                      <w:t xml:space="preserve"> </w:t>
                    </w:r>
                    <w:r>
                      <w:rPr>
                        <w:noProof/>
                      </w:rPr>
                      <w:t>"</w:t>
                    </w:r>
                    <w:r w:rsidRPr="00512445">
                      <w:rPr>
                        <w:noProof/>
                      </w:rPr>
                      <w:t>On the green and innovative side of trade</w:t>
                    </w:r>
                    <w:r>
                      <w:rPr>
                        <w:noProof/>
                      </w:rPr>
                      <w:t xml:space="preserve"> </w:t>
                    </w:r>
                    <w:r w:rsidRPr="00512445">
                      <w:rPr>
                        <w:noProof/>
                      </w:rPr>
                      <w:t>competitiveness ? The impact of environmental policies and innovation on EU exports.</w:t>
                    </w:r>
                    <w:r>
                      <w:rPr>
                        <w:noProof/>
                      </w:rPr>
                      <w:t>"</w:t>
                    </w:r>
                    <w:r w:rsidRPr="00512445">
                      <w:rPr>
                        <w:noProof/>
                      </w:rPr>
                      <w:t xml:space="preserve"> </w:t>
                    </w:r>
                    <w:r w:rsidRPr="00512445">
                      <w:rPr>
                        <w:i/>
                        <w:iCs/>
                        <w:noProof/>
                      </w:rPr>
                      <w:t>Research Policy</w:t>
                    </w:r>
                    <w:r w:rsidRPr="00512445">
                      <w:rPr>
                        <w:noProof/>
                      </w:rPr>
                      <w:t>, 41(1), 132–153. https://doi.org/10.1016/j.respol.2011.08.004</w:t>
                    </w:r>
                  </w:p>
                </w:tc>
                <w:tc>
                  <w:tcPr>
                    <w:tcW w:w="600" w:type="dxa"/>
                    <w:noWrap/>
                    <w:hideMark/>
                  </w:tcPr>
                  <w:p w14:paraId="1646C18E" w14:textId="77777777" w:rsidR="004D61AD" w:rsidRDefault="004D61AD" w:rsidP="00181986">
                    <w:pPr>
                      <w:spacing w:before="100" w:beforeAutospacing="1" w:after="100" w:afterAutospacing="1"/>
                      <w:jc w:val="right"/>
                      <w:rPr>
                        <w:noProof/>
                      </w:rPr>
                    </w:pPr>
                    <w:r>
                      <w:rPr>
                        <w:noProof/>
                        <w:color w:val="000000"/>
                        <w:sz w:val="16"/>
                        <w:szCs w:val="16"/>
                      </w:rPr>
                      <w:t>[32]</w:t>
                    </w:r>
                  </w:p>
                </w:tc>
              </w:tr>
              <w:tr w:rsidR="004D61AD" w14:paraId="41472A2E" w14:textId="77777777" w:rsidTr="00181986">
                <w:trPr>
                  <w:cantSplit/>
                </w:trPr>
                <w:tc>
                  <w:tcPr>
                    <w:tcW w:w="8699" w:type="dxa"/>
                    <w:hideMark/>
                  </w:tcPr>
                  <w:p w14:paraId="3A29F5B1" w14:textId="77777777" w:rsidR="004D61AD" w:rsidRDefault="004D61AD" w:rsidP="00181986">
                    <w:pPr>
                      <w:pStyle w:val="Bibliographie"/>
                      <w:spacing w:line="240" w:lineRule="exact"/>
                      <w:rPr>
                        <w:noProof/>
                      </w:rPr>
                    </w:pPr>
                    <w:r>
                      <w:rPr>
                        <w:noProof/>
                      </w:rPr>
                      <w:t xml:space="preserve">Cui, J., J. Zhang and Y. Zheng (2018), “Carbon Pricing Induces Innovation: Evidence from China's Regional Carbon Market Pilots”, </w:t>
                    </w:r>
                    <w:r>
                      <w:rPr>
                        <w:i/>
                        <w:iCs/>
                        <w:noProof/>
                      </w:rPr>
                      <w:t>AEA Papers and Proceedings</w:t>
                    </w:r>
                    <w:r>
                      <w:rPr>
                        <w:noProof/>
                      </w:rPr>
                      <w:t xml:space="preserve">, Vol. 108, pp. 453-457, </w:t>
                    </w:r>
                    <w:r>
                      <w:rPr>
                        <w:noProof/>
                        <w:color w:val="0000FF"/>
                        <w:u w:val="single"/>
                      </w:rPr>
                      <w:t>http://dx.doi.org/10.1257/pandp.20181027</w:t>
                    </w:r>
                    <w:r>
                      <w:rPr>
                        <w:noProof/>
                      </w:rPr>
                      <w:t>.</w:t>
                    </w:r>
                  </w:p>
                </w:tc>
                <w:tc>
                  <w:tcPr>
                    <w:tcW w:w="600" w:type="dxa"/>
                    <w:noWrap/>
                    <w:hideMark/>
                  </w:tcPr>
                  <w:p w14:paraId="76C366AE" w14:textId="77777777" w:rsidR="004D61AD" w:rsidRDefault="004D61AD" w:rsidP="00181986">
                    <w:pPr>
                      <w:spacing w:before="100" w:beforeAutospacing="1" w:after="100" w:afterAutospacing="1"/>
                      <w:jc w:val="right"/>
                      <w:rPr>
                        <w:noProof/>
                      </w:rPr>
                    </w:pPr>
                    <w:r>
                      <w:rPr>
                        <w:noProof/>
                        <w:color w:val="000000"/>
                        <w:sz w:val="16"/>
                        <w:szCs w:val="16"/>
                      </w:rPr>
                      <w:t>[41]</w:t>
                    </w:r>
                  </w:p>
                </w:tc>
              </w:tr>
              <w:tr w:rsidR="004D61AD" w14:paraId="32EA5A65" w14:textId="77777777" w:rsidTr="00181986">
                <w:trPr>
                  <w:cantSplit/>
                </w:trPr>
                <w:tc>
                  <w:tcPr>
                    <w:tcW w:w="8699" w:type="dxa"/>
                    <w:hideMark/>
                  </w:tcPr>
                  <w:p w14:paraId="622A020C" w14:textId="77777777" w:rsidR="004D61AD" w:rsidRDefault="004D61AD" w:rsidP="00181986">
                    <w:pPr>
                      <w:pStyle w:val="Bibliographie"/>
                      <w:spacing w:line="240" w:lineRule="exact"/>
                      <w:rPr>
                        <w:noProof/>
                      </w:rPr>
                    </w:pPr>
                    <w:r w:rsidRPr="00F96D49">
                      <w:rPr>
                        <w:noProof/>
                        <w:lang w:val="fr-FR"/>
                      </w:rPr>
                      <w:t xml:space="preserve">de Bruyn, S. et al. </w:t>
                    </w:r>
                    <w:r>
                      <w:rPr>
                        <w:noProof/>
                      </w:rPr>
                      <w:t xml:space="preserve">(2015), “Ex-post investigation of cost pass-through in the EU ETS, An analysis for six sectors”, </w:t>
                    </w:r>
                    <w:r>
                      <w:rPr>
                        <w:i/>
                        <w:iCs/>
                        <w:noProof/>
                      </w:rPr>
                      <w:t>Report to the European Union</w:t>
                    </w:r>
                    <w:r>
                      <w:rPr>
                        <w:noProof/>
                      </w:rPr>
                      <w:t xml:space="preserve">, </w:t>
                    </w:r>
                    <w:r>
                      <w:rPr>
                        <w:noProof/>
                        <w:color w:val="0000FF"/>
                        <w:u w:val="single"/>
                      </w:rPr>
                      <w:t>http://dx.doi.org/10.2834/612494</w:t>
                    </w:r>
                    <w:r>
                      <w:rPr>
                        <w:noProof/>
                      </w:rPr>
                      <w:t>.</w:t>
                    </w:r>
                  </w:p>
                </w:tc>
                <w:tc>
                  <w:tcPr>
                    <w:tcW w:w="600" w:type="dxa"/>
                    <w:noWrap/>
                    <w:hideMark/>
                  </w:tcPr>
                  <w:p w14:paraId="009D7050" w14:textId="77777777" w:rsidR="004D61AD" w:rsidRDefault="004D61AD" w:rsidP="00181986">
                    <w:pPr>
                      <w:spacing w:before="100" w:beforeAutospacing="1" w:after="100" w:afterAutospacing="1"/>
                      <w:jc w:val="right"/>
                      <w:rPr>
                        <w:noProof/>
                      </w:rPr>
                    </w:pPr>
                    <w:r>
                      <w:rPr>
                        <w:noProof/>
                        <w:color w:val="000000"/>
                        <w:sz w:val="16"/>
                        <w:szCs w:val="16"/>
                      </w:rPr>
                      <w:t>[36]</w:t>
                    </w:r>
                  </w:p>
                </w:tc>
              </w:tr>
              <w:tr w:rsidR="004D61AD" w14:paraId="6D3279DA" w14:textId="77777777" w:rsidTr="00181986">
                <w:trPr>
                  <w:cantSplit/>
                </w:trPr>
                <w:tc>
                  <w:tcPr>
                    <w:tcW w:w="8699" w:type="dxa"/>
                    <w:hideMark/>
                  </w:tcPr>
                  <w:p w14:paraId="639AAA69" w14:textId="3514C9D3" w:rsidR="004D61AD" w:rsidRDefault="004D61AD" w:rsidP="00181986">
                    <w:pPr>
                      <w:pStyle w:val="Bibliographie"/>
                      <w:spacing w:line="240" w:lineRule="exact"/>
                      <w:rPr>
                        <w:noProof/>
                      </w:rPr>
                    </w:pPr>
                    <w:r w:rsidRPr="00D42B97">
                      <w:rPr>
                        <w:noProof/>
                      </w:rPr>
                      <w:t>Dechezleprêtre, A.</w:t>
                    </w:r>
                    <w:r w:rsidR="00912E25" w:rsidRPr="00D42B97">
                      <w:rPr>
                        <w:noProof/>
                      </w:rPr>
                      <w:t>, C.</w:t>
                    </w:r>
                    <w:r w:rsidR="00D42B97">
                      <w:rPr>
                        <w:noProof/>
                      </w:rPr>
                      <w:t>,</w:t>
                    </w:r>
                    <w:r w:rsidR="00912E25" w:rsidRPr="00D42B97">
                      <w:rPr>
                        <w:noProof/>
                      </w:rPr>
                      <w:t xml:space="preserve"> Gennaioli, R.</w:t>
                    </w:r>
                    <w:r w:rsidR="00D42B97">
                      <w:rPr>
                        <w:noProof/>
                      </w:rPr>
                      <w:t>,</w:t>
                    </w:r>
                    <w:r w:rsidR="00912E25" w:rsidRPr="00512445">
                      <w:rPr>
                        <w:noProof/>
                      </w:rPr>
                      <w:t xml:space="preserve"> Margin, M.</w:t>
                    </w:r>
                    <w:r w:rsidR="00D42B97">
                      <w:rPr>
                        <w:noProof/>
                      </w:rPr>
                      <w:t>,</w:t>
                    </w:r>
                    <w:r w:rsidR="00912E25" w:rsidRPr="00512445">
                      <w:rPr>
                        <w:noProof/>
                      </w:rPr>
                      <w:t xml:space="preserve"> Muûls</w:t>
                    </w:r>
                    <w:r w:rsidR="00D42B97" w:rsidRPr="00512445">
                      <w:rPr>
                        <w:noProof/>
                      </w:rPr>
                      <w:t>, T.</w:t>
                    </w:r>
                    <w:r w:rsidR="00D42B97">
                      <w:rPr>
                        <w:noProof/>
                      </w:rPr>
                      <w:t>,</w:t>
                    </w:r>
                    <w:r w:rsidR="00D42B97" w:rsidRPr="00512445">
                      <w:rPr>
                        <w:noProof/>
                      </w:rPr>
                      <w:t xml:space="preserve"> St</w:t>
                    </w:r>
                    <w:r w:rsidR="00D42B97">
                      <w:rPr>
                        <w:noProof/>
                      </w:rPr>
                      <w:t>oerck</w:t>
                    </w:r>
                    <w:r w:rsidRPr="00D42B97">
                      <w:rPr>
                        <w:noProof/>
                      </w:rPr>
                      <w:t xml:space="preserve"> </w:t>
                    </w:r>
                    <w:r w:rsidRPr="0093069D">
                      <w:rPr>
                        <w:noProof/>
                      </w:rPr>
                      <w:t xml:space="preserve"> </w:t>
                    </w:r>
                    <w:r>
                      <w:rPr>
                        <w:noProof/>
                      </w:rPr>
                      <w:t>(201</w:t>
                    </w:r>
                    <w:r w:rsidR="00912E25">
                      <w:rPr>
                        <w:noProof/>
                      </w:rPr>
                      <w:t>9</w:t>
                    </w:r>
                    <w:r>
                      <w:rPr>
                        <w:noProof/>
                      </w:rPr>
                      <w:t xml:space="preserve">), “Searching for carbon leaks in multinational companies”, </w:t>
                    </w:r>
                    <w:r>
                      <w:rPr>
                        <w:i/>
                        <w:iCs/>
                        <w:noProof/>
                      </w:rPr>
                      <w:t>Working Paper 165, Grantham Research Institute on Climate Change and the Environment.</w:t>
                    </w:r>
                  </w:p>
                </w:tc>
                <w:tc>
                  <w:tcPr>
                    <w:tcW w:w="600" w:type="dxa"/>
                    <w:noWrap/>
                    <w:hideMark/>
                  </w:tcPr>
                  <w:p w14:paraId="3F885BB1" w14:textId="77777777" w:rsidR="004D61AD" w:rsidRDefault="004D61AD" w:rsidP="00181986">
                    <w:pPr>
                      <w:spacing w:before="100" w:beforeAutospacing="1" w:after="100" w:afterAutospacing="1"/>
                      <w:jc w:val="right"/>
                      <w:rPr>
                        <w:noProof/>
                      </w:rPr>
                    </w:pPr>
                    <w:r>
                      <w:rPr>
                        <w:noProof/>
                        <w:color w:val="000000"/>
                        <w:sz w:val="16"/>
                        <w:szCs w:val="16"/>
                      </w:rPr>
                      <w:t>[19]</w:t>
                    </w:r>
                  </w:p>
                </w:tc>
              </w:tr>
              <w:tr w:rsidR="004D61AD" w14:paraId="014D342C" w14:textId="77777777" w:rsidTr="00181986">
                <w:trPr>
                  <w:cantSplit/>
                </w:trPr>
                <w:tc>
                  <w:tcPr>
                    <w:tcW w:w="8699" w:type="dxa"/>
                    <w:hideMark/>
                  </w:tcPr>
                  <w:p w14:paraId="44799742" w14:textId="77777777" w:rsidR="004D61AD" w:rsidRDefault="004D61AD" w:rsidP="00181986">
                    <w:pPr>
                      <w:pStyle w:val="Bibliographie"/>
                      <w:spacing w:line="240" w:lineRule="exact"/>
                      <w:rPr>
                        <w:noProof/>
                      </w:rPr>
                    </w:pPr>
                    <w:r>
                      <w:rPr>
                        <w:noProof/>
                      </w:rPr>
                      <w:t xml:space="preserve">Dechezleprêtre, A., D. Nachtigall and F. Venmans (2018), “The joint impact of the European Union emissions trading system on carbon emissions and economic performance”, </w:t>
                    </w:r>
                    <w:r>
                      <w:rPr>
                        <w:i/>
                        <w:iCs/>
                        <w:noProof/>
                      </w:rPr>
                      <w:t>OECD Economics Department Working paper</w:t>
                    </w:r>
                    <w:r>
                      <w:rPr>
                        <w:noProof/>
                      </w:rPr>
                      <w:t xml:space="preserve">, Vol. 1515, </w:t>
                    </w:r>
                    <w:r>
                      <w:rPr>
                        <w:noProof/>
                        <w:color w:val="0000FF"/>
                        <w:u w:val="single"/>
                      </w:rPr>
                      <w:t>http://dx.doi.org/10.1787/18151973</w:t>
                    </w:r>
                    <w:r>
                      <w:rPr>
                        <w:noProof/>
                      </w:rPr>
                      <w:t>.</w:t>
                    </w:r>
                  </w:p>
                </w:tc>
                <w:tc>
                  <w:tcPr>
                    <w:tcW w:w="600" w:type="dxa"/>
                    <w:noWrap/>
                    <w:hideMark/>
                  </w:tcPr>
                  <w:p w14:paraId="07AC8A95" w14:textId="77777777" w:rsidR="004D61AD" w:rsidRDefault="004D61AD" w:rsidP="00181986">
                    <w:pPr>
                      <w:spacing w:before="100" w:beforeAutospacing="1" w:after="100" w:afterAutospacing="1"/>
                      <w:jc w:val="right"/>
                      <w:rPr>
                        <w:noProof/>
                      </w:rPr>
                    </w:pPr>
                    <w:r>
                      <w:rPr>
                        <w:noProof/>
                        <w:color w:val="000000"/>
                        <w:sz w:val="16"/>
                        <w:szCs w:val="16"/>
                      </w:rPr>
                      <w:t>[38]</w:t>
                    </w:r>
                  </w:p>
                </w:tc>
              </w:tr>
              <w:tr w:rsidR="004D61AD" w14:paraId="04F95BB9" w14:textId="77777777" w:rsidTr="00181986">
                <w:trPr>
                  <w:cantSplit/>
                </w:trPr>
                <w:tc>
                  <w:tcPr>
                    <w:tcW w:w="8699" w:type="dxa"/>
                    <w:hideMark/>
                  </w:tcPr>
                  <w:p w14:paraId="09D73EC0" w14:textId="77777777" w:rsidR="004D61AD" w:rsidRDefault="004D61AD" w:rsidP="00181986">
                    <w:pPr>
                      <w:pStyle w:val="Bibliographie"/>
                      <w:spacing w:line="240" w:lineRule="exact"/>
                      <w:rPr>
                        <w:noProof/>
                      </w:rPr>
                    </w:pPr>
                    <w:r>
                      <w:rPr>
                        <w:noProof/>
                      </w:rPr>
                      <w:t xml:space="preserve">Dechezleprêtre, A. and M. Sato (2017), “The impacts of environmental regulations on competitiveness”, </w:t>
                    </w:r>
                    <w:r>
                      <w:rPr>
                        <w:i/>
                        <w:iCs/>
                        <w:noProof/>
                      </w:rPr>
                      <w:t>Review of Environmental Economics and Policy</w:t>
                    </w:r>
                    <w:r>
                      <w:rPr>
                        <w:noProof/>
                      </w:rPr>
                      <w:t xml:space="preserve">, </w:t>
                    </w:r>
                    <w:r>
                      <w:rPr>
                        <w:noProof/>
                        <w:color w:val="0000FF"/>
                        <w:u w:val="single"/>
                      </w:rPr>
                      <w:t>http://dx.doi.org/10.1093/reep/rex013</w:t>
                    </w:r>
                    <w:r>
                      <w:rPr>
                        <w:noProof/>
                      </w:rPr>
                      <w:t>.</w:t>
                    </w:r>
                  </w:p>
                </w:tc>
                <w:tc>
                  <w:tcPr>
                    <w:tcW w:w="600" w:type="dxa"/>
                    <w:noWrap/>
                    <w:hideMark/>
                  </w:tcPr>
                  <w:p w14:paraId="218EF929" w14:textId="77777777" w:rsidR="004D61AD" w:rsidRDefault="004D61AD" w:rsidP="00181986">
                    <w:pPr>
                      <w:spacing w:before="100" w:beforeAutospacing="1" w:after="100" w:afterAutospacing="1"/>
                      <w:jc w:val="right"/>
                      <w:rPr>
                        <w:noProof/>
                      </w:rPr>
                    </w:pPr>
                    <w:r>
                      <w:rPr>
                        <w:noProof/>
                        <w:color w:val="000000"/>
                        <w:sz w:val="16"/>
                        <w:szCs w:val="16"/>
                      </w:rPr>
                      <w:t>[5]</w:t>
                    </w:r>
                  </w:p>
                </w:tc>
              </w:tr>
              <w:tr w:rsidR="004D61AD" w14:paraId="2460F566" w14:textId="77777777" w:rsidTr="00181986">
                <w:trPr>
                  <w:cantSplit/>
                </w:trPr>
                <w:tc>
                  <w:tcPr>
                    <w:tcW w:w="8699" w:type="dxa"/>
                    <w:hideMark/>
                  </w:tcPr>
                  <w:p w14:paraId="6F9E4556" w14:textId="77777777" w:rsidR="003747CB" w:rsidRPr="003747CB" w:rsidRDefault="003747CB" w:rsidP="003747CB">
                    <w:pPr>
                      <w:tabs>
                        <w:tab w:val="clear" w:pos="850"/>
                        <w:tab w:val="clear" w:pos="1191"/>
                        <w:tab w:val="clear" w:pos="1531"/>
                      </w:tabs>
                      <w:spacing w:before="100" w:beforeAutospacing="1" w:after="100" w:afterAutospacing="1"/>
                      <w:ind w:left="480" w:hanging="480"/>
                      <w:jc w:val="left"/>
                      <w:rPr>
                        <w:rFonts w:eastAsia="Times New Roman"/>
                        <w:sz w:val="24"/>
                        <w:szCs w:val="24"/>
                        <w:lang w:eastAsia="en-GB"/>
                      </w:rPr>
                    </w:pPr>
                    <w:proofErr w:type="spellStart"/>
                    <w:r w:rsidRPr="003747CB">
                      <w:rPr>
                        <w:rFonts w:eastAsia="Times New Roman"/>
                        <w:sz w:val="24"/>
                        <w:szCs w:val="24"/>
                        <w:lang w:eastAsia="en-GB"/>
                      </w:rPr>
                      <w:lastRenderedPageBreak/>
                      <w:t>Deschênes</w:t>
                    </w:r>
                    <w:proofErr w:type="spellEnd"/>
                    <w:r w:rsidRPr="003747CB">
                      <w:rPr>
                        <w:rFonts w:eastAsia="Times New Roman"/>
                        <w:sz w:val="24"/>
                        <w:szCs w:val="24"/>
                        <w:lang w:eastAsia="en-GB"/>
                      </w:rPr>
                      <w:t xml:space="preserve">, O. (2011). Climate Policy and </w:t>
                    </w:r>
                    <w:proofErr w:type="spellStart"/>
                    <w:r w:rsidRPr="003747CB">
                      <w:rPr>
                        <w:rFonts w:eastAsia="Times New Roman"/>
                        <w:sz w:val="24"/>
                        <w:szCs w:val="24"/>
                        <w:lang w:eastAsia="en-GB"/>
                      </w:rPr>
                      <w:t>Labor</w:t>
                    </w:r>
                    <w:proofErr w:type="spellEnd"/>
                    <w:r w:rsidRPr="003747CB">
                      <w:rPr>
                        <w:rFonts w:eastAsia="Times New Roman"/>
                        <w:sz w:val="24"/>
                        <w:szCs w:val="24"/>
                        <w:lang w:eastAsia="en-GB"/>
                      </w:rPr>
                      <w:t xml:space="preserve"> Markets. In D. Fullerton &amp; C. Wolfram (Eds.), </w:t>
                    </w:r>
                    <w:r w:rsidRPr="003747CB">
                      <w:rPr>
                        <w:rFonts w:eastAsia="Times New Roman"/>
                        <w:i/>
                        <w:iCs/>
                        <w:sz w:val="24"/>
                        <w:szCs w:val="24"/>
                        <w:lang w:eastAsia="en-GB"/>
                      </w:rPr>
                      <w:t>The Design and Implementation of US Climate Policy</w:t>
                    </w:r>
                    <w:r w:rsidRPr="003747CB">
                      <w:rPr>
                        <w:rFonts w:eastAsia="Times New Roman"/>
                        <w:sz w:val="24"/>
                        <w:szCs w:val="24"/>
                        <w:lang w:eastAsia="en-GB"/>
                      </w:rPr>
                      <w:t xml:space="preserve"> (pp. 37–52). University of Chicago Press. https://doi.org/10.7208/chicago/9780226921983.003.0003</w:t>
                    </w:r>
                  </w:p>
                  <w:p w14:paraId="6D407E6A" w14:textId="77777777" w:rsidR="004D61AD" w:rsidRDefault="004D61AD" w:rsidP="00181986">
                    <w:pPr>
                      <w:pStyle w:val="Bibliographie"/>
                      <w:spacing w:line="240" w:lineRule="exact"/>
                      <w:rPr>
                        <w:noProof/>
                      </w:rPr>
                    </w:pPr>
                    <w:r>
                      <w:rPr>
                        <w:noProof/>
                      </w:rPr>
                      <w:t>Dlugosch, D. and T. Kozluk (2017), “Energy prices, environmental policies and investment - evidence from listed firms”</w:t>
                    </w:r>
                    <w:r>
                      <w:rPr>
                        <w:i/>
                        <w:iCs/>
                        <w:noProof/>
                      </w:rPr>
                      <w:t>, Economics Department Working Papers</w:t>
                    </w:r>
                    <w:r>
                      <w:rPr>
                        <w:noProof/>
                      </w:rPr>
                      <w:t>, No. ECO/WKP(2017)10, OECD, Paris.</w:t>
                    </w:r>
                  </w:p>
                </w:tc>
                <w:tc>
                  <w:tcPr>
                    <w:tcW w:w="600" w:type="dxa"/>
                    <w:noWrap/>
                    <w:hideMark/>
                  </w:tcPr>
                  <w:p w14:paraId="5E3EA586" w14:textId="77777777" w:rsidR="004D61AD" w:rsidRDefault="004D61AD" w:rsidP="00181986">
                    <w:pPr>
                      <w:spacing w:before="100" w:beforeAutospacing="1" w:after="100" w:afterAutospacing="1"/>
                      <w:jc w:val="right"/>
                      <w:rPr>
                        <w:noProof/>
                      </w:rPr>
                    </w:pPr>
                    <w:r>
                      <w:rPr>
                        <w:noProof/>
                        <w:color w:val="000000"/>
                        <w:sz w:val="16"/>
                        <w:szCs w:val="16"/>
                      </w:rPr>
                      <w:t>[29]</w:t>
                    </w:r>
                  </w:p>
                </w:tc>
              </w:tr>
              <w:tr w:rsidR="004D61AD" w14:paraId="745BFC67" w14:textId="77777777" w:rsidTr="00181986">
                <w:trPr>
                  <w:cantSplit/>
                </w:trPr>
                <w:tc>
                  <w:tcPr>
                    <w:tcW w:w="8699" w:type="dxa"/>
                    <w:hideMark/>
                  </w:tcPr>
                  <w:p w14:paraId="36B31D3A" w14:textId="77777777" w:rsidR="004D61AD" w:rsidRDefault="004D61AD" w:rsidP="00181986">
                    <w:pPr>
                      <w:pStyle w:val="Bibliographie"/>
                      <w:spacing w:line="240" w:lineRule="exact"/>
                      <w:rPr>
                        <w:noProof/>
                      </w:rPr>
                    </w:pPr>
                    <w:r>
                      <w:rPr>
                        <w:noProof/>
                      </w:rPr>
                      <w:t xml:space="preserve">Dong, F. et al. (2019), “Can a carbon emission trading scheme generate the Porter effect ? Evidence from pilot areas in China”, </w:t>
                    </w:r>
                    <w:r>
                      <w:rPr>
                        <w:i/>
                        <w:iCs/>
                        <w:noProof/>
                      </w:rPr>
                      <w:t>Science of the Total Environment</w:t>
                    </w:r>
                    <w:r>
                      <w:rPr>
                        <w:noProof/>
                      </w:rPr>
                      <w:t xml:space="preserve">, Vol. 653, pp. 565-577, </w:t>
                    </w:r>
                    <w:r>
                      <w:rPr>
                        <w:noProof/>
                        <w:color w:val="0000FF"/>
                        <w:u w:val="single"/>
                      </w:rPr>
                      <w:t>http://dx.doi.org/10.1016/j.scitotenv.2018.10.395</w:t>
                    </w:r>
                    <w:r>
                      <w:rPr>
                        <w:noProof/>
                      </w:rPr>
                      <w:t>.</w:t>
                    </w:r>
                  </w:p>
                </w:tc>
                <w:tc>
                  <w:tcPr>
                    <w:tcW w:w="600" w:type="dxa"/>
                    <w:noWrap/>
                    <w:hideMark/>
                  </w:tcPr>
                  <w:p w14:paraId="10750560" w14:textId="77777777" w:rsidR="004D61AD" w:rsidRDefault="004D61AD" w:rsidP="00181986">
                    <w:pPr>
                      <w:spacing w:before="100" w:beforeAutospacing="1" w:after="100" w:afterAutospacing="1"/>
                      <w:jc w:val="right"/>
                      <w:rPr>
                        <w:noProof/>
                      </w:rPr>
                    </w:pPr>
                    <w:r>
                      <w:rPr>
                        <w:noProof/>
                        <w:color w:val="000000"/>
                        <w:sz w:val="16"/>
                        <w:szCs w:val="16"/>
                      </w:rPr>
                      <w:t>[54]</w:t>
                    </w:r>
                  </w:p>
                </w:tc>
              </w:tr>
              <w:tr w:rsidR="004D61AD" w14:paraId="6EABF934" w14:textId="77777777" w:rsidTr="00181986">
                <w:trPr>
                  <w:cantSplit/>
                </w:trPr>
                <w:tc>
                  <w:tcPr>
                    <w:tcW w:w="8699" w:type="dxa"/>
                    <w:hideMark/>
                  </w:tcPr>
                  <w:p w14:paraId="07EEF508" w14:textId="77777777" w:rsidR="004D61AD" w:rsidRDefault="004D61AD" w:rsidP="00181986">
                    <w:pPr>
                      <w:pStyle w:val="Bibliographie"/>
                      <w:spacing w:line="240" w:lineRule="exact"/>
                      <w:rPr>
                        <w:noProof/>
                      </w:rPr>
                    </w:pPr>
                    <w:r>
                      <w:rPr>
                        <w:noProof/>
                      </w:rPr>
                      <w:t xml:space="preserve">European Commission (2018), </w:t>
                    </w:r>
                    <w:r>
                      <w:rPr>
                        <w:i/>
                        <w:iCs/>
                        <w:noProof/>
                      </w:rPr>
                      <w:t>Report on the functioning of the European carbon market</w:t>
                    </w:r>
                    <w:r>
                      <w:rPr>
                        <w:noProof/>
                      </w:rPr>
                      <w:t>.</w:t>
                    </w:r>
                  </w:p>
                </w:tc>
                <w:tc>
                  <w:tcPr>
                    <w:tcW w:w="600" w:type="dxa"/>
                    <w:noWrap/>
                    <w:hideMark/>
                  </w:tcPr>
                  <w:p w14:paraId="753ADFE3" w14:textId="77777777" w:rsidR="004D61AD" w:rsidRDefault="004D61AD" w:rsidP="00181986">
                    <w:pPr>
                      <w:spacing w:before="100" w:beforeAutospacing="1" w:after="100" w:afterAutospacing="1"/>
                      <w:jc w:val="right"/>
                      <w:rPr>
                        <w:noProof/>
                      </w:rPr>
                    </w:pPr>
                    <w:r>
                      <w:rPr>
                        <w:noProof/>
                        <w:color w:val="000000"/>
                        <w:sz w:val="16"/>
                        <w:szCs w:val="16"/>
                      </w:rPr>
                      <w:t>[12]</w:t>
                    </w:r>
                  </w:p>
                </w:tc>
              </w:tr>
              <w:tr w:rsidR="004D61AD" w14:paraId="1B7F3676" w14:textId="77777777" w:rsidTr="00181986">
                <w:trPr>
                  <w:cantSplit/>
                </w:trPr>
                <w:tc>
                  <w:tcPr>
                    <w:tcW w:w="8699" w:type="dxa"/>
                    <w:hideMark/>
                  </w:tcPr>
                  <w:p w14:paraId="568435E7" w14:textId="77777777" w:rsidR="004D61AD" w:rsidRDefault="004D61AD" w:rsidP="00181986">
                    <w:pPr>
                      <w:pStyle w:val="Bibliographie"/>
                      <w:spacing w:line="240" w:lineRule="exact"/>
                      <w:rPr>
                        <w:noProof/>
                      </w:rPr>
                    </w:pPr>
                    <w:r>
                      <w:rPr>
                        <w:noProof/>
                      </w:rPr>
                      <w:t xml:space="preserve">European Commission (2012), </w:t>
                    </w:r>
                    <w:r>
                      <w:rPr>
                        <w:i/>
                        <w:iCs/>
                        <w:noProof/>
                      </w:rPr>
                      <w:t>Guidelines on certain State aid measures in the context of the greenhouse gas emission allowance trading scheme post-2012</w:t>
                    </w:r>
                    <w:r>
                      <w:rPr>
                        <w:noProof/>
                      </w:rPr>
                      <w:t>.</w:t>
                    </w:r>
                  </w:p>
                </w:tc>
                <w:tc>
                  <w:tcPr>
                    <w:tcW w:w="600" w:type="dxa"/>
                    <w:noWrap/>
                    <w:hideMark/>
                  </w:tcPr>
                  <w:p w14:paraId="2914BC0E" w14:textId="77777777" w:rsidR="004D61AD" w:rsidRDefault="004D61AD" w:rsidP="00181986">
                    <w:pPr>
                      <w:spacing w:before="100" w:beforeAutospacing="1" w:after="100" w:afterAutospacing="1"/>
                      <w:jc w:val="right"/>
                      <w:rPr>
                        <w:noProof/>
                      </w:rPr>
                    </w:pPr>
                    <w:r>
                      <w:rPr>
                        <w:noProof/>
                        <w:color w:val="000000"/>
                        <w:sz w:val="16"/>
                        <w:szCs w:val="16"/>
                      </w:rPr>
                      <w:t>[11]</w:t>
                    </w:r>
                  </w:p>
                </w:tc>
              </w:tr>
              <w:tr w:rsidR="004D61AD" w14:paraId="4D7A3751" w14:textId="77777777" w:rsidTr="00181986">
                <w:trPr>
                  <w:cantSplit/>
                </w:trPr>
                <w:tc>
                  <w:tcPr>
                    <w:tcW w:w="8699" w:type="dxa"/>
                    <w:hideMark/>
                  </w:tcPr>
                  <w:p w14:paraId="7A590A61" w14:textId="77777777" w:rsidR="004D61AD" w:rsidRDefault="004D61AD" w:rsidP="00181986">
                    <w:pPr>
                      <w:pStyle w:val="Bibliographie"/>
                      <w:spacing w:line="240" w:lineRule="exact"/>
                      <w:rPr>
                        <w:noProof/>
                      </w:rPr>
                    </w:pPr>
                    <w:r>
                      <w:rPr>
                        <w:noProof/>
                      </w:rPr>
                      <w:t xml:space="preserve">European Commission (2011), </w:t>
                    </w:r>
                    <w:r>
                      <w:rPr>
                        <w:i/>
                        <w:iCs/>
                        <w:noProof/>
                      </w:rPr>
                      <w:t>2011/278/EU: Commission Decision of 27 April 2011 determining transitional Union-wide rules for harmonised free allocation of emission allowances pursuant to Article 10a of Directive 2003/87/EC of the European Parliament and of the Council</w:t>
                    </w:r>
                    <w:r>
                      <w:rPr>
                        <w:noProof/>
                      </w:rPr>
                      <w:t xml:space="preserve">, </w:t>
                    </w:r>
                    <w:r>
                      <w:rPr>
                        <w:noProof/>
                        <w:color w:val="0000FF"/>
                        <w:u w:val="single"/>
                      </w:rPr>
                      <w:t>https://publications.europa.eu/en/publication-detail/-/publication/25d79153-02b6-4370-974c-2a45baf79167</w:t>
                    </w:r>
                    <w:r>
                      <w:rPr>
                        <w:noProof/>
                      </w:rPr>
                      <w:t>.</w:t>
                    </w:r>
                  </w:p>
                </w:tc>
                <w:tc>
                  <w:tcPr>
                    <w:tcW w:w="600" w:type="dxa"/>
                    <w:noWrap/>
                    <w:hideMark/>
                  </w:tcPr>
                  <w:p w14:paraId="44F03050" w14:textId="77777777" w:rsidR="004D61AD" w:rsidRDefault="004D61AD" w:rsidP="00181986">
                    <w:pPr>
                      <w:spacing w:before="100" w:beforeAutospacing="1" w:after="100" w:afterAutospacing="1"/>
                      <w:jc w:val="right"/>
                      <w:rPr>
                        <w:noProof/>
                      </w:rPr>
                    </w:pPr>
                    <w:r>
                      <w:rPr>
                        <w:noProof/>
                        <w:color w:val="000000"/>
                        <w:sz w:val="16"/>
                        <w:szCs w:val="16"/>
                      </w:rPr>
                      <w:t>[9]</w:t>
                    </w:r>
                  </w:p>
                </w:tc>
              </w:tr>
              <w:tr w:rsidR="004D61AD" w14:paraId="2960258A" w14:textId="77777777" w:rsidTr="00181986">
                <w:trPr>
                  <w:cantSplit/>
                </w:trPr>
                <w:tc>
                  <w:tcPr>
                    <w:tcW w:w="8699" w:type="dxa"/>
                    <w:hideMark/>
                  </w:tcPr>
                  <w:p w14:paraId="64A8F87D" w14:textId="77777777" w:rsidR="001A20A9" w:rsidRDefault="004D61AD" w:rsidP="00181986">
                    <w:pPr>
                      <w:pStyle w:val="Bibliographie"/>
                      <w:spacing w:line="240" w:lineRule="exact"/>
                    </w:pPr>
                    <w:r>
                      <w:rPr>
                        <w:noProof/>
                      </w:rPr>
                      <w:t xml:space="preserve">Fell, H. and P. Maniloff (2018), “Leakage in regional environmental policy: The case of the regional greenhouse gas initiative”, </w:t>
                    </w:r>
                    <w:r>
                      <w:rPr>
                        <w:i/>
                        <w:iCs/>
                        <w:noProof/>
                      </w:rPr>
                      <w:t>Journal of Environmental Economics and Management</w:t>
                    </w:r>
                    <w:r>
                      <w:rPr>
                        <w:noProof/>
                      </w:rPr>
                      <w:t xml:space="preserve">, Vol. 87, pp. 1-23, </w:t>
                    </w:r>
                    <w:r>
                      <w:rPr>
                        <w:noProof/>
                        <w:color w:val="0000FF"/>
                        <w:u w:val="single"/>
                      </w:rPr>
                      <w:t>http://dx.doi.org/10.1016/J.JEEM.2017.10.007</w:t>
                    </w:r>
                    <w:r>
                      <w:rPr>
                        <w:noProof/>
                      </w:rPr>
                      <w:t>.</w:t>
                    </w:r>
                    <w:r w:rsidR="001A20A9">
                      <w:t xml:space="preserve"> </w:t>
                    </w:r>
                  </w:p>
                  <w:p w14:paraId="4151B9FD" w14:textId="77777777" w:rsidR="004D61AD" w:rsidRDefault="001A20A9" w:rsidP="00181986">
                    <w:pPr>
                      <w:pStyle w:val="Bibliographie"/>
                      <w:spacing w:line="240" w:lineRule="exact"/>
                      <w:rPr>
                        <w:noProof/>
                      </w:rPr>
                    </w:pPr>
                    <w:r>
                      <w:t xml:space="preserve">Flues, </w:t>
                    </w:r>
                    <w:proofErr w:type="gramStart"/>
                    <w:r>
                      <w:t>F.</w:t>
                    </w:r>
                    <w:proofErr w:type="gramEnd"/>
                    <w:r>
                      <w:t xml:space="preserve"> and B. Lutz (2015), "Competitiveness Impacts of the German Electricity Tax", </w:t>
                    </w:r>
                    <w:r w:rsidRPr="00512445">
                      <w:rPr>
                        <w:i/>
                        <w:iCs/>
                      </w:rPr>
                      <w:t>OECD Environment Working Papers</w:t>
                    </w:r>
                    <w:r>
                      <w:t>, No. 88, OECD Publishing, Paris, https://doi.org/10.1787/5js0752mkzmv-en.</w:t>
                    </w:r>
                  </w:p>
                </w:tc>
                <w:tc>
                  <w:tcPr>
                    <w:tcW w:w="600" w:type="dxa"/>
                    <w:noWrap/>
                    <w:hideMark/>
                  </w:tcPr>
                  <w:p w14:paraId="7758EBEF" w14:textId="77777777" w:rsidR="004D61AD" w:rsidRDefault="004D61AD" w:rsidP="00181986">
                    <w:pPr>
                      <w:spacing w:before="100" w:beforeAutospacing="1" w:after="100" w:afterAutospacing="1"/>
                      <w:jc w:val="right"/>
                      <w:rPr>
                        <w:noProof/>
                      </w:rPr>
                    </w:pPr>
                    <w:r>
                      <w:rPr>
                        <w:noProof/>
                        <w:color w:val="000000"/>
                        <w:sz w:val="16"/>
                        <w:szCs w:val="16"/>
                      </w:rPr>
                      <w:t>[45]</w:t>
                    </w:r>
                  </w:p>
                </w:tc>
              </w:tr>
              <w:tr w:rsidR="004D61AD" w14:paraId="54E3313D" w14:textId="77777777" w:rsidTr="00181986">
                <w:trPr>
                  <w:cantSplit/>
                </w:trPr>
                <w:tc>
                  <w:tcPr>
                    <w:tcW w:w="8699" w:type="dxa"/>
                    <w:hideMark/>
                  </w:tcPr>
                  <w:p w14:paraId="26D65103" w14:textId="77777777" w:rsidR="00EF2A25" w:rsidRPr="00EF2A25" w:rsidRDefault="00EF2A25" w:rsidP="00EF2A25">
                    <w:pPr>
                      <w:tabs>
                        <w:tab w:val="clear" w:pos="850"/>
                        <w:tab w:val="clear" w:pos="1191"/>
                        <w:tab w:val="clear" w:pos="1531"/>
                      </w:tabs>
                      <w:spacing w:before="100" w:beforeAutospacing="1" w:after="100" w:afterAutospacing="1"/>
                      <w:ind w:left="480" w:hanging="480"/>
                      <w:jc w:val="left"/>
                      <w:rPr>
                        <w:rFonts w:eastAsia="Times New Roman"/>
                        <w:sz w:val="24"/>
                        <w:szCs w:val="24"/>
                        <w:lang w:eastAsia="en-GB"/>
                      </w:rPr>
                    </w:pPr>
                    <w:r w:rsidRPr="00997125">
                      <w:rPr>
                        <w:rFonts w:eastAsia="Times New Roman"/>
                        <w:sz w:val="24"/>
                        <w:szCs w:val="24"/>
                        <w:lang w:val="nl-BE" w:eastAsia="en-GB"/>
                      </w:rPr>
                      <w:t xml:space="preserve">Garsous, G., Kozluk, T., &amp; Dlugosch, D. (2020). </w:t>
                    </w:r>
                    <w:r w:rsidRPr="00EF2A25">
                      <w:rPr>
                        <w:rFonts w:eastAsia="Times New Roman"/>
                        <w:sz w:val="24"/>
                        <w:szCs w:val="24"/>
                        <w:lang w:eastAsia="en-GB"/>
                      </w:rPr>
                      <w:t xml:space="preserve">Do Energy Prices Drive Outward FDI? Evidence from a Sample of Listed Firms. </w:t>
                    </w:r>
                    <w:r w:rsidRPr="00EF2A25">
                      <w:rPr>
                        <w:rFonts w:eastAsia="Times New Roman"/>
                        <w:i/>
                        <w:iCs/>
                        <w:sz w:val="24"/>
                        <w:szCs w:val="24"/>
                        <w:lang w:eastAsia="en-GB"/>
                      </w:rPr>
                      <w:t>The Energy Journal</w:t>
                    </w:r>
                    <w:r w:rsidRPr="00EF2A25">
                      <w:rPr>
                        <w:rFonts w:eastAsia="Times New Roman"/>
                        <w:sz w:val="24"/>
                        <w:szCs w:val="24"/>
                        <w:lang w:eastAsia="en-GB"/>
                      </w:rPr>
                      <w:t xml:space="preserve">, </w:t>
                    </w:r>
                    <w:r w:rsidRPr="00EF2A25">
                      <w:rPr>
                        <w:rFonts w:eastAsia="Times New Roman"/>
                        <w:i/>
                        <w:iCs/>
                        <w:sz w:val="24"/>
                        <w:szCs w:val="24"/>
                        <w:lang w:eastAsia="en-GB"/>
                      </w:rPr>
                      <w:t>41</w:t>
                    </w:r>
                    <w:r w:rsidRPr="00EF2A25">
                      <w:rPr>
                        <w:rFonts w:eastAsia="Times New Roman"/>
                        <w:sz w:val="24"/>
                        <w:szCs w:val="24"/>
                        <w:lang w:eastAsia="en-GB"/>
                      </w:rPr>
                      <w:t>(3). https://doi.org/10.5547/01956574.41.3.ggar</w:t>
                    </w:r>
                  </w:p>
                  <w:p w14:paraId="688CE065" w14:textId="42276000" w:rsidR="00D4435F" w:rsidRPr="00997125" w:rsidRDefault="00E773B1" w:rsidP="00997125">
                    <w:pPr>
                      <w:tabs>
                        <w:tab w:val="clear" w:pos="850"/>
                        <w:tab w:val="clear" w:pos="1191"/>
                        <w:tab w:val="clear" w:pos="1531"/>
                      </w:tabs>
                      <w:spacing w:before="100" w:beforeAutospacing="1" w:after="100" w:afterAutospacing="1"/>
                      <w:ind w:left="480" w:hanging="480"/>
                      <w:jc w:val="left"/>
                      <w:rPr>
                        <w:rFonts w:eastAsia="Times New Roman"/>
                        <w:sz w:val="24"/>
                        <w:szCs w:val="24"/>
                        <w:lang w:eastAsia="en-GB"/>
                      </w:rPr>
                    </w:pPr>
                    <w:r w:rsidRPr="00E773B1">
                      <w:rPr>
                        <w:rFonts w:eastAsia="Times New Roman"/>
                        <w:sz w:val="24"/>
                        <w:szCs w:val="24"/>
                        <w:lang w:eastAsia="en-GB"/>
                      </w:rPr>
                      <w:t xml:space="preserve">Gonseth, C., Cadot, O., Mathys, N. A., &amp; Thalmann, P. (2015). Energy-tax changes and competitiveness: The role of adaptive capacity. </w:t>
                    </w:r>
                    <w:r w:rsidRPr="00E773B1">
                      <w:rPr>
                        <w:rFonts w:eastAsia="Times New Roman"/>
                        <w:i/>
                        <w:iCs/>
                        <w:sz w:val="24"/>
                        <w:szCs w:val="24"/>
                        <w:lang w:eastAsia="en-GB"/>
                      </w:rPr>
                      <w:t>Energy Economics</w:t>
                    </w:r>
                    <w:r w:rsidRPr="00E773B1">
                      <w:rPr>
                        <w:rFonts w:eastAsia="Times New Roman"/>
                        <w:sz w:val="24"/>
                        <w:szCs w:val="24"/>
                        <w:lang w:eastAsia="en-GB"/>
                      </w:rPr>
                      <w:t xml:space="preserve">, </w:t>
                    </w:r>
                    <w:r w:rsidRPr="00E773B1">
                      <w:rPr>
                        <w:rFonts w:eastAsia="Times New Roman"/>
                        <w:i/>
                        <w:iCs/>
                        <w:sz w:val="24"/>
                        <w:szCs w:val="24"/>
                        <w:lang w:eastAsia="en-GB"/>
                      </w:rPr>
                      <w:t>48</w:t>
                    </w:r>
                    <w:r w:rsidRPr="00E773B1">
                      <w:rPr>
                        <w:rFonts w:eastAsia="Times New Roman"/>
                        <w:sz w:val="24"/>
                        <w:szCs w:val="24"/>
                        <w:lang w:eastAsia="en-GB"/>
                      </w:rPr>
                      <w:t>, 127–135. https://doi.org/10.1016/j.eneco.2014.12.010</w:t>
                    </w:r>
                  </w:p>
                </w:tc>
                <w:tc>
                  <w:tcPr>
                    <w:tcW w:w="600" w:type="dxa"/>
                    <w:noWrap/>
                    <w:hideMark/>
                  </w:tcPr>
                  <w:p w14:paraId="7F89648B" w14:textId="77777777" w:rsidR="004D61AD" w:rsidRDefault="004D61AD" w:rsidP="00181986">
                    <w:pPr>
                      <w:spacing w:before="100" w:beforeAutospacing="1" w:after="100" w:afterAutospacing="1"/>
                      <w:jc w:val="right"/>
                      <w:rPr>
                        <w:noProof/>
                      </w:rPr>
                    </w:pPr>
                    <w:r>
                      <w:rPr>
                        <w:noProof/>
                        <w:color w:val="000000"/>
                        <w:sz w:val="16"/>
                        <w:szCs w:val="16"/>
                      </w:rPr>
                      <w:t>[30]</w:t>
                    </w:r>
                  </w:p>
                </w:tc>
              </w:tr>
              <w:tr w:rsidR="004D61AD" w14:paraId="4C34001A" w14:textId="77777777" w:rsidTr="00181986">
                <w:trPr>
                  <w:cantSplit/>
                </w:trPr>
                <w:tc>
                  <w:tcPr>
                    <w:tcW w:w="8699" w:type="dxa"/>
                    <w:hideMark/>
                  </w:tcPr>
                  <w:p w14:paraId="2AE4DE08" w14:textId="77777777" w:rsidR="004D61AD" w:rsidRDefault="004D61AD" w:rsidP="00181986">
                    <w:pPr>
                      <w:pStyle w:val="Bibliographie"/>
                      <w:spacing w:line="240" w:lineRule="exact"/>
                      <w:rPr>
                        <w:noProof/>
                      </w:rPr>
                    </w:pPr>
                    <w:r>
                      <w:rPr>
                        <w:noProof/>
                      </w:rPr>
                      <w:t xml:space="preserve">Healy, S., K. Schumacher and W. Eichhammer (2018), “Analysis of Carbon Leakage under Phase III of the EU Emissions Trading System : Trading Patterns in the Cement and Aluminium sectors”, </w:t>
                    </w:r>
                    <w:r>
                      <w:rPr>
                        <w:i/>
                        <w:iCs/>
                        <w:noProof/>
                      </w:rPr>
                      <w:t>Energies</w:t>
                    </w:r>
                    <w:r>
                      <w:rPr>
                        <w:noProof/>
                      </w:rPr>
                      <w:t xml:space="preserve">, Vol. 11/1231, </w:t>
                    </w:r>
                    <w:r>
                      <w:rPr>
                        <w:noProof/>
                        <w:color w:val="0000FF"/>
                        <w:u w:val="single"/>
                      </w:rPr>
                      <w:t>http://dx.doi.org/10.3390/en11051231</w:t>
                    </w:r>
                    <w:r>
                      <w:rPr>
                        <w:noProof/>
                      </w:rPr>
                      <w:t>.</w:t>
                    </w:r>
                  </w:p>
                </w:tc>
                <w:tc>
                  <w:tcPr>
                    <w:tcW w:w="600" w:type="dxa"/>
                    <w:noWrap/>
                    <w:hideMark/>
                  </w:tcPr>
                  <w:p w14:paraId="2926AFD3" w14:textId="77777777" w:rsidR="004D61AD" w:rsidRDefault="004D61AD" w:rsidP="00181986">
                    <w:pPr>
                      <w:spacing w:before="100" w:beforeAutospacing="1" w:after="100" w:afterAutospacing="1"/>
                      <w:jc w:val="right"/>
                      <w:rPr>
                        <w:noProof/>
                      </w:rPr>
                    </w:pPr>
                    <w:r>
                      <w:rPr>
                        <w:noProof/>
                        <w:color w:val="000000"/>
                        <w:sz w:val="16"/>
                        <w:szCs w:val="16"/>
                      </w:rPr>
                      <w:t>[22]</w:t>
                    </w:r>
                  </w:p>
                </w:tc>
              </w:tr>
              <w:tr w:rsidR="004D61AD" w14:paraId="67B6463E" w14:textId="77777777" w:rsidTr="00181986">
                <w:trPr>
                  <w:cantSplit/>
                </w:trPr>
                <w:tc>
                  <w:tcPr>
                    <w:tcW w:w="8699" w:type="dxa"/>
                    <w:hideMark/>
                  </w:tcPr>
                  <w:p w14:paraId="1E6DB105" w14:textId="2014BC34" w:rsidR="003747CB" w:rsidRPr="00997125" w:rsidRDefault="003747CB" w:rsidP="00997125">
                    <w:pPr>
                      <w:tabs>
                        <w:tab w:val="clear" w:pos="850"/>
                        <w:tab w:val="clear" w:pos="1191"/>
                        <w:tab w:val="clear" w:pos="1531"/>
                      </w:tabs>
                      <w:spacing w:before="100" w:beforeAutospacing="1" w:after="100" w:afterAutospacing="1"/>
                      <w:ind w:left="480" w:hanging="480"/>
                      <w:jc w:val="left"/>
                      <w:rPr>
                        <w:rFonts w:eastAsia="Times New Roman"/>
                        <w:szCs w:val="22"/>
                        <w:lang w:eastAsia="en-GB"/>
                      </w:rPr>
                    </w:pPr>
                    <w:r w:rsidRPr="00997125">
                      <w:rPr>
                        <w:rFonts w:eastAsia="Times New Roman"/>
                        <w:szCs w:val="22"/>
                        <w:lang w:eastAsia="en-GB"/>
                      </w:rPr>
                      <w:lastRenderedPageBreak/>
                      <w:t xml:space="preserve">Hille, E., &amp; Möbius, P. (2019). Do energy prices affect employment? Decomposed international evidence. </w:t>
                    </w:r>
                    <w:r w:rsidRPr="00997125">
                      <w:rPr>
                        <w:rFonts w:eastAsia="Times New Roman"/>
                        <w:i/>
                        <w:iCs/>
                        <w:szCs w:val="22"/>
                        <w:lang w:eastAsia="en-GB"/>
                      </w:rPr>
                      <w:t>Journal of Environmental Economics and Management</w:t>
                    </w:r>
                    <w:r w:rsidRPr="00997125">
                      <w:rPr>
                        <w:rFonts w:eastAsia="Times New Roman"/>
                        <w:szCs w:val="22"/>
                        <w:lang w:eastAsia="en-GB"/>
                      </w:rPr>
                      <w:t xml:space="preserve">, </w:t>
                    </w:r>
                    <w:r w:rsidRPr="00997125">
                      <w:rPr>
                        <w:rFonts w:eastAsia="Times New Roman"/>
                        <w:i/>
                        <w:iCs/>
                        <w:szCs w:val="22"/>
                        <w:lang w:eastAsia="en-GB"/>
                      </w:rPr>
                      <w:t>96</w:t>
                    </w:r>
                    <w:r w:rsidRPr="00997125">
                      <w:rPr>
                        <w:rFonts w:eastAsia="Times New Roman"/>
                        <w:szCs w:val="22"/>
                        <w:lang w:eastAsia="en-GB"/>
                      </w:rPr>
                      <w:t>, 1–21. https://doi.org/10.1016/j.jeem.2019.04.002</w:t>
                    </w:r>
                  </w:p>
                  <w:p w14:paraId="13DBBB39" w14:textId="77777777" w:rsidR="004D61AD" w:rsidRDefault="004D61AD" w:rsidP="00181986">
                    <w:pPr>
                      <w:pStyle w:val="Bibliographie"/>
                      <w:spacing w:line="240" w:lineRule="exact"/>
                      <w:rPr>
                        <w:noProof/>
                      </w:rPr>
                    </w:pPr>
                    <w:r>
                      <w:rPr>
                        <w:noProof/>
                      </w:rPr>
                      <w:t xml:space="preserve">Jaraite, J. and C. Di Maria (2016), “Did the EU ETS make a difference? An empirical assessment using Lithuanian firm-level data”, </w:t>
                    </w:r>
                    <w:r>
                      <w:rPr>
                        <w:i/>
                        <w:iCs/>
                        <w:noProof/>
                      </w:rPr>
                      <w:t>The Energy Journal</w:t>
                    </w:r>
                    <w:r>
                      <w:rPr>
                        <w:noProof/>
                      </w:rPr>
                      <w:t xml:space="preserve">, Vol. 37/1, </w:t>
                    </w:r>
                    <w:r>
                      <w:rPr>
                        <w:noProof/>
                        <w:color w:val="0000FF"/>
                        <w:u w:val="single"/>
                      </w:rPr>
                      <w:t>https://papers.ssrn.com/sol3/papers.cfm?abstract_id=2382663</w:t>
                    </w:r>
                    <w:r>
                      <w:rPr>
                        <w:noProof/>
                      </w:rPr>
                      <w:t>, pp. 1-23.</w:t>
                    </w:r>
                  </w:p>
                  <w:p w14:paraId="01F4C61B" w14:textId="4F86D1F1" w:rsidR="00950110" w:rsidRPr="00997125" w:rsidRDefault="00950110" w:rsidP="00997125">
                    <w:pPr>
                      <w:ind w:left="284" w:hanging="284"/>
                      <w:rPr>
                        <w:szCs w:val="22"/>
                      </w:rPr>
                    </w:pPr>
                    <w:r w:rsidRPr="00997125">
                      <w:rPr>
                        <w:rFonts w:eastAsia="Times New Roman"/>
                        <w:szCs w:val="22"/>
                        <w:lang w:eastAsia="en-GB"/>
                      </w:rPr>
                      <w:t>Joltreau, E., &amp; Sommerfeld, K. (2019). Why does emissions trading under the EU Emissions Trading System (ETS) not affect firms</w:t>
                    </w:r>
                    <w:r w:rsidRPr="00997125">
                      <w:rPr>
                        <w:color w:val="222222"/>
                        <w:szCs w:val="22"/>
                        <w:shd w:val="clear" w:color="auto" w:fill="FFFFFF"/>
                      </w:rPr>
                      <w:t>’ competitiveness? Empirical findings from the literature. </w:t>
                    </w:r>
                    <w:r w:rsidRPr="00997125">
                      <w:rPr>
                        <w:i/>
                        <w:iCs/>
                        <w:color w:val="222222"/>
                        <w:szCs w:val="22"/>
                        <w:shd w:val="clear" w:color="auto" w:fill="FFFFFF"/>
                      </w:rPr>
                      <w:t>Climate Policy</w:t>
                    </w:r>
                    <w:r w:rsidRPr="00997125">
                      <w:rPr>
                        <w:color w:val="222222"/>
                        <w:szCs w:val="22"/>
                        <w:shd w:val="clear" w:color="auto" w:fill="FFFFFF"/>
                      </w:rPr>
                      <w:t>, </w:t>
                    </w:r>
                    <w:r w:rsidRPr="00997125">
                      <w:rPr>
                        <w:i/>
                        <w:iCs/>
                        <w:color w:val="222222"/>
                        <w:szCs w:val="22"/>
                        <w:shd w:val="clear" w:color="auto" w:fill="FFFFFF"/>
                      </w:rPr>
                      <w:t>19</w:t>
                    </w:r>
                    <w:r w:rsidRPr="00997125">
                      <w:rPr>
                        <w:color w:val="222222"/>
                        <w:szCs w:val="22"/>
                        <w:shd w:val="clear" w:color="auto" w:fill="FFFFFF"/>
                      </w:rPr>
                      <w:t>(4), 453-471.</w:t>
                    </w:r>
                  </w:p>
                </w:tc>
                <w:tc>
                  <w:tcPr>
                    <w:tcW w:w="600" w:type="dxa"/>
                    <w:noWrap/>
                    <w:hideMark/>
                  </w:tcPr>
                  <w:p w14:paraId="2660B96D" w14:textId="77777777" w:rsidR="004D61AD" w:rsidRDefault="004D61AD" w:rsidP="00181986">
                    <w:pPr>
                      <w:spacing w:before="100" w:beforeAutospacing="1" w:after="100" w:afterAutospacing="1"/>
                      <w:jc w:val="right"/>
                      <w:rPr>
                        <w:noProof/>
                      </w:rPr>
                    </w:pPr>
                    <w:r>
                      <w:rPr>
                        <w:noProof/>
                        <w:color w:val="000000"/>
                        <w:sz w:val="16"/>
                        <w:szCs w:val="16"/>
                      </w:rPr>
                      <w:t>[57]</w:t>
                    </w:r>
                  </w:p>
                </w:tc>
              </w:tr>
              <w:tr w:rsidR="004D61AD" w14:paraId="70D36C81" w14:textId="77777777" w:rsidTr="00181986">
                <w:trPr>
                  <w:cantSplit/>
                </w:trPr>
                <w:tc>
                  <w:tcPr>
                    <w:tcW w:w="8699" w:type="dxa"/>
                    <w:hideMark/>
                  </w:tcPr>
                  <w:p w14:paraId="61840FE1" w14:textId="77777777" w:rsidR="003747CB" w:rsidRPr="00997125" w:rsidRDefault="003747CB" w:rsidP="003747CB">
                    <w:pPr>
                      <w:tabs>
                        <w:tab w:val="clear" w:pos="850"/>
                        <w:tab w:val="clear" w:pos="1191"/>
                        <w:tab w:val="clear" w:pos="1531"/>
                      </w:tabs>
                      <w:spacing w:before="100" w:beforeAutospacing="1" w:after="100" w:afterAutospacing="1"/>
                      <w:ind w:left="480" w:hanging="480"/>
                      <w:jc w:val="left"/>
                      <w:rPr>
                        <w:rFonts w:eastAsia="Times New Roman"/>
                        <w:szCs w:val="22"/>
                        <w:lang w:eastAsia="en-GB"/>
                      </w:rPr>
                    </w:pPr>
                    <w:r w:rsidRPr="00997125">
                      <w:rPr>
                        <w:rFonts w:eastAsia="Times New Roman"/>
                        <w:szCs w:val="22"/>
                        <w:lang w:val="fr-BE" w:eastAsia="en-GB"/>
                      </w:rPr>
                      <w:t xml:space="preserve">Kahn, M. E., &amp; Mansur, E. T. (2013). </w:t>
                    </w:r>
                    <w:r w:rsidRPr="00997125">
                      <w:rPr>
                        <w:rFonts w:eastAsia="Times New Roman"/>
                        <w:szCs w:val="22"/>
                        <w:lang w:eastAsia="en-GB"/>
                      </w:rPr>
                      <w:t xml:space="preserve">Do local energy prices and regulation affect the geographic concentration of employment? </w:t>
                    </w:r>
                    <w:r w:rsidRPr="00997125">
                      <w:rPr>
                        <w:rFonts w:eastAsia="Times New Roman"/>
                        <w:i/>
                        <w:iCs/>
                        <w:szCs w:val="22"/>
                        <w:lang w:eastAsia="en-GB"/>
                      </w:rPr>
                      <w:t>Journal of Public Economics</w:t>
                    </w:r>
                    <w:r w:rsidRPr="00997125">
                      <w:rPr>
                        <w:rFonts w:eastAsia="Times New Roman"/>
                        <w:szCs w:val="22"/>
                        <w:lang w:eastAsia="en-GB"/>
                      </w:rPr>
                      <w:t xml:space="preserve">, </w:t>
                    </w:r>
                    <w:r w:rsidRPr="00997125">
                      <w:rPr>
                        <w:rFonts w:eastAsia="Times New Roman"/>
                        <w:i/>
                        <w:iCs/>
                        <w:szCs w:val="22"/>
                        <w:lang w:eastAsia="en-GB"/>
                      </w:rPr>
                      <w:t>101</w:t>
                    </w:r>
                    <w:r w:rsidRPr="00997125">
                      <w:rPr>
                        <w:rFonts w:eastAsia="Times New Roman"/>
                        <w:szCs w:val="22"/>
                        <w:lang w:eastAsia="en-GB"/>
                      </w:rPr>
                      <w:t>(1), 105–114. https://doi.org/10.1016/j.jpubeco.2013.03.002</w:t>
                    </w:r>
                  </w:p>
                  <w:p w14:paraId="56B1997B" w14:textId="77777777" w:rsidR="004D61AD" w:rsidRDefault="004D61AD" w:rsidP="00181986">
                    <w:pPr>
                      <w:pStyle w:val="Bibliographie"/>
                      <w:spacing w:line="240" w:lineRule="exact"/>
                      <w:rPr>
                        <w:noProof/>
                      </w:rPr>
                    </w:pPr>
                    <w:r>
                      <w:rPr>
                        <w:noProof/>
                      </w:rPr>
                      <w:t xml:space="preserve">Kahneman, D., J. Knetsch and R. Thaler (1990), “Experimental Tests of the Endowmend Effect and the Coase Theorem”, </w:t>
                    </w:r>
                    <w:r>
                      <w:rPr>
                        <w:i/>
                        <w:iCs/>
                        <w:noProof/>
                      </w:rPr>
                      <w:t>The Journal of Political Economy</w:t>
                    </w:r>
                    <w:r>
                      <w:rPr>
                        <w:noProof/>
                      </w:rPr>
                      <w:t xml:space="preserve">, Vol. 98/6, pp. 1325-1348, </w:t>
                    </w:r>
                    <w:r>
                      <w:rPr>
                        <w:noProof/>
                        <w:color w:val="0000FF"/>
                        <w:u w:val="single"/>
                      </w:rPr>
                      <w:t>http://dx.doi.org/10.1086/261737</w:t>
                    </w:r>
                    <w:r>
                      <w:rPr>
                        <w:noProof/>
                      </w:rPr>
                      <w:t>.</w:t>
                    </w:r>
                  </w:p>
                </w:tc>
                <w:tc>
                  <w:tcPr>
                    <w:tcW w:w="600" w:type="dxa"/>
                    <w:noWrap/>
                    <w:hideMark/>
                  </w:tcPr>
                  <w:p w14:paraId="7659DF2B" w14:textId="77777777" w:rsidR="004D61AD" w:rsidRDefault="004D61AD" w:rsidP="00181986">
                    <w:pPr>
                      <w:spacing w:before="100" w:beforeAutospacing="1" w:after="100" w:afterAutospacing="1"/>
                      <w:jc w:val="right"/>
                      <w:rPr>
                        <w:noProof/>
                      </w:rPr>
                    </w:pPr>
                    <w:r>
                      <w:rPr>
                        <w:noProof/>
                        <w:color w:val="000000"/>
                        <w:sz w:val="16"/>
                        <w:szCs w:val="16"/>
                      </w:rPr>
                      <w:t>[44]</w:t>
                    </w:r>
                  </w:p>
                </w:tc>
              </w:tr>
              <w:tr w:rsidR="004D61AD" w14:paraId="7D687528" w14:textId="77777777" w:rsidTr="00181986">
                <w:trPr>
                  <w:cantSplit/>
                </w:trPr>
                <w:tc>
                  <w:tcPr>
                    <w:tcW w:w="8699" w:type="dxa"/>
                    <w:hideMark/>
                  </w:tcPr>
                  <w:p w14:paraId="79F682AD" w14:textId="77777777" w:rsidR="004D61AD" w:rsidRDefault="004D61AD" w:rsidP="00181986">
                    <w:pPr>
                      <w:pStyle w:val="Bibliographie"/>
                      <w:spacing w:line="240" w:lineRule="exact"/>
                      <w:rPr>
                        <w:noProof/>
                      </w:rPr>
                    </w:pPr>
                    <w:r>
                      <w:rPr>
                        <w:noProof/>
                      </w:rPr>
                      <w:t xml:space="preserve">Klemetsen, M., K. Rosendahl and A. Jakobsen (2016), “The impacts of the EU ETS on Norwegian plants' environmental and economic performance”, </w:t>
                    </w:r>
                    <w:r>
                      <w:rPr>
                        <w:i/>
                        <w:iCs/>
                        <w:noProof/>
                      </w:rPr>
                      <w:t>Discussion Papers No. 833, Statistics Norway, Research Department</w:t>
                    </w:r>
                    <w:r>
                      <w:rPr>
                        <w:noProof/>
                      </w:rPr>
                      <w:t xml:space="preserve">, </w:t>
                    </w:r>
                    <w:r>
                      <w:rPr>
                        <w:noProof/>
                        <w:color w:val="0000FF"/>
                        <w:u w:val="single"/>
                      </w:rPr>
                      <w:t>https://brage.bibsys.no/xmlui/handle/11250/2570307</w:t>
                    </w:r>
                    <w:r>
                      <w:rPr>
                        <w:noProof/>
                      </w:rPr>
                      <w:t>.</w:t>
                    </w:r>
                  </w:p>
                </w:tc>
                <w:tc>
                  <w:tcPr>
                    <w:tcW w:w="600" w:type="dxa"/>
                    <w:noWrap/>
                    <w:hideMark/>
                  </w:tcPr>
                  <w:p w14:paraId="010023C2" w14:textId="77777777" w:rsidR="004D61AD" w:rsidRDefault="004D61AD" w:rsidP="00181986">
                    <w:pPr>
                      <w:spacing w:before="100" w:beforeAutospacing="1" w:after="100" w:afterAutospacing="1"/>
                      <w:jc w:val="right"/>
                      <w:rPr>
                        <w:noProof/>
                      </w:rPr>
                    </w:pPr>
                    <w:r>
                      <w:rPr>
                        <w:noProof/>
                        <w:color w:val="000000"/>
                        <w:sz w:val="16"/>
                        <w:szCs w:val="16"/>
                      </w:rPr>
                      <w:t>[35]</w:t>
                    </w:r>
                  </w:p>
                </w:tc>
              </w:tr>
              <w:tr w:rsidR="004D61AD" w14:paraId="270FE3DB" w14:textId="77777777" w:rsidTr="00181986">
                <w:trPr>
                  <w:cantSplit/>
                </w:trPr>
                <w:tc>
                  <w:tcPr>
                    <w:tcW w:w="8699" w:type="dxa"/>
                    <w:hideMark/>
                  </w:tcPr>
                  <w:p w14:paraId="2B637BC4" w14:textId="77777777" w:rsidR="004D61AD" w:rsidRDefault="004D61AD" w:rsidP="00181986">
                    <w:pPr>
                      <w:pStyle w:val="Bibliographie"/>
                      <w:spacing w:line="240" w:lineRule="exact"/>
                      <w:rPr>
                        <w:noProof/>
                      </w:rPr>
                    </w:pPr>
                    <w:r>
                      <w:rPr>
                        <w:noProof/>
                      </w:rPr>
                      <w:t xml:space="preserve">Koch, N. and H. Basse Mama (2016), “European climate policy and industrial relocation: Evidence from German multinational firms”, </w:t>
                    </w:r>
                    <w:r>
                      <w:rPr>
                        <w:i/>
                        <w:iCs/>
                        <w:noProof/>
                      </w:rPr>
                      <w:t>SSRN working paper</w:t>
                    </w:r>
                    <w:r>
                      <w:rPr>
                        <w:noProof/>
                      </w:rPr>
                      <w:t xml:space="preserve">, </w:t>
                    </w:r>
                    <w:r>
                      <w:rPr>
                        <w:noProof/>
                        <w:color w:val="0000FF"/>
                        <w:u w:val="single"/>
                      </w:rPr>
                      <w:t>https://papers.ssrn.com/sol3/papers.cfm?abstract_id=2868283</w:t>
                    </w:r>
                    <w:r>
                      <w:rPr>
                        <w:noProof/>
                      </w:rPr>
                      <w:t>.</w:t>
                    </w:r>
                  </w:p>
                  <w:p w14:paraId="1026FFB5" w14:textId="02502F46" w:rsidR="008237DF" w:rsidRPr="00997125" w:rsidRDefault="008237DF" w:rsidP="00997125">
                    <w:pPr>
                      <w:pStyle w:val="Bibliographie"/>
                      <w:spacing w:line="240" w:lineRule="exact"/>
                      <w:rPr>
                        <w:noProof/>
                      </w:rPr>
                    </w:pPr>
                    <w:r w:rsidRPr="00997125">
                      <w:rPr>
                        <w:noProof/>
                      </w:rPr>
                      <w:t xml:space="preserve">Kumar, S., </w:t>
                    </w:r>
                    <w:r w:rsidR="008E5E6B">
                      <w:rPr>
                        <w:noProof/>
                      </w:rPr>
                      <w:t>and</w:t>
                    </w:r>
                    <w:r w:rsidRPr="00997125">
                      <w:rPr>
                        <w:noProof/>
                      </w:rPr>
                      <w:t xml:space="preserve"> Prabhakar, P. (2020). </w:t>
                    </w:r>
                    <w:r w:rsidR="008E5E6B">
                      <w:rPr>
                        <w:noProof/>
                      </w:rPr>
                      <w:t>"</w:t>
                    </w:r>
                    <w:r w:rsidRPr="00997125">
                      <w:rPr>
                        <w:noProof/>
                      </w:rPr>
                      <w:t>Industrial energy prices and export competitiveness: evidence from India</w:t>
                    </w:r>
                    <w:r w:rsidR="008E5E6B">
                      <w:rPr>
                        <w:noProof/>
                      </w:rPr>
                      <w:t>",</w:t>
                    </w:r>
                    <w:r w:rsidRPr="00997125">
                      <w:rPr>
                        <w:noProof/>
                      </w:rPr>
                      <w:t xml:space="preserve"> </w:t>
                    </w:r>
                    <w:r w:rsidRPr="00997125">
                      <w:rPr>
                        <w:i/>
                        <w:iCs/>
                        <w:noProof/>
                      </w:rPr>
                      <w:t>Environmental Economics and Policy Studies</w:t>
                    </w:r>
                    <w:r w:rsidRPr="00997125">
                      <w:rPr>
                        <w:noProof/>
                      </w:rPr>
                      <w:t>, 22(1), 1–20. https://doi.org/10.1007/s10018-019-00244-8</w:t>
                    </w:r>
                  </w:p>
                  <w:p w14:paraId="02AC635E" w14:textId="77777777" w:rsidR="001A20A9" w:rsidRPr="00512445" w:rsidRDefault="001A20A9" w:rsidP="00997125">
                    <w:pPr>
                      <w:spacing w:before="100" w:beforeAutospacing="1" w:after="100" w:afterAutospacing="1"/>
                      <w:ind w:left="480" w:hanging="480"/>
                    </w:pPr>
                  </w:p>
                </w:tc>
                <w:tc>
                  <w:tcPr>
                    <w:tcW w:w="600" w:type="dxa"/>
                    <w:noWrap/>
                    <w:hideMark/>
                  </w:tcPr>
                  <w:p w14:paraId="2A6CB2B0" w14:textId="77777777" w:rsidR="004D61AD" w:rsidRDefault="004D61AD" w:rsidP="00181986">
                    <w:pPr>
                      <w:spacing w:before="100" w:beforeAutospacing="1" w:after="100" w:afterAutospacing="1"/>
                      <w:jc w:val="right"/>
                      <w:rPr>
                        <w:noProof/>
                      </w:rPr>
                    </w:pPr>
                    <w:r>
                      <w:rPr>
                        <w:noProof/>
                        <w:color w:val="000000"/>
                        <w:sz w:val="16"/>
                        <w:szCs w:val="16"/>
                      </w:rPr>
                      <w:t>[28]</w:t>
                    </w:r>
                  </w:p>
                </w:tc>
              </w:tr>
              <w:tr w:rsidR="004D61AD" w14:paraId="5632731F" w14:textId="77777777" w:rsidTr="00181986">
                <w:trPr>
                  <w:cantSplit/>
                </w:trPr>
                <w:tc>
                  <w:tcPr>
                    <w:tcW w:w="8699" w:type="dxa"/>
                    <w:hideMark/>
                  </w:tcPr>
                  <w:p w14:paraId="27A511D7" w14:textId="77777777" w:rsidR="004D61AD" w:rsidRDefault="004D61AD" w:rsidP="00181986">
                    <w:pPr>
                      <w:pStyle w:val="Bibliographie"/>
                      <w:spacing w:line="240" w:lineRule="exact"/>
                      <w:rPr>
                        <w:noProof/>
                      </w:rPr>
                    </w:pPr>
                    <w:r>
                      <w:rPr>
                        <w:noProof/>
                      </w:rPr>
                      <w:t xml:space="preserve">Ley, M., T. Stucki and M. Woerter (2016), “The impact of energy prices on green innovation”, </w:t>
                    </w:r>
                    <w:r>
                      <w:rPr>
                        <w:i/>
                        <w:iCs/>
                        <w:noProof/>
                      </w:rPr>
                      <w:t>The Energy Journal</w:t>
                    </w:r>
                    <w:r>
                      <w:rPr>
                        <w:noProof/>
                      </w:rPr>
                      <w:t xml:space="preserve">, Vol. 37/1, pp. 41-75, </w:t>
                    </w:r>
                    <w:r>
                      <w:rPr>
                        <w:noProof/>
                        <w:color w:val="0000FF"/>
                        <w:u w:val="single"/>
                      </w:rPr>
                      <w:t>http://dx.doi.org/10.2991/icemet-16.2016.77</w:t>
                    </w:r>
                    <w:r>
                      <w:rPr>
                        <w:noProof/>
                      </w:rPr>
                      <w:t>.</w:t>
                    </w:r>
                  </w:p>
                </w:tc>
                <w:tc>
                  <w:tcPr>
                    <w:tcW w:w="600" w:type="dxa"/>
                    <w:noWrap/>
                    <w:hideMark/>
                  </w:tcPr>
                  <w:p w14:paraId="02AA3150" w14:textId="77777777" w:rsidR="004D61AD" w:rsidRDefault="004D61AD" w:rsidP="00181986">
                    <w:pPr>
                      <w:spacing w:before="100" w:beforeAutospacing="1" w:after="100" w:afterAutospacing="1"/>
                      <w:jc w:val="right"/>
                      <w:rPr>
                        <w:noProof/>
                      </w:rPr>
                    </w:pPr>
                    <w:r>
                      <w:rPr>
                        <w:noProof/>
                        <w:color w:val="000000"/>
                        <w:sz w:val="16"/>
                        <w:szCs w:val="16"/>
                      </w:rPr>
                      <w:t>[42]</w:t>
                    </w:r>
                  </w:p>
                </w:tc>
              </w:tr>
              <w:tr w:rsidR="004D61AD" w14:paraId="20FE6B69" w14:textId="77777777" w:rsidTr="00181986">
                <w:trPr>
                  <w:cantSplit/>
                </w:trPr>
                <w:tc>
                  <w:tcPr>
                    <w:tcW w:w="8699" w:type="dxa"/>
                    <w:hideMark/>
                  </w:tcPr>
                  <w:p w14:paraId="68775AC8" w14:textId="77777777" w:rsidR="004D61AD" w:rsidRDefault="004D61AD" w:rsidP="00181986">
                    <w:pPr>
                      <w:pStyle w:val="Bibliographie"/>
                      <w:spacing w:line="240" w:lineRule="exact"/>
                      <w:rPr>
                        <w:noProof/>
                      </w:rPr>
                    </w:pPr>
                    <w:r>
                      <w:rPr>
                        <w:noProof/>
                      </w:rPr>
                      <w:t xml:space="preserve">Löschel, A., B. Lutz and S. Managi (2018), “The impacts of the EU ETS on efficiency and economic performance – An empirical analyses for German manufacturing firms”, </w:t>
                    </w:r>
                    <w:r>
                      <w:rPr>
                        <w:i/>
                        <w:iCs/>
                        <w:noProof/>
                      </w:rPr>
                      <w:t>Resource and Energy Economics</w:t>
                    </w:r>
                    <w:r>
                      <w:rPr>
                        <w:noProof/>
                      </w:rPr>
                      <w:t xml:space="preserve">, </w:t>
                    </w:r>
                    <w:r>
                      <w:rPr>
                        <w:noProof/>
                        <w:color w:val="0000FF"/>
                        <w:u w:val="single"/>
                      </w:rPr>
                      <w:t>http://dx.doi.org/10.1016/j.reseneeco.2018.03.001</w:t>
                    </w:r>
                    <w:r>
                      <w:rPr>
                        <w:noProof/>
                      </w:rPr>
                      <w:t>.</w:t>
                    </w:r>
                  </w:p>
                </w:tc>
                <w:tc>
                  <w:tcPr>
                    <w:tcW w:w="600" w:type="dxa"/>
                    <w:noWrap/>
                    <w:hideMark/>
                  </w:tcPr>
                  <w:p w14:paraId="45E2986D" w14:textId="77777777" w:rsidR="004D61AD" w:rsidRDefault="004D61AD" w:rsidP="00181986">
                    <w:pPr>
                      <w:spacing w:before="100" w:beforeAutospacing="1" w:after="100" w:afterAutospacing="1"/>
                      <w:jc w:val="right"/>
                      <w:rPr>
                        <w:noProof/>
                      </w:rPr>
                    </w:pPr>
                    <w:r>
                      <w:rPr>
                        <w:noProof/>
                        <w:color w:val="000000"/>
                        <w:sz w:val="16"/>
                        <w:szCs w:val="16"/>
                      </w:rPr>
                      <w:t>[34]</w:t>
                    </w:r>
                  </w:p>
                </w:tc>
              </w:tr>
              <w:tr w:rsidR="004D61AD" w14:paraId="6C115B88" w14:textId="77777777" w:rsidTr="00181986">
                <w:trPr>
                  <w:cantSplit/>
                </w:trPr>
                <w:tc>
                  <w:tcPr>
                    <w:tcW w:w="8699" w:type="dxa"/>
                    <w:hideMark/>
                  </w:tcPr>
                  <w:p w14:paraId="5B6B5E81" w14:textId="77777777" w:rsidR="004D61AD" w:rsidRDefault="004D61AD" w:rsidP="00181986">
                    <w:pPr>
                      <w:pStyle w:val="Bibliographie"/>
                      <w:spacing w:line="240" w:lineRule="exact"/>
                      <w:rPr>
                        <w:noProof/>
                      </w:rPr>
                    </w:pPr>
                    <w:r>
                      <w:rPr>
                        <w:noProof/>
                      </w:rPr>
                      <w:t xml:space="preserve">Lundgren, T., P. Marklund and E. … (2015), “Carbon prices and incentives for technological development”, </w:t>
                    </w:r>
                    <w:r>
                      <w:rPr>
                        <w:i/>
                        <w:iCs/>
                        <w:noProof/>
                      </w:rPr>
                      <w:t>Journal of Environmental Management</w:t>
                    </w:r>
                    <w:r>
                      <w:rPr>
                        <w:noProof/>
                      </w:rPr>
                      <w:t xml:space="preserve">, Vol. 150, </w:t>
                    </w:r>
                    <w:r>
                      <w:rPr>
                        <w:noProof/>
                        <w:color w:val="0000FF"/>
                        <w:u w:val="single"/>
                      </w:rPr>
                      <w:t>https://www.sciencedirect.com/science/article/pii/S0301479714005921</w:t>
                    </w:r>
                    <w:r>
                      <w:rPr>
                        <w:noProof/>
                      </w:rPr>
                      <w:t>, pp. 393-403.</w:t>
                    </w:r>
                  </w:p>
                </w:tc>
                <w:tc>
                  <w:tcPr>
                    <w:tcW w:w="600" w:type="dxa"/>
                    <w:noWrap/>
                    <w:hideMark/>
                  </w:tcPr>
                  <w:p w14:paraId="41156004" w14:textId="77777777" w:rsidR="004D61AD" w:rsidRDefault="004D61AD" w:rsidP="00181986">
                    <w:pPr>
                      <w:spacing w:before="100" w:beforeAutospacing="1" w:after="100" w:afterAutospacing="1"/>
                      <w:jc w:val="right"/>
                      <w:rPr>
                        <w:noProof/>
                      </w:rPr>
                    </w:pPr>
                    <w:r>
                      <w:rPr>
                        <w:noProof/>
                        <w:color w:val="000000"/>
                        <w:sz w:val="16"/>
                        <w:szCs w:val="16"/>
                      </w:rPr>
                      <w:t>[58]</w:t>
                    </w:r>
                  </w:p>
                </w:tc>
              </w:tr>
              <w:tr w:rsidR="004D61AD" w14:paraId="1131EA73" w14:textId="77777777" w:rsidTr="00181986">
                <w:trPr>
                  <w:cantSplit/>
                </w:trPr>
                <w:tc>
                  <w:tcPr>
                    <w:tcW w:w="8699" w:type="dxa"/>
                    <w:hideMark/>
                  </w:tcPr>
                  <w:p w14:paraId="70F167B0" w14:textId="77777777" w:rsidR="004D61AD" w:rsidRDefault="004D61AD" w:rsidP="00181986">
                    <w:pPr>
                      <w:pStyle w:val="Bibliographie"/>
                      <w:spacing w:line="240" w:lineRule="exact"/>
                      <w:rPr>
                        <w:noProof/>
                      </w:rPr>
                    </w:pPr>
                    <w:r>
                      <w:rPr>
                        <w:noProof/>
                      </w:rPr>
                      <w:t xml:space="preserve">Lutz, B. (1016), “Emissions trading and productivity: Firm-level evidence from German manufacturing”, </w:t>
                    </w:r>
                    <w:r>
                      <w:rPr>
                        <w:i/>
                        <w:iCs/>
                        <w:noProof/>
                      </w:rPr>
                      <w:t>Discussion Paper 16-067, Centre for European Economic Research</w:t>
                    </w:r>
                    <w:r>
                      <w:rPr>
                        <w:noProof/>
                      </w:rPr>
                      <w:t xml:space="preserve">, </w:t>
                    </w:r>
                    <w:r>
                      <w:rPr>
                        <w:noProof/>
                        <w:color w:val="0000FF"/>
                        <w:u w:val="single"/>
                      </w:rPr>
                      <w:t>https://papers.ssrn.com/sol3/papers.cfm?abstract_id=2850541</w:t>
                    </w:r>
                    <w:r>
                      <w:rPr>
                        <w:noProof/>
                      </w:rPr>
                      <w:t>.</w:t>
                    </w:r>
                  </w:p>
                </w:tc>
                <w:tc>
                  <w:tcPr>
                    <w:tcW w:w="600" w:type="dxa"/>
                    <w:noWrap/>
                    <w:hideMark/>
                  </w:tcPr>
                  <w:p w14:paraId="7823D1BB" w14:textId="77777777" w:rsidR="004D61AD" w:rsidRDefault="004D61AD" w:rsidP="00181986">
                    <w:pPr>
                      <w:spacing w:before="100" w:beforeAutospacing="1" w:after="100" w:afterAutospacing="1"/>
                      <w:jc w:val="right"/>
                      <w:rPr>
                        <w:noProof/>
                      </w:rPr>
                    </w:pPr>
                    <w:r>
                      <w:rPr>
                        <w:noProof/>
                        <w:color w:val="000000"/>
                        <w:sz w:val="16"/>
                        <w:szCs w:val="16"/>
                      </w:rPr>
                      <w:t>[56]</w:t>
                    </w:r>
                  </w:p>
                </w:tc>
              </w:tr>
              <w:tr w:rsidR="004D61AD" w14:paraId="2BA565A8" w14:textId="77777777" w:rsidTr="00181986">
                <w:trPr>
                  <w:cantSplit/>
                </w:trPr>
                <w:tc>
                  <w:tcPr>
                    <w:tcW w:w="8699" w:type="dxa"/>
                    <w:hideMark/>
                  </w:tcPr>
                  <w:p w14:paraId="42FBE677" w14:textId="77777777" w:rsidR="004D61AD" w:rsidRDefault="004D61AD" w:rsidP="00181986">
                    <w:pPr>
                      <w:pStyle w:val="Bibliographie"/>
                      <w:spacing w:line="240" w:lineRule="exact"/>
                      <w:rPr>
                        <w:noProof/>
                      </w:rPr>
                    </w:pPr>
                    <w:r>
                      <w:rPr>
                        <w:noProof/>
                      </w:rPr>
                      <w:t xml:space="preserve">Makridou, G., M. Doumpos and E. Galariotis (2019), “The financial performance of firms participating in the EU emissions trading scheme”, </w:t>
                    </w:r>
                    <w:r>
                      <w:rPr>
                        <w:i/>
                        <w:iCs/>
                        <w:noProof/>
                      </w:rPr>
                      <w:t>Energy Policy</w:t>
                    </w:r>
                    <w:r>
                      <w:rPr>
                        <w:noProof/>
                      </w:rPr>
                      <w:t xml:space="preserve">, A larger ratio of allocation of allowances to verified emissions (AF) is associated with lower profitability. Energy efficiency can lead to higher profit, pp. 250-259, </w:t>
                    </w:r>
                    <w:r>
                      <w:rPr>
                        <w:noProof/>
                        <w:color w:val="0000FF"/>
                        <w:u w:val="single"/>
                      </w:rPr>
                      <w:t>http://dx.doi.org/10.1016/j.enpol.2019.02.026</w:t>
                    </w:r>
                    <w:r>
                      <w:rPr>
                        <w:noProof/>
                      </w:rPr>
                      <w:t>.</w:t>
                    </w:r>
                  </w:p>
                </w:tc>
                <w:tc>
                  <w:tcPr>
                    <w:tcW w:w="600" w:type="dxa"/>
                    <w:noWrap/>
                    <w:hideMark/>
                  </w:tcPr>
                  <w:p w14:paraId="54C52EE8" w14:textId="77777777" w:rsidR="004D61AD" w:rsidRDefault="004D61AD" w:rsidP="00181986">
                    <w:pPr>
                      <w:spacing w:before="100" w:beforeAutospacing="1" w:after="100" w:afterAutospacing="1"/>
                      <w:jc w:val="right"/>
                      <w:rPr>
                        <w:noProof/>
                      </w:rPr>
                    </w:pPr>
                    <w:r>
                      <w:rPr>
                        <w:noProof/>
                        <w:color w:val="000000"/>
                        <w:sz w:val="16"/>
                        <w:szCs w:val="16"/>
                      </w:rPr>
                      <w:t>[53]</w:t>
                    </w:r>
                  </w:p>
                </w:tc>
              </w:tr>
              <w:tr w:rsidR="004D61AD" w14:paraId="518B685B" w14:textId="77777777" w:rsidTr="00181986">
                <w:trPr>
                  <w:cantSplit/>
                </w:trPr>
                <w:tc>
                  <w:tcPr>
                    <w:tcW w:w="8699" w:type="dxa"/>
                    <w:hideMark/>
                  </w:tcPr>
                  <w:p w14:paraId="03399CAD" w14:textId="77777777" w:rsidR="004D61AD" w:rsidRDefault="004D61AD" w:rsidP="00181986">
                    <w:pPr>
                      <w:pStyle w:val="Bibliographie"/>
                      <w:spacing w:line="240" w:lineRule="exact"/>
                      <w:rPr>
                        <w:noProof/>
                      </w:rPr>
                    </w:pPr>
                    <w:r>
                      <w:rPr>
                        <w:noProof/>
                      </w:rPr>
                      <w:lastRenderedPageBreak/>
                      <w:t xml:space="preserve">Marin, G., M. Marino and C. Pellegrin (2018), “The Impact of the European Emission Trading Scheme on Multiple Measures of Economic Performance”, </w:t>
                    </w:r>
                    <w:r>
                      <w:rPr>
                        <w:i/>
                        <w:iCs/>
                        <w:noProof/>
                      </w:rPr>
                      <w:t>Environmental and Resource Economics</w:t>
                    </w:r>
                    <w:r>
                      <w:rPr>
                        <w:noProof/>
                      </w:rPr>
                      <w:t xml:space="preserve">, Vol. 71/2, pp. 551-582, </w:t>
                    </w:r>
                    <w:r>
                      <w:rPr>
                        <w:noProof/>
                        <w:color w:val="0000FF"/>
                        <w:u w:val="single"/>
                      </w:rPr>
                      <w:t>http://dx.doi.org/10.1007/s10640-017-0173-0</w:t>
                    </w:r>
                    <w:r>
                      <w:rPr>
                        <w:noProof/>
                      </w:rPr>
                      <w:t>.</w:t>
                    </w:r>
                  </w:p>
                  <w:p w14:paraId="543C46A1" w14:textId="77777777" w:rsidR="00700B9E" w:rsidRPr="00512445" w:rsidRDefault="00700B9E" w:rsidP="00512445">
                    <w:pPr>
                      <w:tabs>
                        <w:tab w:val="clear" w:pos="850"/>
                        <w:tab w:val="clear" w:pos="1191"/>
                        <w:tab w:val="clear" w:pos="1531"/>
                      </w:tabs>
                      <w:spacing w:before="100" w:beforeAutospacing="1" w:after="100" w:afterAutospacing="1"/>
                      <w:ind w:left="480" w:hanging="480"/>
                      <w:jc w:val="left"/>
                    </w:pPr>
                  </w:p>
                </w:tc>
                <w:tc>
                  <w:tcPr>
                    <w:tcW w:w="600" w:type="dxa"/>
                    <w:noWrap/>
                    <w:hideMark/>
                  </w:tcPr>
                  <w:p w14:paraId="276E67A8" w14:textId="77777777" w:rsidR="004D61AD" w:rsidRDefault="004D61AD" w:rsidP="00181986">
                    <w:pPr>
                      <w:spacing w:before="100" w:beforeAutospacing="1" w:after="100" w:afterAutospacing="1"/>
                      <w:jc w:val="right"/>
                      <w:rPr>
                        <w:noProof/>
                      </w:rPr>
                    </w:pPr>
                    <w:r>
                      <w:rPr>
                        <w:noProof/>
                        <w:color w:val="000000"/>
                        <w:sz w:val="16"/>
                        <w:szCs w:val="16"/>
                      </w:rPr>
                      <w:t>[31]</w:t>
                    </w:r>
                  </w:p>
                </w:tc>
              </w:tr>
              <w:tr w:rsidR="004D61AD" w14:paraId="397AA6FD" w14:textId="77777777" w:rsidTr="00181986">
                <w:trPr>
                  <w:cantSplit/>
                </w:trPr>
                <w:tc>
                  <w:tcPr>
                    <w:tcW w:w="8699" w:type="dxa"/>
                    <w:hideMark/>
                  </w:tcPr>
                  <w:p w14:paraId="6C2F3A1B" w14:textId="77777777" w:rsidR="008D4CAA" w:rsidRDefault="008D4CAA" w:rsidP="00181986">
                    <w:pPr>
                      <w:pStyle w:val="Bibliographie"/>
                      <w:spacing w:line="240" w:lineRule="exact"/>
                      <w:rPr>
                        <w:noProof/>
                      </w:rPr>
                    </w:pPr>
                    <w:r>
                      <w:t xml:space="preserve">Martin, R., L. B. de Preux, U. J. Wagner (2014) "The impact of a carbon tax on manufacturing: Evidence from microdata", </w:t>
                    </w:r>
                    <w:r w:rsidRPr="00512445">
                      <w:rPr>
                        <w:i/>
                        <w:iCs/>
                      </w:rPr>
                      <w:t>Journal of Public Economics</w:t>
                    </w:r>
                    <w:r>
                      <w:t>, Volume 117, 2014, Pages 1-14, ISSN 0047-2727, https://doi.org/10.1016/j.jpubeco.2014.04.016.</w:t>
                    </w:r>
                  </w:p>
                  <w:p w14:paraId="6AD50FD9" w14:textId="77777777" w:rsidR="00700B9E" w:rsidRPr="00512445" w:rsidRDefault="00700B9E" w:rsidP="00512445">
                    <w:pPr>
                      <w:pStyle w:val="Bibliographie"/>
                      <w:spacing w:line="240" w:lineRule="exact"/>
                    </w:pPr>
                    <w:r w:rsidRPr="00512445">
                      <w:t xml:space="preserve">Martin, R., Muûls, M., Laure, L. B., &amp; Wagner, U. J. (2014). </w:t>
                    </w:r>
                    <w:r>
                      <w:t>"</w:t>
                    </w:r>
                    <w:r w:rsidRPr="00512445">
                      <w:t>Industry compensation under relocation risk: A firm-level analysis of the EU emissions trading scheme.</w:t>
                    </w:r>
                    <w:r>
                      <w:t>"</w:t>
                    </w:r>
                    <w:r w:rsidRPr="00512445">
                      <w:t xml:space="preserve"> </w:t>
                    </w:r>
                    <w:r w:rsidRPr="00512445">
                      <w:rPr>
                        <w:i/>
                        <w:iCs/>
                      </w:rPr>
                      <w:t>American Economic Review</w:t>
                    </w:r>
                    <w:r w:rsidRPr="00512445">
                      <w:t>, 104(8), 2482–2508. https://doi.org/10.1257/aer.104.8.2482</w:t>
                    </w:r>
                  </w:p>
                  <w:p w14:paraId="0ACDE35C" w14:textId="4D22E169" w:rsidR="004D61AD" w:rsidRDefault="004D61AD" w:rsidP="00181986">
                    <w:pPr>
                      <w:pStyle w:val="Bibliographie"/>
                      <w:spacing w:line="240" w:lineRule="exact"/>
                      <w:rPr>
                        <w:noProof/>
                      </w:rPr>
                    </w:pPr>
                  </w:p>
                </w:tc>
                <w:tc>
                  <w:tcPr>
                    <w:tcW w:w="600" w:type="dxa"/>
                    <w:noWrap/>
                    <w:hideMark/>
                  </w:tcPr>
                  <w:p w14:paraId="1797E6B7" w14:textId="77777777" w:rsidR="004D61AD" w:rsidRDefault="004D61AD" w:rsidP="00181986">
                    <w:pPr>
                      <w:spacing w:before="100" w:beforeAutospacing="1" w:after="100" w:afterAutospacing="1"/>
                      <w:jc w:val="right"/>
                      <w:rPr>
                        <w:noProof/>
                      </w:rPr>
                    </w:pPr>
                    <w:r>
                      <w:rPr>
                        <w:noProof/>
                        <w:color w:val="000000"/>
                        <w:sz w:val="16"/>
                        <w:szCs w:val="16"/>
                      </w:rPr>
                      <w:t>[60]</w:t>
                    </w:r>
                  </w:p>
                </w:tc>
              </w:tr>
              <w:tr w:rsidR="004D61AD" w14:paraId="77AFE686" w14:textId="77777777" w:rsidTr="00181986">
                <w:trPr>
                  <w:cantSplit/>
                </w:trPr>
                <w:tc>
                  <w:tcPr>
                    <w:tcW w:w="8699" w:type="dxa"/>
                    <w:hideMark/>
                  </w:tcPr>
                  <w:p w14:paraId="31650DB4" w14:textId="77777777" w:rsidR="004D61AD" w:rsidRDefault="004D61AD" w:rsidP="00181986">
                    <w:pPr>
                      <w:pStyle w:val="Bibliographie"/>
                      <w:spacing w:line="240" w:lineRule="exact"/>
                      <w:rPr>
                        <w:noProof/>
                      </w:rPr>
                    </w:pPr>
                    <w:r>
                      <w:rPr>
                        <w:noProof/>
                      </w:rPr>
                      <w:t xml:space="preserve">Martin, R., M. Muûls and U. Wagner (2016), “The impact of the European Union emissions trading scheme on regulated firms: What is the evidence after ten years?”, </w:t>
                    </w:r>
                    <w:r>
                      <w:rPr>
                        <w:i/>
                        <w:iCs/>
                        <w:noProof/>
                      </w:rPr>
                      <w:t>Review of Environmental Economics and Policy</w:t>
                    </w:r>
                    <w:r>
                      <w:rPr>
                        <w:noProof/>
                      </w:rPr>
                      <w:t>,</w:t>
                    </w:r>
                    <w:r w:rsidR="00D42B97">
                      <w:rPr>
                        <w:noProof/>
                      </w:rPr>
                      <w:t xml:space="preserve"> Vol. 10/1, pp. 129-148.</w:t>
                    </w:r>
                    <w:r>
                      <w:rPr>
                        <w:noProof/>
                      </w:rPr>
                      <w:t xml:space="preserve"> </w:t>
                    </w:r>
                    <w:r>
                      <w:rPr>
                        <w:noProof/>
                        <w:color w:val="0000FF"/>
                        <w:u w:val="single"/>
                      </w:rPr>
                      <w:t>http://dx.doi.org/10.1093/reep/rev016</w:t>
                    </w:r>
                    <w:r>
                      <w:rPr>
                        <w:noProof/>
                      </w:rPr>
                      <w:t>.</w:t>
                    </w:r>
                  </w:p>
                </w:tc>
                <w:tc>
                  <w:tcPr>
                    <w:tcW w:w="600" w:type="dxa"/>
                    <w:noWrap/>
                    <w:hideMark/>
                  </w:tcPr>
                  <w:p w14:paraId="0CCB8B69" w14:textId="77777777" w:rsidR="004D61AD" w:rsidRDefault="004D61AD" w:rsidP="00181986">
                    <w:pPr>
                      <w:spacing w:before="100" w:beforeAutospacing="1" w:after="100" w:afterAutospacing="1"/>
                      <w:jc w:val="right"/>
                      <w:rPr>
                        <w:noProof/>
                      </w:rPr>
                    </w:pPr>
                    <w:r>
                      <w:rPr>
                        <w:noProof/>
                        <w:color w:val="000000"/>
                        <w:sz w:val="16"/>
                        <w:szCs w:val="16"/>
                      </w:rPr>
                      <w:t>[8]</w:t>
                    </w:r>
                  </w:p>
                </w:tc>
              </w:tr>
              <w:tr w:rsidR="004D61AD" w14:paraId="5BEA068C" w14:textId="77777777" w:rsidTr="00181986">
                <w:trPr>
                  <w:cantSplit/>
                </w:trPr>
                <w:tc>
                  <w:tcPr>
                    <w:tcW w:w="8699" w:type="dxa"/>
                    <w:hideMark/>
                  </w:tcPr>
                  <w:p w14:paraId="322BA967" w14:textId="77777777" w:rsidR="004D61AD" w:rsidRDefault="004D61AD" w:rsidP="00181986">
                    <w:pPr>
                      <w:pStyle w:val="Bibliographie"/>
                      <w:spacing w:line="240" w:lineRule="exact"/>
                      <w:rPr>
                        <w:noProof/>
                      </w:rPr>
                    </w:pPr>
                    <w:r>
                      <w:rPr>
                        <w:noProof/>
                      </w:rPr>
                      <w:t xml:space="preserve">Mo, J., L. Zhu and Y. Fan (2012), “The impact of the EU ETS on the corporate value of European electricity corporations”, </w:t>
                    </w:r>
                    <w:r>
                      <w:rPr>
                        <w:i/>
                        <w:iCs/>
                        <w:noProof/>
                      </w:rPr>
                      <w:t>Energy</w:t>
                    </w:r>
                    <w:r>
                      <w:rPr>
                        <w:noProof/>
                      </w:rPr>
                      <w:t xml:space="preserve">, Vol. 45, </w:t>
                    </w:r>
                    <w:r>
                      <w:rPr>
                        <w:noProof/>
                        <w:color w:val="0000FF"/>
                        <w:u w:val="single"/>
                      </w:rPr>
                      <w:t>https://www.sciencedirect.com/science/article/pii/S0360544212001326</w:t>
                    </w:r>
                    <w:r>
                      <w:rPr>
                        <w:noProof/>
                      </w:rPr>
                      <w:t>, pp. 3-11.</w:t>
                    </w:r>
                  </w:p>
                </w:tc>
                <w:tc>
                  <w:tcPr>
                    <w:tcW w:w="600" w:type="dxa"/>
                    <w:noWrap/>
                    <w:hideMark/>
                  </w:tcPr>
                  <w:p w14:paraId="500E9EAC" w14:textId="77777777" w:rsidR="004D61AD" w:rsidRDefault="004D61AD" w:rsidP="00181986">
                    <w:pPr>
                      <w:spacing w:before="100" w:beforeAutospacing="1" w:after="100" w:afterAutospacing="1"/>
                      <w:jc w:val="right"/>
                      <w:rPr>
                        <w:noProof/>
                      </w:rPr>
                    </w:pPr>
                    <w:r>
                      <w:rPr>
                        <w:noProof/>
                        <w:color w:val="000000"/>
                        <w:sz w:val="16"/>
                        <w:szCs w:val="16"/>
                      </w:rPr>
                      <w:t>[51]</w:t>
                    </w:r>
                  </w:p>
                </w:tc>
              </w:tr>
              <w:tr w:rsidR="004D61AD" w14:paraId="1AFE23D5" w14:textId="77777777" w:rsidTr="00181986">
                <w:trPr>
                  <w:cantSplit/>
                </w:trPr>
                <w:tc>
                  <w:tcPr>
                    <w:tcW w:w="8699" w:type="dxa"/>
                    <w:hideMark/>
                  </w:tcPr>
                  <w:p w14:paraId="3C0A0F70" w14:textId="77777777" w:rsidR="004D61AD" w:rsidRDefault="004D61AD" w:rsidP="00181986">
                    <w:pPr>
                      <w:pStyle w:val="Bibliographie"/>
                      <w:spacing w:line="240" w:lineRule="exact"/>
                      <w:rPr>
                        <w:noProof/>
                      </w:rPr>
                    </w:pPr>
                    <w:r>
                      <w:rPr>
                        <w:noProof/>
                      </w:rPr>
                      <w:t xml:space="preserve">Moreno, B. and P. Pereira da Silva (2016), “How do Spanish polluting sectors ' stock market returns react to European Union allowances prices ? A panel data approach”, </w:t>
                    </w:r>
                    <w:r>
                      <w:rPr>
                        <w:i/>
                        <w:iCs/>
                        <w:noProof/>
                      </w:rPr>
                      <w:t>Energy</w:t>
                    </w:r>
                    <w:r>
                      <w:rPr>
                        <w:noProof/>
                      </w:rPr>
                      <w:t xml:space="preserve">, Vol. 103, pp. 240-250, </w:t>
                    </w:r>
                    <w:r>
                      <w:rPr>
                        <w:noProof/>
                        <w:color w:val="0000FF"/>
                        <w:u w:val="single"/>
                      </w:rPr>
                      <w:t>http://dx.doi.org/10.1016/j.energy.2016.02.094</w:t>
                    </w:r>
                    <w:r>
                      <w:rPr>
                        <w:noProof/>
                      </w:rPr>
                      <w:t>.</w:t>
                    </w:r>
                  </w:p>
                </w:tc>
                <w:tc>
                  <w:tcPr>
                    <w:tcW w:w="600" w:type="dxa"/>
                    <w:noWrap/>
                    <w:hideMark/>
                  </w:tcPr>
                  <w:p w14:paraId="68FF08B6" w14:textId="77777777" w:rsidR="004D61AD" w:rsidRDefault="004D61AD" w:rsidP="00181986">
                    <w:pPr>
                      <w:spacing w:before="100" w:beforeAutospacing="1" w:after="100" w:afterAutospacing="1"/>
                      <w:jc w:val="right"/>
                      <w:rPr>
                        <w:noProof/>
                      </w:rPr>
                    </w:pPr>
                    <w:r>
                      <w:rPr>
                        <w:noProof/>
                        <w:color w:val="000000"/>
                        <w:sz w:val="16"/>
                        <w:szCs w:val="16"/>
                      </w:rPr>
                      <w:t>[48]</w:t>
                    </w:r>
                  </w:p>
                </w:tc>
              </w:tr>
              <w:tr w:rsidR="004D61AD" w14:paraId="292E56D1" w14:textId="77777777" w:rsidTr="00181986">
                <w:trPr>
                  <w:cantSplit/>
                </w:trPr>
                <w:tc>
                  <w:tcPr>
                    <w:tcW w:w="8699" w:type="dxa"/>
                    <w:hideMark/>
                  </w:tcPr>
                  <w:p w14:paraId="22B16392" w14:textId="33DEBFC6" w:rsidR="004D61AD" w:rsidRDefault="004D61AD" w:rsidP="00181986">
                    <w:pPr>
                      <w:pStyle w:val="Bibliographie"/>
                      <w:spacing w:line="240" w:lineRule="exact"/>
                      <w:rPr>
                        <w:noProof/>
                      </w:rPr>
                    </w:pPr>
                  </w:p>
                </w:tc>
                <w:tc>
                  <w:tcPr>
                    <w:tcW w:w="600" w:type="dxa"/>
                    <w:noWrap/>
                    <w:hideMark/>
                  </w:tcPr>
                  <w:p w14:paraId="0A458C91" w14:textId="77777777" w:rsidR="004D61AD" w:rsidRDefault="004D61AD" w:rsidP="00181986">
                    <w:pPr>
                      <w:spacing w:before="100" w:beforeAutospacing="1" w:after="100" w:afterAutospacing="1"/>
                      <w:jc w:val="right"/>
                      <w:rPr>
                        <w:noProof/>
                      </w:rPr>
                    </w:pPr>
                    <w:r>
                      <w:rPr>
                        <w:noProof/>
                        <w:color w:val="000000"/>
                        <w:sz w:val="16"/>
                        <w:szCs w:val="16"/>
                      </w:rPr>
                      <w:t>[2]</w:t>
                    </w:r>
                  </w:p>
                </w:tc>
              </w:tr>
              <w:tr w:rsidR="004D61AD" w14:paraId="6D8918C7" w14:textId="77777777" w:rsidTr="00181986">
                <w:trPr>
                  <w:cantSplit/>
                </w:trPr>
                <w:tc>
                  <w:tcPr>
                    <w:tcW w:w="8699" w:type="dxa"/>
                    <w:hideMark/>
                  </w:tcPr>
                  <w:p w14:paraId="71C555FB" w14:textId="77777777" w:rsidR="004D61AD" w:rsidRDefault="004D61AD" w:rsidP="00181986">
                    <w:pPr>
                      <w:pStyle w:val="Bibliographie"/>
                      <w:spacing w:line="240" w:lineRule="exact"/>
                      <w:rPr>
                        <w:noProof/>
                      </w:rPr>
                    </w:pPr>
                    <w:r>
                      <w:rPr>
                        <w:noProof/>
                      </w:rPr>
                      <w:t xml:space="preserve">Nachtigall, D. (2019), “Dynamic Climate Policy Under Firm Relocation: The Implications of Phasing Out Free Allowances”, </w:t>
                    </w:r>
                    <w:r>
                      <w:rPr>
                        <w:i/>
                        <w:iCs/>
                        <w:noProof/>
                      </w:rPr>
                      <w:t>Environmental and Resource Economics</w:t>
                    </w:r>
                    <w:r>
                      <w:rPr>
                        <w:noProof/>
                      </w:rPr>
                      <w:t xml:space="preserve">, Vol. 74/1, pp. 473-503, </w:t>
                    </w:r>
                    <w:r>
                      <w:rPr>
                        <w:noProof/>
                        <w:color w:val="0000FF"/>
                        <w:u w:val="single"/>
                      </w:rPr>
                      <w:t>http://dx.doi.org/10.1007/s10640-019-00326-x</w:t>
                    </w:r>
                    <w:r>
                      <w:rPr>
                        <w:noProof/>
                      </w:rPr>
                      <w:t>.</w:t>
                    </w:r>
                  </w:p>
                </w:tc>
                <w:tc>
                  <w:tcPr>
                    <w:tcW w:w="600" w:type="dxa"/>
                    <w:noWrap/>
                    <w:hideMark/>
                  </w:tcPr>
                  <w:p w14:paraId="3A807805" w14:textId="77777777" w:rsidR="004D61AD" w:rsidRDefault="004D61AD" w:rsidP="00181986">
                    <w:pPr>
                      <w:spacing w:before="100" w:beforeAutospacing="1" w:after="100" w:afterAutospacing="1"/>
                      <w:jc w:val="right"/>
                      <w:rPr>
                        <w:noProof/>
                      </w:rPr>
                    </w:pPr>
                    <w:r>
                      <w:rPr>
                        <w:noProof/>
                        <w:color w:val="000000"/>
                        <w:sz w:val="16"/>
                        <w:szCs w:val="16"/>
                      </w:rPr>
                      <w:t>[65]</w:t>
                    </w:r>
                  </w:p>
                </w:tc>
              </w:tr>
              <w:tr w:rsidR="004D61AD" w14:paraId="2F2C304E" w14:textId="77777777" w:rsidTr="00181986">
                <w:trPr>
                  <w:cantSplit/>
                </w:trPr>
                <w:tc>
                  <w:tcPr>
                    <w:tcW w:w="8699" w:type="dxa"/>
                    <w:hideMark/>
                  </w:tcPr>
                  <w:p w14:paraId="3F8876A4" w14:textId="77777777" w:rsidR="004D61AD" w:rsidRDefault="004D61AD" w:rsidP="00181986">
                    <w:pPr>
                      <w:pStyle w:val="Bibliographie"/>
                      <w:spacing w:line="240" w:lineRule="exact"/>
                      <w:rPr>
                        <w:noProof/>
                      </w:rPr>
                    </w:pPr>
                    <w:r>
                      <w:rPr>
                        <w:noProof/>
                      </w:rPr>
                      <w:t xml:space="preserve">Naegele, H. and A. Zaklan (2019), “Does the EU ETS cause carbon leakage in European manufacturing?”, </w:t>
                    </w:r>
                    <w:r>
                      <w:rPr>
                        <w:i/>
                        <w:iCs/>
                        <w:noProof/>
                      </w:rPr>
                      <w:t>Journal of Environmental Economics and Management</w:t>
                    </w:r>
                    <w:r>
                      <w:rPr>
                        <w:noProof/>
                      </w:rPr>
                      <w:t xml:space="preserve">, Vol. 93, pp. 125-147, </w:t>
                    </w:r>
                    <w:r>
                      <w:rPr>
                        <w:noProof/>
                        <w:color w:val="0000FF"/>
                        <w:u w:val="single"/>
                      </w:rPr>
                      <w:t>http://dx.doi.org/10.1016/j.jeem.2018.11.004</w:t>
                    </w:r>
                    <w:r>
                      <w:rPr>
                        <w:noProof/>
                      </w:rPr>
                      <w:t>.</w:t>
                    </w:r>
                  </w:p>
                </w:tc>
                <w:tc>
                  <w:tcPr>
                    <w:tcW w:w="600" w:type="dxa"/>
                    <w:noWrap/>
                    <w:hideMark/>
                  </w:tcPr>
                  <w:p w14:paraId="713C3E3A" w14:textId="77777777" w:rsidR="004D61AD" w:rsidRDefault="004D61AD" w:rsidP="00181986">
                    <w:pPr>
                      <w:spacing w:before="100" w:beforeAutospacing="1" w:after="100" w:afterAutospacing="1"/>
                      <w:jc w:val="right"/>
                      <w:rPr>
                        <w:noProof/>
                      </w:rPr>
                    </w:pPr>
                    <w:r>
                      <w:rPr>
                        <w:noProof/>
                        <w:color w:val="000000"/>
                        <w:sz w:val="16"/>
                        <w:szCs w:val="16"/>
                      </w:rPr>
                      <w:t>[18]</w:t>
                    </w:r>
                  </w:p>
                </w:tc>
              </w:tr>
              <w:tr w:rsidR="004D61AD" w14:paraId="4DBEB0E4" w14:textId="77777777" w:rsidTr="00181986">
                <w:trPr>
                  <w:cantSplit/>
                </w:trPr>
                <w:tc>
                  <w:tcPr>
                    <w:tcW w:w="8699" w:type="dxa"/>
                    <w:hideMark/>
                  </w:tcPr>
                  <w:p w14:paraId="4D45F647" w14:textId="77777777" w:rsidR="004D61AD" w:rsidRDefault="004D61AD" w:rsidP="00181986">
                    <w:pPr>
                      <w:pStyle w:val="Bibliographie"/>
                      <w:spacing w:line="240" w:lineRule="exact"/>
                      <w:rPr>
                        <w:noProof/>
                      </w:rPr>
                    </w:pPr>
                    <w:r>
                      <w:rPr>
                        <w:noProof/>
                      </w:rPr>
                      <w:t xml:space="preserve">Oberndorfer, U. (2008), “EU Emission Allowances and the stock market : Evidence from the electricity industry”, </w:t>
                    </w:r>
                    <w:r>
                      <w:rPr>
                        <w:i/>
                        <w:iCs/>
                        <w:noProof/>
                      </w:rPr>
                      <w:t>Ecological Economics</w:t>
                    </w:r>
                    <w:r>
                      <w:rPr>
                        <w:noProof/>
                      </w:rPr>
                      <w:t xml:space="preserve">, Vol. 68/4, pp. 1116-1126, </w:t>
                    </w:r>
                    <w:r>
                      <w:rPr>
                        <w:noProof/>
                        <w:color w:val="0000FF"/>
                        <w:u w:val="single"/>
                      </w:rPr>
                      <w:t>http://dx.doi.org/10.1016/j.ecolecon.2008.07.026</w:t>
                    </w:r>
                    <w:r>
                      <w:rPr>
                        <w:noProof/>
                      </w:rPr>
                      <w:t>.</w:t>
                    </w:r>
                  </w:p>
                </w:tc>
                <w:tc>
                  <w:tcPr>
                    <w:tcW w:w="600" w:type="dxa"/>
                    <w:noWrap/>
                    <w:hideMark/>
                  </w:tcPr>
                  <w:p w14:paraId="1005E8BF" w14:textId="77777777" w:rsidR="004D61AD" w:rsidRDefault="004D61AD" w:rsidP="00181986">
                    <w:pPr>
                      <w:spacing w:before="100" w:beforeAutospacing="1" w:after="100" w:afterAutospacing="1"/>
                      <w:jc w:val="right"/>
                      <w:rPr>
                        <w:noProof/>
                      </w:rPr>
                    </w:pPr>
                    <w:r>
                      <w:rPr>
                        <w:noProof/>
                        <w:color w:val="000000"/>
                        <w:sz w:val="16"/>
                        <w:szCs w:val="16"/>
                      </w:rPr>
                      <w:t>[49]</w:t>
                    </w:r>
                  </w:p>
                </w:tc>
              </w:tr>
              <w:tr w:rsidR="004D61AD" w14:paraId="0DAE0589" w14:textId="77777777" w:rsidTr="00181986">
                <w:trPr>
                  <w:cantSplit/>
                </w:trPr>
                <w:tc>
                  <w:tcPr>
                    <w:tcW w:w="8699" w:type="dxa"/>
                    <w:hideMark/>
                  </w:tcPr>
                  <w:p w14:paraId="435B591D" w14:textId="77777777" w:rsidR="004D61AD" w:rsidRDefault="004D61AD" w:rsidP="00181986">
                    <w:pPr>
                      <w:pStyle w:val="Bibliographie"/>
                      <w:spacing w:line="240" w:lineRule="exact"/>
                      <w:rPr>
                        <w:noProof/>
                      </w:rPr>
                    </w:pPr>
                    <w:r>
                      <w:rPr>
                        <w:noProof/>
                      </w:rPr>
                      <w:t xml:space="preserve">OECD (2018), </w:t>
                    </w:r>
                    <w:r>
                      <w:rPr>
                        <w:i/>
                        <w:iCs/>
                        <w:noProof/>
                      </w:rPr>
                      <w:t>Effective carbon rates: Pricing CO</w:t>
                    </w:r>
                    <w:r w:rsidRPr="00512445">
                      <w:rPr>
                        <w:i/>
                        <w:iCs/>
                        <w:noProof/>
                        <w:vertAlign w:val="subscript"/>
                      </w:rPr>
                      <w:t>2</w:t>
                    </w:r>
                    <w:r>
                      <w:rPr>
                        <w:i/>
                        <w:iCs/>
                        <w:noProof/>
                      </w:rPr>
                      <w:t xml:space="preserve"> through Taxes and Emissions Trading Systems.</w:t>
                    </w:r>
                    <w:r>
                      <w:rPr>
                        <w:noProof/>
                      </w:rPr>
                      <w:t>, OECD Publishing, Paris.</w:t>
                    </w:r>
                  </w:p>
                  <w:p w14:paraId="2794FBF0" w14:textId="23091324" w:rsidR="006367D5" w:rsidRPr="00512445" w:rsidRDefault="00195F19" w:rsidP="00195F19">
                    <w:pPr>
                      <w:pStyle w:val="Bibliographie"/>
                      <w:spacing w:line="240" w:lineRule="exact"/>
                    </w:pPr>
                    <w:r w:rsidRPr="00512445">
                      <w:rPr>
                        <w:rFonts w:hint="eastAsia"/>
                        <w:noProof/>
                      </w:rPr>
                      <w:t xml:space="preserve">OECD (2019), Taxing Energy Use 2019: Using Taxes for Climate Action, OECD Publishing, Paris, </w:t>
                    </w:r>
                    <w:hyperlink r:id="rId25" w:history="1">
                      <w:r w:rsidRPr="00512445">
                        <w:rPr>
                          <w:rFonts w:hint="eastAsia"/>
                          <w:noProof/>
                        </w:rPr>
                        <w:t>https://doi.org/10.1787/058ca239-en</w:t>
                      </w:r>
                    </w:hyperlink>
                    <w:r w:rsidRPr="00512445">
                      <w:rPr>
                        <w:rFonts w:hint="eastAsia"/>
                        <w:noProof/>
                      </w:rPr>
                      <w:t>.</w:t>
                    </w:r>
                  </w:p>
                </w:tc>
                <w:tc>
                  <w:tcPr>
                    <w:tcW w:w="600" w:type="dxa"/>
                    <w:noWrap/>
                    <w:hideMark/>
                  </w:tcPr>
                  <w:p w14:paraId="1991E940" w14:textId="77777777" w:rsidR="004D61AD" w:rsidRDefault="004D61AD" w:rsidP="00181986">
                    <w:pPr>
                      <w:spacing w:before="100" w:beforeAutospacing="1" w:after="100" w:afterAutospacing="1"/>
                      <w:jc w:val="right"/>
                      <w:rPr>
                        <w:noProof/>
                      </w:rPr>
                    </w:pPr>
                    <w:r>
                      <w:rPr>
                        <w:noProof/>
                        <w:color w:val="000000"/>
                        <w:sz w:val="16"/>
                        <w:szCs w:val="16"/>
                      </w:rPr>
                      <w:t>[3]</w:t>
                    </w:r>
                  </w:p>
                </w:tc>
              </w:tr>
              <w:tr w:rsidR="004D61AD" w14:paraId="13DDABEE" w14:textId="77777777" w:rsidTr="00181986">
                <w:trPr>
                  <w:cantSplit/>
                </w:trPr>
                <w:tc>
                  <w:tcPr>
                    <w:tcW w:w="8699" w:type="dxa"/>
                    <w:hideMark/>
                  </w:tcPr>
                  <w:p w14:paraId="6816FE9B" w14:textId="77777777" w:rsidR="008D0107" w:rsidRPr="00512445" w:rsidRDefault="008D0107" w:rsidP="00512445">
                    <w:pPr>
                      <w:tabs>
                        <w:tab w:val="clear" w:pos="850"/>
                        <w:tab w:val="clear" w:pos="1191"/>
                        <w:tab w:val="clear" w:pos="1531"/>
                      </w:tabs>
                      <w:spacing w:before="100" w:beforeAutospacing="1" w:after="100" w:afterAutospacing="1"/>
                      <w:ind w:left="480" w:hanging="480"/>
                      <w:jc w:val="left"/>
                      <w:rPr>
                        <w:rFonts w:eastAsia="Times New Roman"/>
                        <w:sz w:val="24"/>
                        <w:szCs w:val="24"/>
                        <w:lang w:eastAsia="en-GB"/>
                      </w:rPr>
                    </w:pPr>
                    <w:r w:rsidRPr="008D0107">
                      <w:rPr>
                        <w:rFonts w:eastAsia="Times New Roman"/>
                        <w:sz w:val="24"/>
                        <w:szCs w:val="24"/>
                        <w:lang w:eastAsia="en-GB"/>
                      </w:rPr>
                      <w:t>Partnership for Market Readiness (2015)</w:t>
                    </w:r>
                    <w:r>
                      <w:rPr>
                        <w:rFonts w:eastAsia="Times New Roman"/>
                        <w:sz w:val="24"/>
                        <w:szCs w:val="24"/>
                        <w:lang w:eastAsia="en-GB"/>
                      </w:rPr>
                      <w:t>,</w:t>
                    </w:r>
                    <w:r w:rsidRPr="008D0107">
                      <w:rPr>
                        <w:rFonts w:eastAsia="Times New Roman"/>
                        <w:sz w:val="24"/>
                        <w:szCs w:val="24"/>
                        <w:lang w:eastAsia="en-GB"/>
                      </w:rPr>
                      <w:t xml:space="preserve"> </w:t>
                    </w:r>
                    <w:r>
                      <w:rPr>
                        <w:rFonts w:eastAsia="Times New Roman"/>
                        <w:sz w:val="24"/>
                        <w:szCs w:val="24"/>
                        <w:lang w:eastAsia="en-GB"/>
                      </w:rPr>
                      <w:t>"</w:t>
                    </w:r>
                    <w:r w:rsidRPr="008D0107">
                      <w:rPr>
                        <w:rFonts w:eastAsia="Times New Roman"/>
                        <w:sz w:val="24"/>
                        <w:szCs w:val="24"/>
                        <w:lang w:eastAsia="en-GB"/>
                      </w:rPr>
                      <w:t>Carbon Leakage</w:t>
                    </w:r>
                    <w:r>
                      <w:rPr>
                        <w:rFonts w:eastAsia="Times New Roman"/>
                        <w:sz w:val="24"/>
                        <w:szCs w:val="24"/>
                        <w:lang w:eastAsia="en-GB"/>
                      </w:rPr>
                      <w:t>",</w:t>
                    </w:r>
                    <w:r w:rsidRPr="008D0107">
                      <w:rPr>
                        <w:rFonts w:eastAsia="Times New Roman"/>
                        <w:sz w:val="24"/>
                        <w:szCs w:val="24"/>
                        <w:lang w:eastAsia="en-GB"/>
                      </w:rPr>
                      <w:t xml:space="preserve"> </w:t>
                    </w:r>
                    <w:r w:rsidRPr="008D0107">
                      <w:rPr>
                        <w:rFonts w:eastAsia="Times New Roman"/>
                        <w:i/>
                        <w:iCs/>
                        <w:sz w:val="24"/>
                        <w:szCs w:val="24"/>
                        <w:lang w:eastAsia="en-GB"/>
                      </w:rPr>
                      <w:t>PMR Technical Note 11. World Bank, Washington, DC.</w:t>
                    </w:r>
                  </w:p>
                  <w:p w14:paraId="55327618" w14:textId="77777777" w:rsidR="004D61AD" w:rsidRDefault="004D61AD" w:rsidP="00181986">
                    <w:pPr>
                      <w:pStyle w:val="Bibliographie"/>
                      <w:spacing w:line="240" w:lineRule="exact"/>
                      <w:rPr>
                        <w:noProof/>
                      </w:rPr>
                    </w:pPr>
                    <w:r>
                      <w:rPr>
                        <w:noProof/>
                      </w:rPr>
                      <w:t xml:space="preserve">Pereira da Silva, P., B. Moreno and N. Carvalho (2016), “Firm-specific impacts of CO2 prices on the stock market value of the Spanish power industry”, </w:t>
                    </w:r>
                    <w:r>
                      <w:rPr>
                        <w:i/>
                        <w:iCs/>
                        <w:noProof/>
                      </w:rPr>
                      <w:t>Energy Policy</w:t>
                    </w:r>
                    <w:r>
                      <w:rPr>
                        <w:noProof/>
                      </w:rPr>
                      <w:t xml:space="preserve">, Vol. 94, pp. 492-501, </w:t>
                    </w:r>
                    <w:r>
                      <w:rPr>
                        <w:noProof/>
                        <w:color w:val="0000FF"/>
                        <w:u w:val="single"/>
                      </w:rPr>
                      <w:t>http://dx.doi.org/10.1016/j.enpol.2016.01.005</w:t>
                    </w:r>
                    <w:r>
                      <w:rPr>
                        <w:noProof/>
                      </w:rPr>
                      <w:t>.</w:t>
                    </w:r>
                  </w:p>
                </w:tc>
                <w:tc>
                  <w:tcPr>
                    <w:tcW w:w="600" w:type="dxa"/>
                    <w:noWrap/>
                    <w:hideMark/>
                  </w:tcPr>
                  <w:p w14:paraId="0BE9653E" w14:textId="77777777" w:rsidR="004D61AD" w:rsidRDefault="004D61AD" w:rsidP="00181986">
                    <w:pPr>
                      <w:spacing w:before="100" w:beforeAutospacing="1" w:after="100" w:afterAutospacing="1"/>
                      <w:jc w:val="right"/>
                      <w:rPr>
                        <w:noProof/>
                      </w:rPr>
                    </w:pPr>
                    <w:r>
                      <w:rPr>
                        <w:noProof/>
                        <w:color w:val="000000"/>
                        <w:sz w:val="16"/>
                        <w:szCs w:val="16"/>
                      </w:rPr>
                      <w:t>[47]</w:t>
                    </w:r>
                  </w:p>
                </w:tc>
              </w:tr>
              <w:tr w:rsidR="004D61AD" w14:paraId="2000CE4A" w14:textId="77777777" w:rsidTr="00181986">
                <w:trPr>
                  <w:cantSplit/>
                </w:trPr>
                <w:tc>
                  <w:tcPr>
                    <w:tcW w:w="8699" w:type="dxa"/>
                    <w:hideMark/>
                  </w:tcPr>
                  <w:p w14:paraId="3A1989FA" w14:textId="77777777" w:rsidR="004D61AD" w:rsidRDefault="004D61AD" w:rsidP="00181986">
                    <w:pPr>
                      <w:pStyle w:val="Bibliographie"/>
                      <w:spacing w:line="240" w:lineRule="exact"/>
                      <w:rPr>
                        <w:noProof/>
                      </w:rPr>
                    </w:pPr>
                    <w:r>
                      <w:rPr>
                        <w:noProof/>
                      </w:rPr>
                      <w:lastRenderedPageBreak/>
                      <w:t xml:space="preserve">Petrick, S. and U. Wagner (2014), “The impact of carbon trading on industry: Evidence from German manufacturing firms”, </w:t>
                    </w:r>
                    <w:r>
                      <w:rPr>
                        <w:i/>
                        <w:iCs/>
                        <w:noProof/>
                      </w:rPr>
                      <w:t>Kiel Working Paper, No. 1912</w:t>
                    </w:r>
                    <w:r>
                      <w:rPr>
                        <w:noProof/>
                      </w:rPr>
                      <w:t>.</w:t>
                    </w:r>
                  </w:p>
                </w:tc>
                <w:tc>
                  <w:tcPr>
                    <w:tcW w:w="600" w:type="dxa"/>
                    <w:noWrap/>
                    <w:hideMark/>
                  </w:tcPr>
                  <w:p w14:paraId="00CEFE5C" w14:textId="77777777" w:rsidR="004D61AD" w:rsidRDefault="004D61AD" w:rsidP="00181986">
                    <w:pPr>
                      <w:spacing w:before="100" w:beforeAutospacing="1" w:after="100" w:afterAutospacing="1"/>
                      <w:jc w:val="right"/>
                      <w:rPr>
                        <w:noProof/>
                      </w:rPr>
                    </w:pPr>
                    <w:r>
                      <w:rPr>
                        <w:noProof/>
                        <w:color w:val="000000"/>
                        <w:sz w:val="16"/>
                        <w:szCs w:val="16"/>
                      </w:rPr>
                      <w:t>[24]</w:t>
                    </w:r>
                  </w:p>
                </w:tc>
              </w:tr>
              <w:tr w:rsidR="004D61AD" w14:paraId="710F9519" w14:textId="77777777" w:rsidTr="00181986">
                <w:trPr>
                  <w:cantSplit/>
                </w:trPr>
                <w:tc>
                  <w:tcPr>
                    <w:tcW w:w="8699" w:type="dxa"/>
                    <w:hideMark/>
                  </w:tcPr>
                  <w:p w14:paraId="59F6AF92" w14:textId="77777777" w:rsidR="004D61AD" w:rsidRDefault="004D61AD" w:rsidP="00181986">
                    <w:pPr>
                      <w:pStyle w:val="Bibliographie"/>
                      <w:spacing w:line="240" w:lineRule="exact"/>
                      <w:rPr>
                        <w:noProof/>
                      </w:rPr>
                    </w:pPr>
                    <w:r>
                      <w:rPr>
                        <w:noProof/>
                      </w:rPr>
                      <w:t xml:space="preserve">Porter, M. and C. van der Linde (1995), “Toward a new conception of the environment-competitiveness relationship”, </w:t>
                    </w:r>
                    <w:r>
                      <w:rPr>
                        <w:i/>
                        <w:iCs/>
                        <w:noProof/>
                      </w:rPr>
                      <w:t>Journal of Economic perspectives</w:t>
                    </w:r>
                    <w:r>
                      <w:rPr>
                        <w:noProof/>
                      </w:rPr>
                      <w:t>, Vol. 9/4, pp. 97-118.</w:t>
                    </w:r>
                  </w:p>
                </w:tc>
                <w:tc>
                  <w:tcPr>
                    <w:tcW w:w="600" w:type="dxa"/>
                    <w:noWrap/>
                    <w:hideMark/>
                  </w:tcPr>
                  <w:p w14:paraId="67BA4C57" w14:textId="77777777" w:rsidR="004D61AD" w:rsidRDefault="004D61AD" w:rsidP="00181986">
                    <w:pPr>
                      <w:spacing w:before="100" w:beforeAutospacing="1" w:after="100" w:afterAutospacing="1"/>
                      <w:jc w:val="right"/>
                      <w:rPr>
                        <w:noProof/>
                      </w:rPr>
                    </w:pPr>
                    <w:r>
                      <w:rPr>
                        <w:noProof/>
                        <w:color w:val="000000"/>
                        <w:sz w:val="16"/>
                        <w:szCs w:val="16"/>
                      </w:rPr>
                      <w:t>[15]</w:t>
                    </w:r>
                  </w:p>
                </w:tc>
              </w:tr>
              <w:tr w:rsidR="004D61AD" w14:paraId="28CCEB9A" w14:textId="77777777" w:rsidTr="00181986">
                <w:trPr>
                  <w:cantSplit/>
                </w:trPr>
                <w:tc>
                  <w:tcPr>
                    <w:tcW w:w="8699" w:type="dxa"/>
                    <w:hideMark/>
                  </w:tcPr>
                  <w:p w14:paraId="7C39A35B" w14:textId="7FD3AF7B" w:rsidR="00E773B1" w:rsidRPr="00997125" w:rsidRDefault="00E773B1" w:rsidP="00997125">
                    <w:pPr>
                      <w:tabs>
                        <w:tab w:val="clear" w:pos="850"/>
                        <w:tab w:val="clear" w:pos="1191"/>
                        <w:tab w:val="clear" w:pos="1531"/>
                      </w:tabs>
                      <w:spacing w:before="100" w:beforeAutospacing="1" w:after="100" w:afterAutospacing="1"/>
                      <w:ind w:left="480" w:hanging="480"/>
                      <w:jc w:val="left"/>
                      <w:rPr>
                        <w:rFonts w:eastAsia="Times New Roman"/>
                        <w:sz w:val="24"/>
                        <w:szCs w:val="24"/>
                        <w:lang w:eastAsia="en-GB"/>
                      </w:rPr>
                    </w:pPr>
                    <w:r w:rsidRPr="00E773B1">
                      <w:rPr>
                        <w:rFonts w:eastAsia="Times New Roman"/>
                        <w:sz w:val="24"/>
                        <w:szCs w:val="24"/>
                        <w:lang w:eastAsia="en-GB"/>
                      </w:rPr>
                      <w:t xml:space="preserve">Rammer, C., Gottschalk, S., Peneder, M., Wörter, M., Stucki, T., &amp; Arvanitis, S. (2017). Does energy policy hurt international competitiveness of firms? A comparative study for Germany, Switzerland and Austria. </w:t>
                    </w:r>
                    <w:r w:rsidRPr="00E773B1">
                      <w:rPr>
                        <w:rFonts w:eastAsia="Times New Roman"/>
                        <w:i/>
                        <w:iCs/>
                        <w:sz w:val="24"/>
                        <w:szCs w:val="24"/>
                        <w:lang w:eastAsia="en-GB"/>
                      </w:rPr>
                      <w:t>Energy Policy</w:t>
                    </w:r>
                    <w:r w:rsidRPr="00E773B1">
                      <w:rPr>
                        <w:rFonts w:eastAsia="Times New Roman"/>
                        <w:sz w:val="24"/>
                        <w:szCs w:val="24"/>
                        <w:lang w:eastAsia="en-GB"/>
                      </w:rPr>
                      <w:t xml:space="preserve">, </w:t>
                    </w:r>
                    <w:r w:rsidRPr="00E773B1">
                      <w:rPr>
                        <w:rFonts w:eastAsia="Times New Roman"/>
                        <w:i/>
                        <w:iCs/>
                        <w:sz w:val="24"/>
                        <w:szCs w:val="24"/>
                        <w:lang w:eastAsia="en-GB"/>
                      </w:rPr>
                      <w:t>109</w:t>
                    </w:r>
                    <w:r w:rsidRPr="00E773B1">
                      <w:rPr>
                        <w:rFonts w:eastAsia="Times New Roman"/>
                        <w:sz w:val="24"/>
                        <w:szCs w:val="24"/>
                        <w:lang w:eastAsia="en-GB"/>
                      </w:rPr>
                      <w:t>, 154–180. https://doi.org/10.1016/j.enpol.2017.06.062</w:t>
                    </w:r>
                  </w:p>
                  <w:p w14:paraId="7DD7C4B5" w14:textId="7B9AC9B8" w:rsidR="004D61AD" w:rsidRDefault="004D61AD" w:rsidP="00181986">
                    <w:pPr>
                      <w:pStyle w:val="Bibliographie"/>
                      <w:spacing w:line="240" w:lineRule="exact"/>
                      <w:rPr>
                        <w:noProof/>
                      </w:rPr>
                    </w:pPr>
                    <w:r>
                      <w:rPr>
                        <w:noProof/>
                      </w:rPr>
                      <w:t xml:space="preserve">Reinaud, J. (2008), “Climate policy and carbon leakage, Impacts of the European Emissions Trading Scheme on aluminium”, </w:t>
                    </w:r>
                    <w:r>
                      <w:rPr>
                        <w:i/>
                        <w:iCs/>
                        <w:noProof/>
                      </w:rPr>
                      <w:t>IEA Information paper</w:t>
                    </w:r>
                    <w:r>
                      <w:rPr>
                        <w:noProof/>
                      </w:rPr>
                      <w:t>.</w:t>
                    </w:r>
                  </w:p>
                  <w:p w14:paraId="6AE749DB" w14:textId="5B45F023" w:rsidR="00D4435F" w:rsidRPr="00997125" w:rsidRDefault="00D4435F" w:rsidP="00D4435F">
                    <w:pPr>
                      <w:tabs>
                        <w:tab w:val="clear" w:pos="850"/>
                        <w:tab w:val="clear" w:pos="1191"/>
                        <w:tab w:val="clear" w:pos="1531"/>
                      </w:tabs>
                      <w:spacing w:before="100" w:beforeAutospacing="1" w:after="100" w:afterAutospacing="1"/>
                      <w:ind w:left="480" w:hanging="480"/>
                      <w:jc w:val="left"/>
                      <w:rPr>
                        <w:rFonts w:eastAsia="Times New Roman"/>
                        <w:sz w:val="24"/>
                        <w:szCs w:val="24"/>
                        <w:lang w:eastAsia="en-GB"/>
                      </w:rPr>
                    </w:pPr>
                    <w:r w:rsidRPr="00D4435F">
                      <w:rPr>
                        <w:rFonts w:eastAsia="Times New Roman"/>
                        <w:sz w:val="24"/>
                        <w:szCs w:val="24"/>
                        <w:lang w:eastAsia="en-GB"/>
                      </w:rPr>
                      <w:t xml:space="preserve">Rentschler, J., &amp; Kornejew, M. (2017). Energy price variation and competitiveness: Firm level evidence from Indonesia. </w:t>
                    </w:r>
                    <w:r w:rsidRPr="00D4435F">
                      <w:rPr>
                        <w:rFonts w:eastAsia="Times New Roman"/>
                        <w:i/>
                        <w:iCs/>
                        <w:sz w:val="24"/>
                        <w:szCs w:val="24"/>
                        <w:lang w:eastAsia="en-GB"/>
                      </w:rPr>
                      <w:t>Energy Economics</w:t>
                    </w:r>
                    <w:r w:rsidRPr="00D4435F">
                      <w:rPr>
                        <w:rFonts w:eastAsia="Times New Roman"/>
                        <w:sz w:val="24"/>
                        <w:szCs w:val="24"/>
                        <w:lang w:eastAsia="en-GB"/>
                      </w:rPr>
                      <w:t xml:space="preserve">, </w:t>
                    </w:r>
                    <w:r w:rsidRPr="00D4435F">
                      <w:rPr>
                        <w:rFonts w:eastAsia="Times New Roman"/>
                        <w:i/>
                        <w:iCs/>
                        <w:sz w:val="24"/>
                        <w:szCs w:val="24"/>
                        <w:lang w:eastAsia="en-GB"/>
                      </w:rPr>
                      <w:t>67</w:t>
                    </w:r>
                    <w:r w:rsidRPr="00D4435F">
                      <w:rPr>
                        <w:rFonts w:eastAsia="Times New Roman"/>
                        <w:sz w:val="24"/>
                        <w:szCs w:val="24"/>
                        <w:lang w:eastAsia="en-GB"/>
                      </w:rPr>
                      <w:t>, 242–254. https://doi.org/10.1016/j.eneco.2017.08.015</w:t>
                    </w:r>
                  </w:p>
                  <w:p w14:paraId="59A251DB" w14:textId="016DC33A" w:rsidR="00393C01" w:rsidRPr="00512445" w:rsidRDefault="00393C01" w:rsidP="00393C01">
                    <w:pPr>
                      <w:tabs>
                        <w:tab w:val="clear" w:pos="850"/>
                        <w:tab w:val="clear" w:pos="1191"/>
                        <w:tab w:val="clear" w:pos="1531"/>
                      </w:tabs>
                      <w:spacing w:before="100" w:beforeAutospacing="1" w:after="100" w:afterAutospacing="1"/>
                      <w:ind w:left="480" w:hanging="480"/>
                      <w:jc w:val="left"/>
                      <w:rPr>
                        <w:rFonts w:eastAsia="Times New Roman"/>
                        <w:szCs w:val="22"/>
                        <w:lang w:eastAsia="en-GB"/>
                      </w:rPr>
                    </w:pPr>
                    <w:r w:rsidRPr="00512445">
                      <w:rPr>
                        <w:rFonts w:eastAsia="Times New Roman"/>
                        <w:szCs w:val="22"/>
                        <w:lang w:eastAsia="en-GB"/>
                      </w:rPr>
                      <w:t xml:space="preserve">Rivers, N. </w:t>
                    </w:r>
                    <w:r>
                      <w:rPr>
                        <w:rFonts w:eastAsia="Times New Roman"/>
                        <w:szCs w:val="22"/>
                        <w:lang w:eastAsia="en-GB"/>
                      </w:rPr>
                      <w:t>and B.</w:t>
                    </w:r>
                    <w:r w:rsidRPr="00512445">
                      <w:rPr>
                        <w:rFonts w:eastAsia="Times New Roman"/>
                        <w:szCs w:val="22"/>
                        <w:lang w:eastAsia="en-GB"/>
                      </w:rPr>
                      <w:t xml:space="preserve"> Schaufele, (2015). </w:t>
                    </w:r>
                    <w:r>
                      <w:rPr>
                        <w:rFonts w:eastAsia="Times New Roman"/>
                        <w:szCs w:val="22"/>
                        <w:lang w:eastAsia="en-GB"/>
                      </w:rPr>
                      <w:t>"</w:t>
                    </w:r>
                    <w:r w:rsidRPr="00512445">
                      <w:rPr>
                        <w:rFonts w:eastAsia="Times New Roman"/>
                        <w:szCs w:val="22"/>
                        <w:lang w:eastAsia="en-GB"/>
                      </w:rPr>
                      <w:t>Salience of carbon taxes in the gasoline market.</w:t>
                    </w:r>
                    <w:r>
                      <w:rPr>
                        <w:rFonts w:eastAsia="Times New Roman"/>
                        <w:szCs w:val="22"/>
                        <w:lang w:eastAsia="en-GB"/>
                      </w:rPr>
                      <w:t>"</w:t>
                    </w:r>
                    <w:r w:rsidRPr="00512445">
                      <w:rPr>
                        <w:rFonts w:eastAsia="Times New Roman"/>
                        <w:szCs w:val="22"/>
                        <w:lang w:eastAsia="en-GB"/>
                      </w:rPr>
                      <w:t xml:space="preserve"> </w:t>
                    </w:r>
                    <w:r w:rsidRPr="00512445">
                      <w:rPr>
                        <w:rFonts w:eastAsia="Times New Roman"/>
                        <w:i/>
                        <w:iCs/>
                        <w:szCs w:val="22"/>
                        <w:lang w:eastAsia="en-GB"/>
                      </w:rPr>
                      <w:t>Journal of Environmental Economics and Management</w:t>
                    </w:r>
                    <w:r w:rsidRPr="00512445">
                      <w:rPr>
                        <w:rFonts w:eastAsia="Times New Roman"/>
                        <w:szCs w:val="22"/>
                        <w:lang w:eastAsia="en-GB"/>
                      </w:rPr>
                      <w:t xml:space="preserve">, </w:t>
                    </w:r>
                    <w:r w:rsidRPr="00512445">
                      <w:rPr>
                        <w:rFonts w:eastAsia="Times New Roman"/>
                        <w:i/>
                        <w:iCs/>
                        <w:szCs w:val="22"/>
                        <w:lang w:eastAsia="en-GB"/>
                      </w:rPr>
                      <w:t>74</w:t>
                    </w:r>
                    <w:r w:rsidRPr="00512445">
                      <w:rPr>
                        <w:rFonts w:eastAsia="Times New Roman"/>
                        <w:szCs w:val="22"/>
                        <w:lang w:eastAsia="en-GB"/>
                      </w:rPr>
                      <w:t>, 23–36. https://doi.org/10.1016/j.jeem.2015.07.002</w:t>
                    </w:r>
                  </w:p>
                  <w:p w14:paraId="432B335F" w14:textId="77777777" w:rsidR="00393C01" w:rsidRPr="00512445" w:rsidRDefault="00393C01" w:rsidP="00512445"/>
                </w:tc>
                <w:tc>
                  <w:tcPr>
                    <w:tcW w:w="600" w:type="dxa"/>
                    <w:noWrap/>
                    <w:hideMark/>
                  </w:tcPr>
                  <w:p w14:paraId="6B5EA42B" w14:textId="77777777" w:rsidR="004D61AD" w:rsidRDefault="004D61AD" w:rsidP="00181986">
                    <w:pPr>
                      <w:spacing w:before="100" w:beforeAutospacing="1" w:after="100" w:afterAutospacing="1"/>
                      <w:jc w:val="right"/>
                      <w:rPr>
                        <w:noProof/>
                      </w:rPr>
                    </w:pPr>
                    <w:r>
                      <w:rPr>
                        <w:noProof/>
                        <w:color w:val="000000"/>
                        <w:sz w:val="16"/>
                        <w:szCs w:val="16"/>
                      </w:rPr>
                      <w:t>[20]</w:t>
                    </w:r>
                  </w:p>
                </w:tc>
              </w:tr>
              <w:tr w:rsidR="004D61AD" w14:paraId="4C53D217" w14:textId="77777777" w:rsidTr="00181986">
                <w:trPr>
                  <w:cantSplit/>
                </w:trPr>
                <w:tc>
                  <w:tcPr>
                    <w:tcW w:w="8699" w:type="dxa"/>
                    <w:hideMark/>
                  </w:tcPr>
                  <w:p w14:paraId="58772EA9" w14:textId="77777777" w:rsidR="004D61AD" w:rsidRDefault="004D61AD" w:rsidP="00181986">
                    <w:pPr>
                      <w:pStyle w:val="Bibliographie"/>
                      <w:spacing w:line="240" w:lineRule="exact"/>
                    </w:pPr>
                    <w:r>
                      <w:t xml:space="preserve">Sartor, O. (2012), “Carbon Leakage in the Primary Aluminium Sector: What evidence after 6 ½ years of the EU ETS?”, </w:t>
                    </w:r>
                    <w:r w:rsidRPr="00512445">
                      <w:t>CDC Climat Research Working Paper 2012-12, CDC Climat Reserach</w:t>
                    </w:r>
                    <w:r>
                      <w:t>, pp. 1-20.</w:t>
                    </w:r>
                  </w:p>
                  <w:p w14:paraId="17B6D5ED" w14:textId="7A3B57BE" w:rsidR="008237DF" w:rsidRPr="00997125" w:rsidRDefault="008237DF" w:rsidP="00997125">
                    <w:pPr>
                      <w:pStyle w:val="Bibliographie"/>
                      <w:spacing w:line="240" w:lineRule="exact"/>
                    </w:pPr>
                    <w:r w:rsidRPr="00997125">
                      <w:t xml:space="preserve">Sato, M., </w:t>
                    </w:r>
                    <w:r>
                      <w:t>and</w:t>
                    </w:r>
                    <w:r w:rsidRPr="00997125">
                      <w:t xml:space="preserve"> Dechezleprêtre, A. (2015)</w:t>
                    </w:r>
                    <w:r>
                      <w:t>,</w:t>
                    </w:r>
                    <w:r w:rsidRPr="00997125">
                      <w:t xml:space="preserve"> Asymmetric industrial energy prices and international trade</w:t>
                    </w:r>
                    <w:r w:rsidR="008E5E6B">
                      <w:t>,</w:t>
                    </w:r>
                    <w:r w:rsidRPr="00997125">
                      <w:t xml:space="preserve"> </w:t>
                    </w:r>
                    <w:r w:rsidRPr="00997125">
                      <w:rPr>
                        <w:i/>
                        <w:iCs/>
                      </w:rPr>
                      <w:t>Energy Economics</w:t>
                    </w:r>
                    <w:r w:rsidRPr="00997125">
                      <w:t>, 52, S130–S141. https://doi.org/10.1016/j.eneco.2015.08.020</w:t>
                    </w:r>
                  </w:p>
                  <w:p w14:paraId="6F4600AE" w14:textId="1C228261" w:rsidR="00D85F53" w:rsidRPr="00512445" w:rsidRDefault="00D85F53" w:rsidP="008237DF">
                    <w:pPr>
                      <w:pStyle w:val="Bibliographie"/>
                      <w:spacing w:line="240" w:lineRule="exact"/>
                    </w:pPr>
                    <w:r w:rsidRPr="008237DF">
                      <w:t xml:space="preserve">Sato, M. et al. </w:t>
                    </w:r>
                    <w:r w:rsidRPr="00512445">
                      <w:t>(2019), “International and sectoral variation in industrial energy prices 1995–2015”, Energy Economics, Vol. 78, pp. 235-258, http://dx.doi.org/10.1016/j.eneco.2018.11.008.</w:t>
                    </w:r>
                  </w:p>
                </w:tc>
                <w:tc>
                  <w:tcPr>
                    <w:tcW w:w="600" w:type="dxa"/>
                    <w:noWrap/>
                    <w:hideMark/>
                  </w:tcPr>
                  <w:p w14:paraId="6B94F3A4" w14:textId="77777777" w:rsidR="004D61AD" w:rsidRDefault="004D61AD" w:rsidP="00181986">
                    <w:pPr>
                      <w:spacing w:before="100" w:beforeAutospacing="1" w:after="100" w:afterAutospacing="1"/>
                      <w:jc w:val="right"/>
                      <w:rPr>
                        <w:noProof/>
                      </w:rPr>
                    </w:pPr>
                    <w:r>
                      <w:rPr>
                        <w:noProof/>
                        <w:color w:val="000000"/>
                        <w:sz w:val="16"/>
                        <w:szCs w:val="16"/>
                      </w:rPr>
                      <w:t>[21]</w:t>
                    </w:r>
                  </w:p>
                </w:tc>
              </w:tr>
              <w:tr w:rsidR="004D61AD" w14:paraId="2D3B1D61" w14:textId="77777777" w:rsidTr="00181986">
                <w:trPr>
                  <w:cantSplit/>
                </w:trPr>
                <w:tc>
                  <w:tcPr>
                    <w:tcW w:w="8699" w:type="dxa"/>
                    <w:hideMark/>
                  </w:tcPr>
                  <w:p w14:paraId="46AF8B68" w14:textId="77777777" w:rsidR="00722A59" w:rsidRDefault="00722A59" w:rsidP="00181986">
                    <w:pPr>
                      <w:pStyle w:val="Bibliographie"/>
                      <w:spacing w:line="240" w:lineRule="exact"/>
                      <w:rPr>
                        <w:noProof/>
                      </w:rPr>
                    </w:pPr>
                    <w:r w:rsidRPr="00785AF9">
                      <w:t>Scott</w:t>
                    </w:r>
                    <w:r>
                      <w:t>,</w:t>
                    </w:r>
                    <w:r w:rsidRPr="00785AF9">
                      <w:t xml:space="preserve"> K</w:t>
                    </w:r>
                    <w:r>
                      <w:t>.</w:t>
                    </w:r>
                    <w:r w:rsidRPr="00785AF9">
                      <w:t>R</w:t>
                    </w:r>
                    <w:r>
                      <w:t>.</w:t>
                    </w:r>
                    <w:r w:rsidRPr="00785AF9">
                      <w:t xml:space="preserve"> (2012)</w:t>
                    </w:r>
                    <w:r>
                      <w:t>,</w:t>
                    </w:r>
                    <w:r w:rsidRPr="00785AF9">
                      <w:t xml:space="preserve"> </w:t>
                    </w:r>
                    <w:r>
                      <w:t>"</w:t>
                    </w:r>
                    <w:r w:rsidRPr="00785AF9">
                      <w:t>Rational habits in gasoline demand</w:t>
                    </w:r>
                    <w:r>
                      <w:t>"</w:t>
                    </w:r>
                    <w:r w:rsidRPr="00785AF9">
                      <w:t xml:space="preserve"> </w:t>
                    </w:r>
                    <w:r w:rsidRPr="00512445">
                      <w:rPr>
                        <w:i/>
                        <w:iCs/>
                      </w:rPr>
                      <w:t>Energy Economics</w:t>
                    </w:r>
                    <w:r w:rsidRPr="00785AF9">
                      <w:t xml:space="preserve"> 34(5)</w:t>
                    </w:r>
                    <w:r>
                      <w:t xml:space="preserve"> pp. </w:t>
                    </w:r>
                    <w:r w:rsidRPr="00785AF9">
                      <w:t>1713–1723</w:t>
                    </w:r>
                    <w:r>
                      <w:t>.</w:t>
                    </w:r>
                  </w:p>
                  <w:p w14:paraId="5783E075" w14:textId="77777777" w:rsidR="004D61AD" w:rsidRDefault="004D61AD" w:rsidP="00181986">
                    <w:pPr>
                      <w:pStyle w:val="Bibliographie"/>
                      <w:spacing w:line="240" w:lineRule="exact"/>
                      <w:rPr>
                        <w:noProof/>
                      </w:rPr>
                    </w:pPr>
                    <w:r>
                      <w:rPr>
                        <w:noProof/>
                      </w:rPr>
                      <w:t xml:space="preserve">Sijm, J. et al. (2008), “The impact of the EU ETS on electricity prices - Final report to DG Environment of the European Commission”, </w:t>
                    </w:r>
                    <w:r>
                      <w:rPr>
                        <w:i/>
                        <w:iCs/>
                        <w:noProof/>
                      </w:rPr>
                      <w:t>Energy Research Centre of the Netherlands</w:t>
                    </w:r>
                    <w:r>
                      <w:rPr>
                        <w:noProof/>
                      </w:rPr>
                      <w:t>.</w:t>
                    </w:r>
                  </w:p>
                </w:tc>
                <w:tc>
                  <w:tcPr>
                    <w:tcW w:w="600" w:type="dxa"/>
                    <w:noWrap/>
                    <w:hideMark/>
                  </w:tcPr>
                  <w:p w14:paraId="7946D3DF" w14:textId="77777777" w:rsidR="004D61AD" w:rsidRDefault="004D61AD" w:rsidP="00181986">
                    <w:pPr>
                      <w:spacing w:before="100" w:beforeAutospacing="1" w:after="100" w:afterAutospacing="1"/>
                      <w:jc w:val="right"/>
                      <w:rPr>
                        <w:noProof/>
                      </w:rPr>
                    </w:pPr>
                    <w:r>
                      <w:rPr>
                        <w:noProof/>
                        <w:color w:val="000000"/>
                        <w:sz w:val="16"/>
                        <w:szCs w:val="16"/>
                      </w:rPr>
                      <w:t>[10]</w:t>
                    </w:r>
                  </w:p>
                </w:tc>
              </w:tr>
              <w:tr w:rsidR="004D61AD" w14:paraId="614F3CE3" w14:textId="77777777" w:rsidTr="00181986">
                <w:trPr>
                  <w:cantSplit/>
                </w:trPr>
                <w:tc>
                  <w:tcPr>
                    <w:tcW w:w="8699" w:type="dxa"/>
                    <w:hideMark/>
                  </w:tcPr>
                  <w:p w14:paraId="4FE2E662" w14:textId="77777777" w:rsidR="004D61AD" w:rsidRDefault="004D61AD" w:rsidP="00181986">
                    <w:pPr>
                      <w:pStyle w:val="Bibliographie"/>
                      <w:spacing w:line="240" w:lineRule="exact"/>
                      <w:rPr>
                        <w:noProof/>
                      </w:rPr>
                    </w:pPr>
                    <w:r>
                      <w:rPr>
                        <w:noProof/>
                      </w:rPr>
                      <w:t xml:space="preserve">Tian, Y. et al. (2016), “Does the carbon market help or hurt the stock price of electricity companies? Further evidence from the European context”, </w:t>
                    </w:r>
                    <w:r>
                      <w:rPr>
                        <w:i/>
                        <w:iCs/>
                        <w:noProof/>
                      </w:rPr>
                      <w:t>Journal of Cleaner Production</w:t>
                    </w:r>
                    <w:r>
                      <w:rPr>
                        <w:noProof/>
                      </w:rPr>
                      <w:t xml:space="preserve">, Vol. 112, </w:t>
                    </w:r>
                    <w:r>
                      <w:rPr>
                        <w:noProof/>
                        <w:color w:val="0000FF"/>
                        <w:u w:val="single"/>
                      </w:rPr>
                      <w:t>https://www.sciencedirect.com/science/article/pii/S0959652615009087</w:t>
                    </w:r>
                    <w:r>
                      <w:rPr>
                        <w:noProof/>
                      </w:rPr>
                      <w:t>, pp. 1619-1626.</w:t>
                    </w:r>
                  </w:p>
                </w:tc>
                <w:tc>
                  <w:tcPr>
                    <w:tcW w:w="600" w:type="dxa"/>
                    <w:noWrap/>
                    <w:hideMark/>
                  </w:tcPr>
                  <w:p w14:paraId="4EAD16C4" w14:textId="77777777" w:rsidR="004D61AD" w:rsidRDefault="004D61AD" w:rsidP="00181986">
                    <w:pPr>
                      <w:spacing w:before="100" w:beforeAutospacing="1" w:after="100" w:afterAutospacing="1"/>
                      <w:jc w:val="right"/>
                      <w:rPr>
                        <w:noProof/>
                      </w:rPr>
                    </w:pPr>
                    <w:r>
                      <w:rPr>
                        <w:noProof/>
                        <w:color w:val="000000"/>
                        <w:sz w:val="16"/>
                        <w:szCs w:val="16"/>
                      </w:rPr>
                      <w:t>[52]</w:t>
                    </w:r>
                  </w:p>
                </w:tc>
              </w:tr>
              <w:tr w:rsidR="004D61AD" w14:paraId="030B56A3" w14:textId="77777777" w:rsidTr="00181986">
                <w:trPr>
                  <w:cantSplit/>
                </w:trPr>
                <w:tc>
                  <w:tcPr>
                    <w:tcW w:w="8699" w:type="dxa"/>
                    <w:hideMark/>
                  </w:tcPr>
                  <w:p w14:paraId="37DFA895" w14:textId="77777777" w:rsidR="004D61AD" w:rsidRDefault="004D61AD" w:rsidP="00181986">
                    <w:pPr>
                      <w:pStyle w:val="Bibliographie"/>
                      <w:spacing w:line="240" w:lineRule="exact"/>
                      <w:rPr>
                        <w:noProof/>
                      </w:rPr>
                    </w:pPr>
                    <w:r>
                      <w:rPr>
                        <w:noProof/>
                      </w:rPr>
                      <w:t xml:space="preserve">Veith, S., J. Werner and J. Zimmermann (2009), “Capital market response to emission rights returns : Evidence from the European power sector”, </w:t>
                    </w:r>
                    <w:r>
                      <w:rPr>
                        <w:i/>
                        <w:iCs/>
                        <w:noProof/>
                      </w:rPr>
                      <w:t>Energy Economics</w:t>
                    </w:r>
                    <w:r>
                      <w:rPr>
                        <w:noProof/>
                      </w:rPr>
                      <w:t xml:space="preserve">, Vol. 31/4, pp. 605-613, </w:t>
                    </w:r>
                    <w:r>
                      <w:rPr>
                        <w:noProof/>
                        <w:color w:val="0000FF"/>
                        <w:u w:val="single"/>
                      </w:rPr>
                      <w:t>http://dx.doi.org/10.1016/j.eneco.2009.01.004</w:t>
                    </w:r>
                    <w:r>
                      <w:rPr>
                        <w:noProof/>
                      </w:rPr>
                      <w:t>.</w:t>
                    </w:r>
                  </w:p>
                </w:tc>
                <w:tc>
                  <w:tcPr>
                    <w:tcW w:w="600" w:type="dxa"/>
                    <w:noWrap/>
                    <w:hideMark/>
                  </w:tcPr>
                  <w:p w14:paraId="1A5326FC" w14:textId="77777777" w:rsidR="004D61AD" w:rsidRDefault="004D61AD" w:rsidP="00181986">
                    <w:pPr>
                      <w:spacing w:before="100" w:beforeAutospacing="1" w:after="100" w:afterAutospacing="1"/>
                      <w:jc w:val="right"/>
                      <w:rPr>
                        <w:noProof/>
                      </w:rPr>
                    </w:pPr>
                    <w:r>
                      <w:rPr>
                        <w:noProof/>
                        <w:color w:val="000000"/>
                        <w:sz w:val="16"/>
                        <w:szCs w:val="16"/>
                      </w:rPr>
                      <w:t>[50]</w:t>
                    </w:r>
                  </w:p>
                </w:tc>
              </w:tr>
              <w:tr w:rsidR="004D61AD" w14:paraId="6651FB5E" w14:textId="77777777" w:rsidTr="00181986">
                <w:trPr>
                  <w:cantSplit/>
                </w:trPr>
                <w:tc>
                  <w:tcPr>
                    <w:tcW w:w="8699" w:type="dxa"/>
                    <w:hideMark/>
                  </w:tcPr>
                  <w:p w14:paraId="65074A75" w14:textId="77777777" w:rsidR="004D61AD" w:rsidRDefault="004D61AD" w:rsidP="00181986">
                    <w:pPr>
                      <w:pStyle w:val="Bibliographie"/>
                      <w:spacing w:line="240" w:lineRule="exact"/>
                      <w:rPr>
                        <w:noProof/>
                      </w:rPr>
                    </w:pPr>
                    <w:r>
                      <w:rPr>
                        <w:noProof/>
                      </w:rPr>
                      <w:t xml:space="preserve">Venmans, F. (2016), “The effect of allocation above emissions and price uncertainty on abatement investments under the EU ETS”, </w:t>
                    </w:r>
                    <w:r>
                      <w:rPr>
                        <w:i/>
                        <w:iCs/>
                        <w:noProof/>
                      </w:rPr>
                      <w:t>Journal of Cleaner Production</w:t>
                    </w:r>
                    <w:r>
                      <w:rPr>
                        <w:noProof/>
                      </w:rPr>
                      <w:t xml:space="preserve">, Vol. 126, pp. 595-606, </w:t>
                    </w:r>
                    <w:r>
                      <w:rPr>
                        <w:noProof/>
                        <w:color w:val="0000FF"/>
                        <w:u w:val="single"/>
                      </w:rPr>
                      <w:t>http://dx.doi.org/10.1016/j.jclepro.2016.02.108</w:t>
                    </w:r>
                    <w:r>
                      <w:rPr>
                        <w:noProof/>
                      </w:rPr>
                      <w:t>.</w:t>
                    </w:r>
                  </w:p>
                </w:tc>
                <w:tc>
                  <w:tcPr>
                    <w:tcW w:w="600" w:type="dxa"/>
                    <w:noWrap/>
                    <w:hideMark/>
                  </w:tcPr>
                  <w:p w14:paraId="63C060E4" w14:textId="77777777" w:rsidR="004D61AD" w:rsidRDefault="004D61AD" w:rsidP="00181986">
                    <w:pPr>
                      <w:spacing w:before="100" w:beforeAutospacing="1" w:after="100" w:afterAutospacing="1"/>
                      <w:jc w:val="right"/>
                      <w:rPr>
                        <w:noProof/>
                      </w:rPr>
                    </w:pPr>
                    <w:r>
                      <w:rPr>
                        <w:noProof/>
                        <w:color w:val="000000"/>
                        <w:sz w:val="16"/>
                        <w:szCs w:val="16"/>
                      </w:rPr>
                      <w:t>[7]</w:t>
                    </w:r>
                  </w:p>
                </w:tc>
              </w:tr>
              <w:tr w:rsidR="004D61AD" w14:paraId="676FB41B" w14:textId="77777777" w:rsidTr="00181986">
                <w:trPr>
                  <w:cantSplit/>
                </w:trPr>
                <w:tc>
                  <w:tcPr>
                    <w:tcW w:w="8699" w:type="dxa"/>
                    <w:hideMark/>
                  </w:tcPr>
                  <w:p w14:paraId="72253E9B" w14:textId="77777777" w:rsidR="004D61AD" w:rsidRDefault="004D61AD" w:rsidP="00181986">
                    <w:pPr>
                      <w:pStyle w:val="Bibliographie"/>
                      <w:spacing w:line="240" w:lineRule="exact"/>
                      <w:rPr>
                        <w:noProof/>
                      </w:rPr>
                    </w:pPr>
                    <w:r>
                      <w:rPr>
                        <w:noProof/>
                      </w:rPr>
                      <w:lastRenderedPageBreak/>
                      <w:t xml:space="preserve">Venmans, F. (2015), “Capital market response to emission allowance prices: a multivariate GARCH approach”, </w:t>
                    </w:r>
                    <w:r>
                      <w:rPr>
                        <w:i/>
                        <w:iCs/>
                        <w:noProof/>
                      </w:rPr>
                      <w:t>Environmental Economics and Policy Studies</w:t>
                    </w:r>
                    <w:r>
                      <w:rPr>
                        <w:noProof/>
                      </w:rPr>
                      <w:t xml:space="preserve">, Vol. 17/4, </w:t>
                    </w:r>
                    <w:r>
                      <w:rPr>
                        <w:noProof/>
                        <w:color w:val="0000FF"/>
                        <w:u w:val="single"/>
                      </w:rPr>
                      <w:t>http://dx.doi.org/10.1007/s10018-015-0105-6</w:t>
                    </w:r>
                    <w:r>
                      <w:rPr>
                        <w:noProof/>
                      </w:rPr>
                      <w:t>.</w:t>
                    </w:r>
                  </w:p>
                  <w:p w14:paraId="691EA8B0" w14:textId="77777777" w:rsidR="00A67380" w:rsidRDefault="00A67380" w:rsidP="00512445">
                    <w:pPr>
                      <w:tabs>
                        <w:tab w:val="clear" w:pos="850"/>
                        <w:tab w:val="clear" w:pos="1191"/>
                        <w:tab w:val="clear" w:pos="1531"/>
                      </w:tabs>
                      <w:spacing w:before="100" w:beforeAutospacing="1" w:after="100" w:afterAutospacing="1"/>
                      <w:ind w:left="480" w:hanging="480"/>
                      <w:jc w:val="left"/>
                      <w:rPr>
                        <w:rFonts w:eastAsia="Times New Roman"/>
                        <w:szCs w:val="22"/>
                        <w:lang w:eastAsia="en-GB"/>
                      </w:rPr>
                    </w:pPr>
                    <w:r w:rsidRPr="00512445">
                      <w:rPr>
                        <w:rFonts w:eastAsia="Times New Roman"/>
                        <w:szCs w:val="22"/>
                        <w:lang w:eastAsia="en-GB"/>
                      </w:rPr>
                      <w:t xml:space="preserve">Verde, S. F. (2018). "The Impact of the EU Emissions Trading System on Competitiveness and Carbon Leakage." </w:t>
                    </w:r>
                    <w:r w:rsidRPr="00512445">
                      <w:rPr>
                        <w:rFonts w:eastAsia="Times New Roman"/>
                        <w:i/>
                        <w:iCs/>
                        <w:szCs w:val="22"/>
                        <w:lang w:eastAsia="en-GB"/>
                      </w:rPr>
                      <w:t>EUI Working Paper RSCAS 2018/53</w:t>
                    </w:r>
                    <w:r w:rsidRPr="00512445">
                      <w:rPr>
                        <w:rFonts w:eastAsia="Times New Roman"/>
                        <w:szCs w:val="22"/>
                        <w:lang w:eastAsia="en-GB"/>
                      </w:rPr>
                      <w:t>. https://doi.org/10.2139/ssrn.3293767</w:t>
                    </w:r>
                  </w:p>
                  <w:p w14:paraId="19DFAB02" w14:textId="2C2ED53E" w:rsidR="001901A9" w:rsidRPr="001901A9" w:rsidRDefault="001901A9" w:rsidP="00512445">
                    <w:pPr>
                      <w:tabs>
                        <w:tab w:val="clear" w:pos="850"/>
                        <w:tab w:val="clear" w:pos="1191"/>
                        <w:tab w:val="clear" w:pos="1531"/>
                      </w:tabs>
                      <w:spacing w:before="100" w:beforeAutospacing="1" w:after="100" w:afterAutospacing="1"/>
                      <w:ind w:left="480" w:hanging="480"/>
                      <w:jc w:val="left"/>
                      <w:rPr>
                        <w:rFonts w:eastAsia="Times New Roman"/>
                        <w:szCs w:val="22"/>
                        <w:lang w:eastAsia="en-GB"/>
                      </w:rPr>
                    </w:pPr>
                    <w:r w:rsidRPr="00997125">
                      <w:rPr>
                        <w:color w:val="222222"/>
                        <w:szCs w:val="22"/>
                        <w:shd w:val="clear" w:color="auto" w:fill="FFFFFF"/>
                      </w:rPr>
                      <w:t>Verde, S. F., Teixidó, J., Marcantonini, C., &amp; Labandeira, X. (2019). Free allocation rules in the EU emissions trading system: what does the empirical literature show?. </w:t>
                    </w:r>
                    <w:r w:rsidRPr="00997125">
                      <w:rPr>
                        <w:i/>
                        <w:iCs/>
                        <w:color w:val="222222"/>
                        <w:szCs w:val="22"/>
                        <w:shd w:val="clear" w:color="auto" w:fill="FFFFFF"/>
                      </w:rPr>
                      <w:t>Climate policy</w:t>
                    </w:r>
                    <w:r w:rsidRPr="00997125">
                      <w:rPr>
                        <w:color w:val="222222"/>
                        <w:szCs w:val="22"/>
                        <w:shd w:val="clear" w:color="auto" w:fill="FFFFFF"/>
                      </w:rPr>
                      <w:t>, </w:t>
                    </w:r>
                    <w:r w:rsidRPr="00997125">
                      <w:rPr>
                        <w:i/>
                        <w:iCs/>
                        <w:color w:val="222222"/>
                        <w:szCs w:val="22"/>
                        <w:shd w:val="clear" w:color="auto" w:fill="FFFFFF"/>
                      </w:rPr>
                      <w:t>19</w:t>
                    </w:r>
                    <w:r w:rsidRPr="00997125">
                      <w:rPr>
                        <w:color w:val="222222"/>
                        <w:szCs w:val="22"/>
                        <w:shd w:val="clear" w:color="auto" w:fill="FFFFFF"/>
                      </w:rPr>
                      <w:t>(4), 439-452.</w:t>
                    </w:r>
                  </w:p>
                </w:tc>
                <w:tc>
                  <w:tcPr>
                    <w:tcW w:w="600" w:type="dxa"/>
                    <w:noWrap/>
                    <w:hideMark/>
                  </w:tcPr>
                  <w:p w14:paraId="34B03861" w14:textId="77777777" w:rsidR="004D61AD" w:rsidRDefault="004D61AD" w:rsidP="00181986">
                    <w:pPr>
                      <w:spacing w:before="100" w:beforeAutospacing="1" w:after="100" w:afterAutospacing="1"/>
                      <w:jc w:val="right"/>
                      <w:rPr>
                        <w:noProof/>
                      </w:rPr>
                    </w:pPr>
                    <w:r>
                      <w:rPr>
                        <w:noProof/>
                        <w:color w:val="000000"/>
                        <w:sz w:val="16"/>
                        <w:szCs w:val="16"/>
                      </w:rPr>
                      <w:t>[46]</w:t>
                    </w:r>
                  </w:p>
                </w:tc>
              </w:tr>
              <w:tr w:rsidR="004D61AD" w14:paraId="14466023" w14:textId="77777777" w:rsidTr="00181986">
                <w:trPr>
                  <w:cantSplit/>
                </w:trPr>
                <w:tc>
                  <w:tcPr>
                    <w:tcW w:w="8699" w:type="dxa"/>
                    <w:hideMark/>
                  </w:tcPr>
                  <w:p w14:paraId="435D6BF7" w14:textId="77777777" w:rsidR="004D61AD" w:rsidRDefault="004D61AD" w:rsidP="00181986">
                    <w:pPr>
                      <w:pStyle w:val="Bibliographie"/>
                      <w:spacing w:line="240" w:lineRule="exact"/>
                      <w:rPr>
                        <w:noProof/>
                      </w:rPr>
                    </w:pPr>
                    <w:r>
                      <w:rPr>
                        <w:noProof/>
                      </w:rPr>
                      <w:t>Wagner, U. et al. (2014), “The Causal Effects of the European Union Emissions Trading Scheme : Evidence from French Manufacturing Plants”.</w:t>
                    </w:r>
                  </w:p>
                </w:tc>
                <w:tc>
                  <w:tcPr>
                    <w:tcW w:w="600" w:type="dxa"/>
                    <w:noWrap/>
                    <w:hideMark/>
                  </w:tcPr>
                  <w:p w14:paraId="7203BBBE" w14:textId="77777777" w:rsidR="004D61AD" w:rsidRDefault="004D61AD" w:rsidP="00181986">
                    <w:pPr>
                      <w:spacing w:before="100" w:beforeAutospacing="1" w:after="100" w:afterAutospacing="1"/>
                      <w:jc w:val="right"/>
                      <w:rPr>
                        <w:noProof/>
                      </w:rPr>
                    </w:pPr>
                    <w:r>
                      <w:rPr>
                        <w:noProof/>
                        <w:color w:val="000000"/>
                        <w:sz w:val="16"/>
                        <w:szCs w:val="16"/>
                      </w:rPr>
                      <w:t>[59]</w:t>
                    </w:r>
                  </w:p>
                </w:tc>
              </w:tr>
              <w:tr w:rsidR="004D61AD" w14:paraId="66DD28DF" w14:textId="77777777" w:rsidTr="00181986">
                <w:trPr>
                  <w:cantSplit/>
                </w:trPr>
                <w:tc>
                  <w:tcPr>
                    <w:tcW w:w="8699" w:type="dxa"/>
                    <w:hideMark/>
                  </w:tcPr>
                  <w:p w14:paraId="6AE2D8C8" w14:textId="77777777" w:rsidR="004D61AD" w:rsidRDefault="004D61AD" w:rsidP="00181986">
                    <w:pPr>
                      <w:pStyle w:val="Bibliographie"/>
                      <w:spacing w:line="240" w:lineRule="exact"/>
                      <w:rPr>
                        <w:noProof/>
                      </w:rPr>
                    </w:pPr>
                    <w:r>
                      <w:rPr>
                        <w:noProof/>
                      </w:rPr>
                      <w:t xml:space="preserve">World Bank and Ecofys (2018), </w:t>
                    </w:r>
                    <w:r>
                      <w:rPr>
                        <w:i/>
                        <w:iCs/>
                        <w:noProof/>
                      </w:rPr>
                      <w:t>State and Trends of Carbon Pricing 2018</w:t>
                    </w:r>
                    <w:r>
                      <w:rPr>
                        <w:noProof/>
                      </w:rPr>
                      <w:t xml:space="preserve">, Washington, DC: World Bank, </w:t>
                    </w:r>
                    <w:r>
                      <w:rPr>
                        <w:noProof/>
                        <w:color w:val="0000FF"/>
                        <w:u w:val="single"/>
                      </w:rPr>
                      <w:t>http://dx.doi.org/10.1596/978-1-4648-1292-7</w:t>
                    </w:r>
                    <w:r>
                      <w:rPr>
                        <w:noProof/>
                      </w:rPr>
                      <w:t>.</w:t>
                    </w:r>
                  </w:p>
                </w:tc>
                <w:tc>
                  <w:tcPr>
                    <w:tcW w:w="600" w:type="dxa"/>
                    <w:noWrap/>
                    <w:hideMark/>
                  </w:tcPr>
                  <w:p w14:paraId="1BA36818" w14:textId="77777777" w:rsidR="004D61AD" w:rsidRDefault="004D61AD" w:rsidP="00181986">
                    <w:pPr>
                      <w:spacing w:before="100" w:beforeAutospacing="1" w:after="100" w:afterAutospacing="1"/>
                      <w:jc w:val="right"/>
                      <w:rPr>
                        <w:noProof/>
                      </w:rPr>
                    </w:pPr>
                    <w:r>
                      <w:rPr>
                        <w:noProof/>
                        <w:color w:val="000000"/>
                        <w:sz w:val="16"/>
                        <w:szCs w:val="16"/>
                      </w:rPr>
                      <w:t>[4]</w:t>
                    </w:r>
                  </w:p>
                </w:tc>
              </w:tr>
              <w:tr w:rsidR="004D61AD" w14:paraId="1BC2288B" w14:textId="77777777" w:rsidTr="00181986">
                <w:trPr>
                  <w:cantSplit/>
                </w:trPr>
                <w:tc>
                  <w:tcPr>
                    <w:tcW w:w="8699" w:type="dxa"/>
                    <w:hideMark/>
                  </w:tcPr>
                  <w:p w14:paraId="4D75F024" w14:textId="77777777" w:rsidR="004D61AD" w:rsidRDefault="004D61AD" w:rsidP="00181986">
                    <w:pPr>
                      <w:pStyle w:val="Bibliographie"/>
                      <w:spacing w:line="240" w:lineRule="exact"/>
                      <w:rPr>
                        <w:noProof/>
                      </w:rPr>
                    </w:pPr>
                    <w:r>
                      <w:rPr>
                        <w:noProof/>
                      </w:rPr>
                      <w:t xml:space="preserve">Yamazaki, A. (2017), “Jobs and climate policy: Evidence from British Columbia's revenue-neutral carbon tax”, </w:t>
                    </w:r>
                    <w:r>
                      <w:rPr>
                        <w:i/>
                        <w:iCs/>
                        <w:noProof/>
                      </w:rPr>
                      <w:t>Journal of Environmental Economics and Management</w:t>
                    </w:r>
                    <w:r>
                      <w:rPr>
                        <w:noProof/>
                      </w:rPr>
                      <w:t xml:space="preserve">, Vol. 83, pp. 197-216, </w:t>
                    </w:r>
                    <w:r>
                      <w:rPr>
                        <w:noProof/>
                        <w:color w:val="0000FF"/>
                        <w:u w:val="single"/>
                      </w:rPr>
                      <w:t>http://dx.doi.org/10.1016/j.jeem.2017.03.003</w:t>
                    </w:r>
                    <w:r>
                      <w:rPr>
                        <w:noProof/>
                      </w:rPr>
                      <w:t>.</w:t>
                    </w:r>
                  </w:p>
                </w:tc>
                <w:tc>
                  <w:tcPr>
                    <w:tcW w:w="600" w:type="dxa"/>
                    <w:noWrap/>
                    <w:hideMark/>
                  </w:tcPr>
                  <w:p w14:paraId="408A7BF4" w14:textId="77777777" w:rsidR="004D61AD" w:rsidRDefault="004D61AD" w:rsidP="00181986">
                    <w:pPr>
                      <w:spacing w:before="100" w:beforeAutospacing="1" w:after="100" w:afterAutospacing="1"/>
                      <w:jc w:val="right"/>
                      <w:rPr>
                        <w:noProof/>
                      </w:rPr>
                    </w:pPr>
                    <w:r>
                      <w:rPr>
                        <w:noProof/>
                        <w:color w:val="000000"/>
                        <w:sz w:val="16"/>
                        <w:szCs w:val="16"/>
                      </w:rPr>
                      <w:t>[55]</w:t>
                    </w:r>
                  </w:p>
                </w:tc>
              </w:tr>
              <w:tr w:rsidR="004D61AD" w14:paraId="0B34C94A" w14:textId="77777777" w:rsidTr="00181986">
                <w:trPr>
                  <w:cantSplit/>
                </w:trPr>
                <w:tc>
                  <w:tcPr>
                    <w:tcW w:w="8699" w:type="dxa"/>
                    <w:hideMark/>
                  </w:tcPr>
                  <w:p w14:paraId="029A1B5D" w14:textId="77777777" w:rsidR="004D61AD" w:rsidRDefault="004D61AD" w:rsidP="00181986">
                    <w:pPr>
                      <w:pStyle w:val="Bibliographie"/>
                      <w:spacing w:line="240" w:lineRule="exact"/>
                      <w:rPr>
                        <w:noProof/>
                      </w:rPr>
                    </w:pPr>
                    <w:r>
                      <w:rPr>
                        <w:noProof/>
                      </w:rPr>
                      <w:t xml:space="preserve">Yu, H. (2013), “The EU ETS and firm profits : an ex-post analysis for Swedish energy firms”, </w:t>
                    </w:r>
                    <w:r>
                      <w:rPr>
                        <w:i/>
                        <w:iCs/>
                        <w:noProof/>
                      </w:rPr>
                      <w:t>Environmental Economics</w:t>
                    </w:r>
                    <w:r>
                      <w:rPr>
                        <w:noProof/>
                      </w:rPr>
                      <w:t>.</w:t>
                    </w:r>
                  </w:p>
                  <w:p w14:paraId="6D188178" w14:textId="77777777" w:rsidR="00C15C20" w:rsidRPr="00512445" w:rsidRDefault="00C15C20" w:rsidP="009A625F">
                    <w:pPr>
                      <w:pStyle w:val="Bibliographie"/>
                      <w:spacing w:line="240" w:lineRule="exact"/>
                    </w:pPr>
                    <w:r w:rsidRPr="00512445">
                      <w:rPr>
                        <w:noProof/>
                      </w:rPr>
                      <w:t xml:space="preserve">Zhang, Z., and Zhang, Z. (2017), "Intermediate input linkage and carbon leakage", Environment and Development Economics, Vol. 22/6, pp. 725-746, </w:t>
                    </w:r>
                    <w:hyperlink r:id="rId26" w:tgtFrame="_blank" w:history="1">
                      <w:r w:rsidRPr="00512445">
                        <w:rPr>
                          <w:noProof/>
                        </w:rPr>
                        <w:t>https://doi.org/10.1017/S1355770X17000250</w:t>
                      </w:r>
                    </w:hyperlink>
                    <w:r w:rsidRPr="00512445">
                      <w:rPr>
                        <w:rFonts w:eastAsia="Times New Roman"/>
                        <w:szCs w:val="22"/>
                        <w:lang w:eastAsia="en-GB"/>
                      </w:rPr>
                      <w:t>.</w:t>
                    </w:r>
                  </w:p>
                </w:tc>
                <w:tc>
                  <w:tcPr>
                    <w:tcW w:w="600" w:type="dxa"/>
                    <w:noWrap/>
                    <w:hideMark/>
                  </w:tcPr>
                  <w:p w14:paraId="602BCBC2" w14:textId="77777777" w:rsidR="004D61AD" w:rsidRDefault="004D61AD" w:rsidP="00181986">
                    <w:pPr>
                      <w:spacing w:before="100" w:beforeAutospacing="1" w:after="100" w:afterAutospacing="1"/>
                      <w:jc w:val="right"/>
                      <w:rPr>
                        <w:noProof/>
                      </w:rPr>
                    </w:pPr>
                    <w:r>
                      <w:rPr>
                        <w:noProof/>
                        <w:color w:val="000000"/>
                        <w:sz w:val="16"/>
                        <w:szCs w:val="16"/>
                      </w:rPr>
                      <w:t>[64]</w:t>
                    </w:r>
                  </w:p>
                </w:tc>
              </w:tr>
            </w:tbl>
            <w:p w14:paraId="78E32BD2" w14:textId="0E19B0A8" w:rsidR="00512445" w:rsidRDefault="004D61AD" w:rsidP="00997125">
              <w:pPr>
                <w:spacing w:line="240" w:lineRule="exact"/>
                <w:sectPr w:rsidR="00512445" w:rsidSect="00181986">
                  <w:endnotePr>
                    <w:numFmt w:val="decimal"/>
                    <w:numRestart w:val="eachSect"/>
                  </w:endnotePr>
                  <w:pgSz w:w="11907" w:h="16840" w:code="9"/>
                  <w:pgMar w:top="2098" w:right="1304" w:bottom="1928" w:left="1304" w:header="1531" w:footer="1134" w:gutter="0"/>
                  <w:cols w:space="720"/>
                  <w:docGrid w:linePitch="360"/>
                </w:sectPr>
              </w:pPr>
              <w:r>
                <w:rPr>
                  <w:b/>
                  <w:bCs/>
                  <w:noProof/>
                </w:rPr>
                <w:fldChar w:fldCharType="end"/>
              </w:r>
            </w:p>
          </w:sdtContent>
        </w:sdt>
      </w:sdtContent>
    </w:sdt>
    <w:p w14:paraId="219BDF90" w14:textId="77777777" w:rsidR="00A6435F" w:rsidRDefault="00A6435F" w:rsidP="00EF3DA1">
      <w:pPr>
        <w:tabs>
          <w:tab w:val="clear" w:pos="850"/>
          <w:tab w:val="clear" w:pos="1191"/>
          <w:tab w:val="clear" w:pos="1531"/>
        </w:tabs>
        <w:spacing w:after="160" w:line="259" w:lineRule="auto"/>
        <w:jc w:val="left"/>
      </w:pPr>
    </w:p>
    <w:sectPr w:rsidR="00A6435F" w:rsidSect="00512445">
      <w:endnotePr>
        <w:numFmt w:val="decimal"/>
        <w:numRestart w:val="eachSect"/>
      </w:endnotePr>
      <w:pgSz w:w="16840" w:h="11907" w:orient="landscape" w:code="9"/>
      <w:pgMar w:top="1304" w:right="2098" w:bottom="1304" w:left="1928" w:header="153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9DAB4" w14:textId="77777777" w:rsidR="00504ED9" w:rsidRDefault="00504ED9" w:rsidP="004D61AD">
      <w:r>
        <w:separator/>
      </w:r>
    </w:p>
  </w:endnote>
  <w:endnote w:type="continuationSeparator" w:id="0">
    <w:p w14:paraId="2473B1FA" w14:textId="77777777" w:rsidR="00504ED9" w:rsidRDefault="00504ED9" w:rsidP="004D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roman"/>
    <w:notTrueType/>
    <w:pitch w:val="variable"/>
    <w:sig w:usb0="00000003" w:usb1="00000000" w:usb2="00000000" w:usb3="00000000" w:csb0="00000001" w:csb1="00000000"/>
  </w:font>
  <w:font w:name="Bernini Sans">
    <w:altName w:val="Arial"/>
    <w:panose1 w:val="00000000000000000000"/>
    <w:charset w:val="00"/>
    <w:family w:val="modern"/>
    <w:notTrueType/>
    <w:pitch w:val="variable"/>
    <w:sig w:usb0="A00000FF" w:usb1="00000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tatLink">
    <w:charset w:val="00"/>
    <w:family w:val="auto"/>
    <w:pitch w:val="variable"/>
    <w:sig w:usb0="80000003" w:usb1="00000000" w:usb2="00000000" w:usb3="00000000" w:csb0="00000001" w:csb1="00000000"/>
  </w:font>
  <w:font w:name="Caecilia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20386" w14:textId="77777777" w:rsidR="00504ED9" w:rsidRDefault="00504ED9" w:rsidP="004D61AD">
      <w:r>
        <w:separator/>
      </w:r>
    </w:p>
  </w:footnote>
  <w:footnote w:type="continuationSeparator" w:id="0">
    <w:p w14:paraId="2E812845" w14:textId="77777777" w:rsidR="00504ED9" w:rsidRDefault="00504ED9" w:rsidP="004D61AD">
      <w:r>
        <w:continuationSeparator/>
      </w:r>
    </w:p>
  </w:footnote>
  <w:footnote w:id="1">
    <w:p w14:paraId="6464897D" w14:textId="1C7FF8E3" w:rsidR="006C5ABA" w:rsidRDefault="006C5ABA">
      <w:pPr>
        <w:pStyle w:val="Notedebasdepage"/>
      </w:pPr>
      <w:r>
        <w:rPr>
          <w:rStyle w:val="Appelnotedebasdep"/>
        </w:rPr>
        <w:footnoteRef/>
      </w:r>
      <w:r>
        <w:t xml:space="preserve"> </w:t>
      </w:r>
      <w:bookmarkStart w:id="4" w:name="_Hlk38536776"/>
      <w:r>
        <w:t xml:space="preserve">Carbon leakage is defined as the increase of emissions abroad as a causal effect of climate policy </w:t>
      </w:r>
      <w:proofErr w:type="gramStart"/>
      <w:r>
        <w:t>in a given</w:t>
      </w:r>
      <w:proofErr w:type="gramEnd"/>
      <w:r>
        <w:t xml:space="preserve"> jurisdiction. Competitiveness impacts are only one channel of carbon leakage (Zhang and Zhang, 2017). Carbon pricing will reduce emissions and energy demand in the regulated jurisdictions, leading to </w:t>
      </w:r>
      <w:r w:rsidRPr="00997125">
        <w:t xml:space="preserve">lower world market prices for </w:t>
      </w:r>
      <w:r>
        <w:t>fossil fuels, which increases emissions in unregulated regions. Inversely, carbon pricing will make low-carbon technologies cheaper, lowering emissions in unregulated regions. See Partnership of Market Readiness (2015) for an overview of leakage estimates.</w:t>
      </w:r>
      <w:bookmarkEnd w:id="4"/>
    </w:p>
  </w:footnote>
  <w:footnote w:id="2">
    <w:p w14:paraId="0D302360" w14:textId="77777777" w:rsidR="006C5ABA" w:rsidRDefault="006C5ABA" w:rsidP="004D61AD">
      <w:pPr>
        <w:pStyle w:val="Notedebasdepage"/>
      </w:pPr>
      <w:r>
        <w:rPr>
          <w:rStyle w:val="Appelnotedebasdep"/>
        </w:rPr>
        <w:footnoteRef/>
      </w:r>
      <w:r>
        <w:t xml:space="preserve"> Equals EUR 7,58 based on the exchange rate on 31 December 2012.</w:t>
      </w:r>
    </w:p>
  </w:footnote>
  <w:footnote w:id="3">
    <w:p w14:paraId="0AC9D5D2" w14:textId="77777777" w:rsidR="006C5ABA" w:rsidRDefault="006C5ABA">
      <w:pPr>
        <w:pStyle w:val="Notedebasdepage"/>
      </w:pPr>
      <w:r>
        <w:rPr>
          <w:rStyle w:val="Appelnotedebasdep"/>
        </w:rPr>
        <w:footnoteRef/>
      </w:r>
      <w:r>
        <w:t xml:space="preserve"> </w:t>
      </w:r>
      <w:r w:rsidRPr="00512445">
        <w:rPr>
          <w:sz w:val="18"/>
          <w:szCs w:val="18"/>
        </w:rPr>
        <w:t>While there are some differences in the design of ETSs, we cannot draw clear conclusions on the effect of these differences on competitiveness.</w:t>
      </w:r>
      <w:r>
        <w:t xml:space="preserve"> </w:t>
      </w:r>
    </w:p>
  </w:footnote>
  <w:footnote w:id="4">
    <w:p w14:paraId="7C1C98C0" w14:textId="77777777" w:rsidR="006C5ABA" w:rsidRPr="000E4422" w:rsidRDefault="006C5ABA" w:rsidP="004D61AD">
      <w:pPr>
        <w:pStyle w:val="Notedebasdepage"/>
      </w:pPr>
      <w:r>
        <w:rPr>
          <w:rStyle w:val="Appelnotedebasdep"/>
        </w:rPr>
        <w:footnoteRef/>
      </w:r>
      <w:r w:rsidRPr="000E4422">
        <w:t xml:space="preserve"> </w:t>
      </w:r>
      <w:bookmarkStart w:id="13" w:name="_Hlk38578592"/>
      <w:r w:rsidRPr="0039358B">
        <w:rPr>
          <w:sz w:val="18"/>
          <w:szCs w:val="18"/>
        </w:rPr>
        <w:t>The Historical Activity Level is calculated as the median (middle value) of the yearly production volume between 2005 and 2008 or the median of the production volume between 2009 and 2010. Free allocation after 2020 will be determined by the mean volume of production in 2014-2018.</w:t>
      </w:r>
      <w:bookmarkEnd w:id="13"/>
    </w:p>
  </w:footnote>
  <w:footnote w:id="5">
    <w:p w14:paraId="701CF82E" w14:textId="67478162" w:rsidR="006C5ABA" w:rsidRDefault="006C5ABA" w:rsidP="004D61AD">
      <w:pPr>
        <w:pStyle w:val="Notedebasdepage"/>
      </w:pPr>
      <w:r>
        <w:rPr>
          <w:rStyle w:val="Appelnotedebasdep"/>
        </w:rPr>
        <w:footnoteRef/>
      </w:r>
      <w:r>
        <w:t xml:space="preserve"> </w:t>
      </w:r>
      <w:r w:rsidRPr="0039358B">
        <w:rPr>
          <w:sz w:val="18"/>
          <w:szCs w:val="18"/>
        </w:rPr>
        <w:t>There are far fewer studies on the competitiveness impacts of carbon taxes compared to emission</w:t>
      </w:r>
      <w:r>
        <w:rPr>
          <w:sz w:val="18"/>
          <w:szCs w:val="18"/>
        </w:rPr>
        <w:t>s</w:t>
      </w:r>
      <w:r w:rsidRPr="0039358B">
        <w:rPr>
          <w:sz w:val="18"/>
          <w:szCs w:val="18"/>
        </w:rPr>
        <w:t xml:space="preserve"> trading </w:t>
      </w:r>
      <w:proofErr w:type="gramStart"/>
      <w:r w:rsidRPr="0039358B">
        <w:rPr>
          <w:sz w:val="18"/>
          <w:szCs w:val="18"/>
        </w:rPr>
        <w:t>schemes, because</w:t>
      </w:r>
      <w:proofErr w:type="gramEnd"/>
      <w:r w:rsidRPr="0039358B">
        <w:rPr>
          <w:sz w:val="18"/>
          <w:szCs w:val="18"/>
        </w:rPr>
        <w:t xml:space="preserve"> industry is often exempt from high carbon tax rates. Also, identification strategies are more </w:t>
      </w:r>
      <w:proofErr w:type="gramStart"/>
      <w:r w:rsidRPr="0039358B">
        <w:rPr>
          <w:sz w:val="18"/>
          <w:szCs w:val="18"/>
        </w:rPr>
        <w:t>difficult, since</w:t>
      </w:r>
      <w:proofErr w:type="gramEnd"/>
      <w:r w:rsidRPr="0039358B">
        <w:rPr>
          <w:sz w:val="18"/>
          <w:szCs w:val="18"/>
        </w:rPr>
        <w:t xml:space="preserve"> a carbon tax generally covers all firms within a sector and has much less price variation over time.</w:t>
      </w:r>
    </w:p>
  </w:footnote>
  <w:footnote w:id="6">
    <w:p w14:paraId="2269F56C" w14:textId="7DBEE092" w:rsidR="006C5ABA" w:rsidRPr="00BD4BFF" w:rsidRDefault="006C5ABA" w:rsidP="004D61AD">
      <w:r>
        <w:rPr>
          <w:rStyle w:val="Appelnotedebasdep"/>
        </w:rPr>
        <w:footnoteRef/>
      </w:r>
      <w:r w:rsidRPr="00BD4BFF">
        <w:t xml:space="preserve"> </w:t>
      </w:r>
      <w:r w:rsidRPr="009047A3">
        <w:rPr>
          <w:sz w:val="18"/>
          <w:szCs w:val="18"/>
        </w:rPr>
        <w:t xml:space="preserve">The main reason is a </w:t>
      </w:r>
      <w:proofErr w:type="spellStart"/>
      <w:r w:rsidRPr="009047A3">
        <w:rPr>
          <w:sz w:val="18"/>
          <w:szCs w:val="18"/>
        </w:rPr>
        <w:t>perceptional</w:t>
      </w:r>
      <w:proofErr w:type="spellEnd"/>
      <w:r w:rsidRPr="009047A3">
        <w:rPr>
          <w:sz w:val="18"/>
          <w:szCs w:val="18"/>
        </w:rPr>
        <w:t xml:space="preserve"> bias. “An implication of the endowment effect is that people treat opportunity costs differently than ‘out of pocket’ costs. Foregone gains are less painful than perceived losses. Endowment effects are predicted for property rights acquired by historic accident or fortuitous circumstances, such as government licences, landing rights, or transferable pollution permits”</w:t>
      </w:r>
      <w:r>
        <w:rPr>
          <w:sz w:val="18"/>
          <w:szCs w:val="18"/>
        </w:rPr>
        <w:t xml:space="preserve"> </w:t>
      </w:r>
      <w:r w:rsidRPr="0096259C">
        <w:rPr>
          <w:noProof/>
          <w:sz w:val="18"/>
          <w:szCs w:val="18"/>
        </w:rPr>
        <w:t>(Kahneman, Knetsch and Thaler, 1990</w:t>
      </w:r>
      <w:r w:rsidRPr="0096259C">
        <w:rPr>
          <w:noProof/>
          <w:sz w:val="18"/>
          <w:szCs w:val="18"/>
          <w:vertAlign w:val="subscript"/>
        </w:rPr>
        <w:t>[44]</w:t>
      </w:r>
      <w:r w:rsidRPr="0096259C">
        <w:rPr>
          <w:noProof/>
          <w:sz w:val="18"/>
          <w:szCs w:val="18"/>
        </w:rPr>
        <w:t>)</w:t>
      </w:r>
      <w:r w:rsidRPr="009047A3">
        <w:rPr>
          <w:sz w:val="18"/>
          <w:szCs w:val="18"/>
        </w:rPr>
        <w:t>. Next, cash costs also have a different risk profile compared to opportunity costs. Cash costs are more likely to lead to bankruptcy than opportunity costs</w:t>
      </w:r>
      <w:r>
        <w:rPr>
          <w:sz w:val="18"/>
          <w:szCs w:val="18"/>
        </w:rPr>
        <w:t xml:space="preserve"> (Venmans, 2016)</w:t>
      </w:r>
      <w:r w:rsidRPr="009047A3">
        <w:rPr>
          <w:sz w:val="18"/>
          <w:szCs w:val="18"/>
        </w:rPr>
        <w:t>.</w:t>
      </w:r>
    </w:p>
  </w:footnote>
  <w:footnote w:id="7">
    <w:p w14:paraId="1B687673" w14:textId="14C06C9A" w:rsidR="006C5ABA" w:rsidRPr="00512445" w:rsidRDefault="006C5ABA" w:rsidP="00512445">
      <w:pPr>
        <w:pStyle w:val="Para0"/>
        <w:ind w:left="0"/>
        <w:rPr>
          <w:sz w:val="18"/>
          <w:szCs w:val="18"/>
        </w:rPr>
      </w:pPr>
      <w:r>
        <w:rPr>
          <w:rStyle w:val="Appelnotedebasdep"/>
        </w:rPr>
        <w:footnoteRef/>
      </w:r>
      <w:r>
        <w:t xml:space="preserve"> </w:t>
      </w:r>
      <w:r w:rsidRPr="00512445">
        <w:rPr>
          <w:sz w:val="18"/>
          <w:szCs w:val="18"/>
        </w:rPr>
        <w:t xml:space="preserve">Price uncertainty has four effects on investment: </w:t>
      </w:r>
    </w:p>
    <w:p w14:paraId="6BA869B2" w14:textId="17251B01" w:rsidR="006C5ABA" w:rsidRPr="00512445" w:rsidRDefault="006C5ABA" w:rsidP="00512445">
      <w:pPr>
        <w:pStyle w:val="Para0"/>
        <w:numPr>
          <w:ilvl w:val="0"/>
          <w:numId w:val="46"/>
        </w:numPr>
        <w:rPr>
          <w:sz w:val="18"/>
          <w:szCs w:val="18"/>
        </w:rPr>
      </w:pPr>
      <w:r w:rsidRPr="00512445">
        <w:rPr>
          <w:sz w:val="18"/>
          <w:szCs w:val="18"/>
        </w:rPr>
        <w:t xml:space="preserve">The carbon price volatility is procyclical. The carbon price tends to decrease in economic downturns, which is risk-hedging. This reduces </w:t>
      </w:r>
      <w:r>
        <w:rPr>
          <w:sz w:val="18"/>
          <w:szCs w:val="18"/>
        </w:rPr>
        <w:t xml:space="preserve">the risk-adjusted </w:t>
      </w:r>
      <w:r w:rsidRPr="00512445">
        <w:rPr>
          <w:sz w:val="18"/>
          <w:szCs w:val="18"/>
        </w:rPr>
        <w:t>carbon costs compared to a less volatile price with the same mean.</w:t>
      </w:r>
    </w:p>
    <w:p w14:paraId="36EBC37B" w14:textId="2D2BB3D3" w:rsidR="006C5ABA" w:rsidRPr="00512445" w:rsidRDefault="006C5ABA" w:rsidP="00512445">
      <w:pPr>
        <w:pStyle w:val="Para0"/>
        <w:numPr>
          <w:ilvl w:val="0"/>
          <w:numId w:val="46"/>
        </w:numPr>
        <w:rPr>
          <w:sz w:val="18"/>
          <w:szCs w:val="18"/>
        </w:rPr>
      </w:pPr>
      <w:r w:rsidRPr="00512445">
        <w:rPr>
          <w:sz w:val="18"/>
          <w:szCs w:val="18"/>
        </w:rPr>
        <w:t>Firms anticipate future carbon price scenarios, each with a specific probability, when they take an investment decision today. In scenarios with increasing carbon prices in the future, early innovators in low-emission</w:t>
      </w:r>
      <w:r w:rsidRPr="00512445">
        <w:rPr>
          <w:sz w:val="20"/>
        </w:rPr>
        <w:t xml:space="preserve"> </w:t>
      </w:r>
      <w:r w:rsidRPr="00512445">
        <w:rPr>
          <w:sz w:val="18"/>
          <w:szCs w:val="18"/>
        </w:rPr>
        <w:t>technologies gain market share, while slow innovators make losses. This creates an incentive to invest, especially in innovation.</w:t>
      </w:r>
    </w:p>
    <w:p w14:paraId="0DB71C3B" w14:textId="0A5C7C65" w:rsidR="006C5ABA" w:rsidRPr="00512445" w:rsidRDefault="006C5ABA" w:rsidP="00512445">
      <w:pPr>
        <w:pStyle w:val="Para0"/>
        <w:numPr>
          <w:ilvl w:val="0"/>
          <w:numId w:val="46"/>
        </w:numPr>
        <w:rPr>
          <w:sz w:val="18"/>
          <w:szCs w:val="18"/>
        </w:rPr>
      </w:pPr>
      <w:r w:rsidRPr="00512445">
        <w:rPr>
          <w:sz w:val="18"/>
          <w:szCs w:val="18"/>
        </w:rPr>
        <w:t xml:space="preserve">Firms also anticipate future scenarios in which the carbon price is extremely high, making them want to relocate (causing stranded assets). This is a barrier for investments with a </w:t>
      </w:r>
      <w:proofErr w:type="gramStart"/>
      <w:r w:rsidRPr="00512445">
        <w:rPr>
          <w:sz w:val="18"/>
          <w:szCs w:val="18"/>
        </w:rPr>
        <w:t>long time</w:t>
      </w:r>
      <w:proofErr w:type="gramEnd"/>
      <w:r w:rsidRPr="00512445">
        <w:rPr>
          <w:sz w:val="18"/>
          <w:szCs w:val="18"/>
        </w:rPr>
        <w:t xml:space="preserve"> horizon.</w:t>
      </w:r>
    </w:p>
    <w:p w14:paraId="3B8F8A7B" w14:textId="4FE3F89A" w:rsidR="006C5ABA" w:rsidRPr="00512445" w:rsidRDefault="006C5ABA" w:rsidP="00512445">
      <w:pPr>
        <w:pStyle w:val="Para0"/>
        <w:numPr>
          <w:ilvl w:val="0"/>
          <w:numId w:val="46"/>
        </w:numPr>
        <w:rPr>
          <w:sz w:val="18"/>
          <w:szCs w:val="18"/>
        </w:rPr>
      </w:pPr>
      <w:r w:rsidRPr="00512445">
        <w:rPr>
          <w:sz w:val="18"/>
          <w:szCs w:val="18"/>
        </w:rPr>
        <w:t>Finally, firms anticipate future scenarios with very low carbon prices, in which certain abatement investments would be unprofitable. This a barrier for these abatement investments.</w:t>
      </w:r>
    </w:p>
  </w:footnote>
  <w:footnote w:id="8">
    <w:p w14:paraId="55F8FBB0" w14:textId="35DD11C9" w:rsidR="006C5ABA" w:rsidRPr="00512445" w:rsidRDefault="006C5ABA" w:rsidP="00512445">
      <w:pPr>
        <w:pStyle w:val="Notedebasdepage"/>
        <w:ind w:left="0"/>
        <w:rPr>
          <w:sz w:val="18"/>
          <w:szCs w:val="18"/>
        </w:rPr>
      </w:pPr>
      <w:r w:rsidRPr="00512445">
        <w:rPr>
          <w:rStyle w:val="Appelnotedebasdep"/>
          <w:sz w:val="18"/>
          <w:szCs w:val="18"/>
        </w:rPr>
        <w:footnoteRef/>
      </w:r>
      <w:r w:rsidRPr="00512445">
        <w:rPr>
          <w:sz w:val="18"/>
          <w:szCs w:val="18"/>
        </w:rPr>
        <w:t xml:space="preserve"> An energy tax of </w:t>
      </w:r>
      <m:oMath>
        <m:r>
          <w:rPr>
            <w:rFonts w:ascii="Cambria Math" w:hAnsi="Cambria Math"/>
            <w:sz w:val="18"/>
            <w:szCs w:val="18"/>
          </w:rPr>
          <m:t>τ</m:t>
        </m:r>
      </m:oMath>
      <w:r w:rsidRPr="00512445">
        <w:rPr>
          <w:sz w:val="18"/>
          <w:szCs w:val="18"/>
        </w:rPr>
        <w:t xml:space="preserve"> € per unit of fuel with a CO</w:t>
      </w:r>
      <w:r w:rsidRPr="00512445">
        <w:rPr>
          <w:sz w:val="18"/>
          <w:szCs w:val="18"/>
          <w:vertAlign w:val="subscript"/>
        </w:rPr>
        <w:t>2</w:t>
      </w:r>
      <w:r w:rsidRPr="00512445">
        <w:rPr>
          <w:sz w:val="18"/>
          <w:szCs w:val="18"/>
        </w:rPr>
        <w:t xml:space="preserve"> intensity of </w:t>
      </w:r>
      <m:oMath>
        <m:r>
          <w:rPr>
            <w:rFonts w:ascii="Cambria Math" w:hAnsi="Cambria Math"/>
            <w:sz w:val="18"/>
            <w:szCs w:val="18"/>
          </w:rPr>
          <m:t>I</m:t>
        </m:r>
      </m:oMath>
      <w:r w:rsidRPr="00512445">
        <w:rPr>
          <w:sz w:val="18"/>
          <w:szCs w:val="18"/>
        </w:rPr>
        <w:t xml:space="preserve"> tCO</w:t>
      </w:r>
      <w:r w:rsidRPr="00512445">
        <w:rPr>
          <w:sz w:val="18"/>
          <w:szCs w:val="18"/>
          <w:vertAlign w:val="subscript"/>
        </w:rPr>
        <w:t>2</w:t>
      </w:r>
      <w:r w:rsidRPr="00512445">
        <w:rPr>
          <w:sz w:val="18"/>
          <w:szCs w:val="18"/>
        </w:rPr>
        <w:t xml:space="preserve"> per unit of fuel corresponds to an implicit carbon tax of </w:t>
      </w:r>
      <m:oMath>
        <m:r>
          <w:rPr>
            <w:rFonts w:ascii="Cambria Math" w:hAnsi="Cambria Math"/>
            <w:sz w:val="18"/>
            <w:szCs w:val="18"/>
          </w:rPr>
          <m:t>τ / I</m:t>
        </m:r>
      </m:oMath>
      <w:r w:rsidRPr="00512445">
        <w:rPr>
          <w:sz w:val="18"/>
          <w:szCs w:val="18"/>
        </w:rPr>
        <w:t xml:space="preserve"> € per tonne of CO</w:t>
      </w:r>
      <w:r w:rsidRPr="00512445">
        <w:rPr>
          <w:sz w:val="18"/>
          <w:szCs w:val="18"/>
          <w:vertAlign w:val="subscript"/>
        </w:rPr>
        <w:t>2</w:t>
      </w:r>
      <w:r w:rsidRPr="00512445">
        <w:rPr>
          <w:sz w:val="18"/>
          <w:szCs w:val="18"/>
        </w:rPr>
        <w:t xml:space="preserve">. Energy taxes can be made proportional to their carbon content and result in a unique implicit carbon price across fuels. Yet, most energy taxes are based on the energy </w:t>
      </w:r>
      <w:proofErr w:type="gramStart"/>
      <w:r w:rsidRPr="00512445">
        <w:rPr>
          <w:sz w:val="18"/>
          <w:szCs w:val="18"/>
        </w:rPr>
        <w:t>content..</w:t>
      </w:r>
      <w:proofErr w:type="gramEnd"/>
    </w:p>
  </w:footnote>
  <w:footnote w:id="9">
    <w:p w14:paraId="4BDC6568" w14:textId="77777777" w:rsidR="006C5ABA" w:rsidRPr="009047A3" w:rsidRDefault="006C5ABA" w:rsidP="004D61AD">
      <w:pPr>
        <w:pStyle w:val="Notedebasdepage"/>
        <w:rPr>
          <w:sz w:val="18"/>
          <w:szCs w:val="18"/>
        </w:rPr>
      </w:pPr>
      <w:r>
        <w:rPr>
          <w:rStyle w:val="Appelnotedebasdep"/>
        </w:rPr>
        <w:footnoteRef/>
      </w:r>
      <w:r w:rsidRPr="00572639">
        <w:t xml:space="preserve"> </w:t>
      </w:r>
      <w:r w:rsidRPr="009047A3">
        <w:rPr>
          <w:sz w:val="18"/>
          <w:szCs w:val="18"/>
        </w:rPr>
        <w:t xml:space="preserve">Even if aluminium producers produce their own electricity, they will have to buy auctioned emission allowances for their electricity production. </w:t>
      </w:r>
    </w:p>
  </w:footnote>
  <w:footnote w:id="10">
    <w:p w14:paraId="612B11C8" w14:textId="77777777" w:rsidR="006C5ABA" w:rsidRDefault="006C5ABA" w:rsidP="004D61AD">
      <w:pPr>
        <w:pStyle w:val="Notedebasdepage"/>
      </w:pPr>
      <w:r>
        <w:rPr>
          <w:rStyle w:val="Appelnotedebasdep"/>
        </w:rPr>
        <w:footnoteRef/>
      </w:r>
      <w:r>
        <w:t xml:space="preserve"> </w:t>
      </w:r>
      <w:r w:rsidRPr="00D87A77">
        <w:rPr>
          <w:sz w:val="18"/>
          <w:szCs w:val="18"/>
        </w:rPr>
        <w:t>Eligible sectors are specified in Annex II of the Guidelines and include, inter alia, aluminium production, lead, zinc and tin production, manufacture of paper and paperboard.</w:t>
      </w:r>
    </w:p>
  </w:footnote>
  <w:footnote w:id="11">
    <w:p w14:paraId="4C561F0A" w14:textId="77777777" w:rsidR="006C5ABA" w:rsidRDefault="006C5ABA" w:rsidP="004D61AD">
      <w:pPr>
        <w:pStyle w:val="Notedebasdepage"/>
      </w:pPr>
      <w:r>
        <w:rPr>
          <w:rStyle w:val="Appelnotedebasdep"/>
        </w:rPr>
        <w:footnoteRef/>
      </w:r>
      <w:r>
        <w:t xml:space="preserve"> </w:t>
      </w:r>
      <w:r w:rsidRPr="009047A3">
        <w:rPr>
          <w:sz w:val="18"/>
          <w:szCs w:val="18"/>
        </w:rPr>
        <w:t>Firms with high international competition may still chose to increase prices and lower their market share. Even without international competition, cost pass through also depends on market structure (monopoly power). Cost pass through is therefore an imperfect measure of international competitiveness.</w:t>
      </w:r>
    </w:p>
  </w:footnote>
  <w:footnote w:id="12">
    <w:p w14:paraId="1EF1A65D" w14:textId="77777777" w:rsidR="006C5ABA" w:rsidRPr="0050224D" w:rsidRDefault="006C5ABA" w:rsidP="004D61AD">
      <w:pPr>
        <w:pStyle w:val="Notedebasdepage"/>
      </w:pPr>
      <w:r>
        <w:rPr>
          <w:rStyle w:val="Appelnotedebasdep"/>
        </w:rPr>
        <w:footnoteRef/>
      </w:r>
      <w:r w:rsidRPr="0050224D">
        <w:t xml:space="preserve"> </w:t>
      </w:r>
      <w:r>
        <w:t xml:space="preserve">Defined as </w:t>
      </w:r>
      <m:oMath>
        <m:f>
          <m:fPr>
            <m:ctrlPr>
              <w:rPr>
                <w:rFonts w:ascii="Cambria Math" w:hAnsi="Cambria Math"/>
                <w:i/>
              </w:rPr>
            </m:ctrlPr>
          </m:fPr>
          <m:num>
            <m:r>
              <w:rPr>
                <w:rFonts w:ascii="Cambria Math" w:hAnsi="Cambria Math"/>
              </w:rPr>
              <m:t>import + export</m:t>
            </m:r>
          </m:num>
          <m:den>
            <m:r>
              <w:rPr>
                <w:rFonts w:ascii="Cambria Math" w:hAnsi="Cambria Math"/>
              </w:rPr>
              <m:t>turnover + import</m:t>
            </m:r>
          </m:den>
        </m:f>
      </m:oMath>
      <w:r>
        <w:rPr>
          <w:rFonts w:eastAsiaTheme="minorEastAsia"/>
        </w:rPr>
        <w:t xml:space="preserve"> , including only the extra-European trade.</w:t>
      </w:r>
    </w:p>
  </w:footnote>
  <w:footnote w:id="13">
    <w:p w14:paraId="690ADEB0" w14:textId="77777777" w:rsidR="006C5ABA" w:rsidRPr="00512445" w:rsidRDefault="006C5ABA" w:rsidP="00C02265">
      <w:pPr>
        <w:pStyle w:val="Notedebasdepage"/>
        <w:rPr>
          <w:sz w:val="18"/>
          <w:szCs w:val="18"/>
        </w:rPr>
      </w:pPr>
      <w:r>
        <w:rPr>
          <w:rStyle w:val="Appelnotedebasdep"/>
        </w:rPr>
        <w:footnoteRef/>
      </w:r>
      <w:r>
        <w:t xml:space="preserve"> </w:t>
      </w:r>
      <w:r w:rsidRPr="00512445">
        <w:rPr>
          <w:sz w:val="18"/>
          <w:szCs w:val="18"/>
          <w:lang w:eastAsia="en-GB"/>
        </w:rPr>
        <w:t xml:space="preserve">In fact, most of this time-series variation for energy prices can be attributed to changes in energy taxes (Sato et al., 2019), rendering energy prices a good proxy for changes in energy taxes. Yet, in cross-country studies energy prices do not perfectly capture the extent to which taxes affect competitiveness. While there are common factors that affect energy prices globally, such as oil and gas prices, </w:t>
      </w:r>
      <w:r>
        <w:rPr>
          <w:sz w:val="18"/>
          <w:szCs w:val="18"/>
          <w:lang w:eastAsia="en-GB"/>
        </w:rPr>
        <w:t xml:space="preserve">energy price variation can also result from </w:t>
      </w:r>
      <w:r w:rsidRPr="00512445">
        <w:rPr>
          <w:sz w:val="18"/>
          <w:szCs w:val="18"/>
          <w:lang w:eastAsia="en-GB"/>
        </w:rPr>
        <w:t>limited integration of energy markets due to transport costs or infrastructure bottlenecks.</w:t>
      </w:r>
      <w:r>
        <w:rPr>
          <w:sz w:val="18"/>
          <w:szCs w:val="18"/>
          <w:lang w:eastAsia="en-GB"/>
        </w:rPr>
        <w:t xml:space="preserve"> In addition, </w:t>
      </w:r>
      <w:r>
        <w:rPr>
          <w:sz w:val="18"/>
          <w:szCs w:val="18"/>
        </w:rPr>
        <w:t>e</w:t>
      </w:r>
      <w:r w:rsidRPr="00512445">
        <w:rPr>
          <w:sz w:val="18"/>
          <w:szCs w:val="18"/>
        </w:rPr>
        <w:t xml:space="preserve">nergy price fluctuations are found to have a lower effect on behaviour than energy taxes, because taxes are more salient and expected to have lasting effects (Rivers &amp; </w:t>
      </w:r>
      <w:proofErr w:type="spellStart"/>
      <w:r w:rsidRPr="00512445">
        <w:rPr>
          <w:sz w:val="18"/>
          <w:szCs w:val="18"/>
        </w:rPr>
        <w:t>Schaufele</w:t>
      </w:r>
      <w:proofErr w:type="spellEnd"/>
      <w:r w:rsidRPr="00512445">
        <w:rPr>
          <w:sz w:val="18"/>
          <w:szCs w:val="18"/>
        </w:rPr>
        <w:t>, 2015; Scott, 2012).</w:t>
      </w:r>
      <w:r>
        <w:rPr>
          <w:sz w:val="18"/>
          <w:szCs w:val="18"/>
        </w:rPr>
        <w:t xml:space="preserve"> Hence, results from studies using energy prices can be interpreted as a lower bound of the effect of carbon pricing.</w:t>
      </w:r>
    </w:p>
  </w:footnote>
  <w:footnote w:id="14">
    <w:p w14:paraId="0A382CBB" w14:textId="6E79F4AA" w:rsidR="006C5ABA" w:rsidRDefault="006C5ABA" w:rsidP="004D61AD">
      <w:pPr>
        <w:pStyle w:val="Notedebasdepage"/>
        <w:ind w:left="0"/>
      </w:pPr>
      <w:r>
        <w:rPr>
          <w:rStyle w:val="Appelnotedebasdep"/>
        </w:rPr>
        <w:footnoteRef/>
      </w:r>
      <w:r>
        <w:t xml:space="preserve"> </w:t>
      </w:r>
      <w:r w:rsidRPr="00FB3CA0">
        <w:rPr>
          <w:sz w:val="18"/>
          <w:szCs w:val="18"/>
        </w:rPr>
        <w:t xml:space="preserve">There are two ways in which free allocation may increase profits. The first is because free allowances create an opportunity cost and may therefore be passed through in sales prices, as was observed in electricity markets </w:t>
      </w:r>
      <w:r w:rsidRPr="00C624A9">
        <w:rPr>
          <w:sz w:val="18"/>
          <w:szCs w:val="18"/>
        </w:rPr>
        <w:t>(</w:t>
      </w:r>
      <w:proofErr w:type="spellStart"/>
      <w:r w:rsidRPr="00C624A9">
        <w:rPr>
          <w:sz w:val="18"/>
          <w:szCs w:val="18"/>
        </w:rPr>
        <w:t>Sijm</w:t>
      </w:r>
      <w:proofErr w:type="spellEnd"/>
      <w:r w:rsidRPr="00C624A9">
        <w:rPr>
          <w:sz w:val="18"/>
          <w:szCs w:val="18"/>
        </w:rPr>
        <w:t xml:space="preserve"> et al., 2008</w:t>
      </w:r>
      <w:r w:rsidRPr="00C624A9">
        <w:rPr>
          <w:sz w:val="18"/>
          <w:szCs w:val="18"/>
          <w:vertAlign w:val="subscript"/>
        </w:rPr>
        <w:t>[10]</w:t>
      </w:r>
      <w:r w:rsidRPr="00C624A9">
        <w:rPr>
          <w:sz w:val="18"/>
          <w:szCs w:val="18"/>
        </w:rPr>
        <w:t>)</w:t>
      </w:r>
      <w:r w:rsidRPr="00FB3CA0">
        <w:rPr>
          <w:sz w:val="18"/>
          <w:szCs w:val="18"/>
        </w:rPr>
        <w:t>. Second, if free allocation exceeds emissions, the income of selling allowances may exceed abatement costs</w:t>
      </w:r>
      <w:r>
        <w:rPr>
          <w:sz w:val="18"/>
          <w:szCs w:val="18"/>
        </w:rPr>
        <w:t xml:space="preserve"> (see Figure 4B)</w:t>
      </w:r>
      <w:r w:rsidRPr="00FB3CA0">
        <w:rPr>
          <w:sz w:val="18"/>
          <w:szCs w:val="18"/>
        </w:rPr>
        <w:t>.</w:t>
      </w:r>
    </w:p>
  </w:footnote>
  <w:footnote w:id="15">
    <w:p w14:paraId="2818C931" w14:textId="39EF1565" w:rsidR="006C5ABA" w:rsidRPr="00B37236" w:rsidRDefault="006C5ABA" w:rsidP="004D61AD">
      <w:pPr>
        <w:pStyle w:val="Notedebasdepage"/>
        <w:ind w:left="0"/>
        <w:rPr>
          <w:spacing w:val="-4"/>
        </w:rPr>
      </w:pPr>
      <w:r>
        <w:rPr>
          <w:rStyle w:val="Appelnotedebasdep"/>
        </w:rPr>
        <w:footnoteRef/>
      </w:r>
      <w:r>
        <w:t xml:space="preserve"> </w:t>
      </w:r>
      <w:r w:rsidRPr="00B37236">
        <w:rPr>
          <w:spacing w:val="-4"/>
          <w:sz w:val="18"/>
          <w:szCs w:val="18"/>
        </w:rPr>
        <w:t>There are several studies looking at how stock market prices of regulated firms react to carbon price variations</w:t>
      </w:r>
      <w:r>
        <w:rPr>
          <w:spacing w:val="-4"/>
          <w:sz w:val="18"/>
          <w:szCs w:val="18"/>
        </w:rPr>
        <w:t xml:space="preserve"> (Verde, 2018)</w:t>
      </w:r>
      <w:r w:rsidRPr="00B37236">
        <w:rPr>
          <w:spacing w:val="-4"/>
          <w:sz w:val="18"/>
          <w:szCs w:val="18"/>
        </w:rPr>
        <w:t xml:space="preserve">. This gives an insight in investor’s expectations about the effect of carbon prices on future profits. In general, the relationship between stock market returns and carbon prices depends on sectors and phases, though relationships are more often positive than negative (Venmans </w:t>
      </w:r>
      <w:r w:rsidRPr="00B37236">
        <w:rPr>
          <w:noProof/>
          <w:spacing w:val="-4"/>
          <w:sz w:val="18"/>
          <w:szCs w:val="18"/>
        </w:rPr>
        <w:t>(2015</w:t>
      </w:r>
      <w:r w:rsidRPr="00B37236">
        <w:rPr>
          <w:noProof/>
          <w:spacing w:val="-4"/>
          <w:sz w:val="18"/>
          <w:szCs w:val="18"/>
          <w:vertAlign w:val="subscript"/>
        </w:rPr>
        <w:t>[46]</w:t>
      </w:r>
      <w:r w:rsidRPr="00B37236">
        <w:rPr>
          <w:noProof/>
          <w:spacing w:val="-4"/>
          <w:sz w:val="18"/>
          <w:szCs w:val="18"/>
        </w:rPr>
        <w:t>)</w:t>
      </w:r>
      <w:r w:rsidRPr="00B37236">
        <w:rPr>
          <w:spacing w:val="-4"/>
          <w:sz w:val="18"/>
          <w:szCs w:val="18"/>
        </w:rPr>
        <w:t xml:space="preserve">, Pereira da Silva et al. </w:t>
      </w:r>
      <w:r w:rsidRPr="00B37236">
        <w:rPr>
          <w:noProof/>
          <w:spacing w:val="-4"/>
          <w:sz w:val="18"/>
          <w:szCs w:val="18"/>
        </w:rPr>
        <w:t>(2016</w:t>
      </w:r>
      <w:r w:rsidRPr="00B37236">
        <w:rPr>
          <w:noProof/>
          <w:spacing w:val="-4"/>
          <w:sz w:val="18"/>
          <w:szCs w:val="18"/>
          <w:vertAlign w:val="subscript"/>
        </w:rPr>
        <w:t>[47]</w:t>
      </w:r>
      <w:r w:rsidRPr="00B37236">
        <w:rPr>
          <w:noProof/>
          <w:spacing w:val="-4"/>
          <w:sz w:val="18"/>
          <w:szCs w:val="18"/>
        </w:rPr>
        <w:t>)</w:t>
      </w:r>
      <w:r w:rsidRPr="00B37236">
        <w:rPr>
          <w:spacing w:val="-4"/>
          <w:sz w:val="18"/>
          <w:szCs w:val="18"/>
        </w:rPr>
        <w:t xml:space="preserve"> and Moreno and Pereira de Silva </w:t>
      </w:r>
      <w:r w:rsidRPr="00B37236">
        <w:rPr>
          <w:noProof/>
          <w:spacing w:val="-4"/>
          <w:sz w:val="18"/>
          <w:szCs w:val="18"/>
        </w:rPr>
        <w:t>(2016</w:t>
      </w:r>
      <w:r w:rsidRPr="00B37236">
        <w:rPr>
          <w:noProof/>
          <w:spacing w:val="-4"/>
          <w:sz w:val="18"/>
          <w:szCs w:val="18"/>
          <w:vertAlign w:val="subscript"/>
        </w:rPr>
        <w:t>[48]</w:t>
      </w:r>
      <w:r w:rsidRPr="00B37236">
        <w:rPr>
          <w:noProof/>
          <w:spacing w:val="-4"/>
          <w:sz w:val="18"/>
          <w:szCs w:val="18"/>
        </w:rPr>
        <w:t>)</w:t>
      </w:r>
      <w:r w:rsidRPr="00B37236">
        <w:rPr>
          <w:spacing w:val="-4"/>
          <w:sz w:val="18"/>
          <w:szCs w:val="18"/>
        </w:rPr>
        <w:t xml:space="preserve">). For electricity producers, studies find a positive relationship between carbon price variation and stock market returns during the first phase, indicating that investors expected firms to gain from the EU ETS </w:t>
      </w:r>
      <w:r w:rsidRPr="00B37236">
        <w:rPr>
          <w:noProof/>
          <w:spacing w:val="-4"/>
          <w:sz w:val="18"/>
          <w:szCs w:val="18"/>
        </w:rPr>
        <w:t>(Oberndorfer, 2008</w:t>
      </w:r>
      <w:r w:rsidRPr="00B37236">
        <w:rPr>
          <w:noProof/>
          <w:spacing w:val="-4"/>
          <w:sz w:val="18"/>
          <w:szCs w:val="18"/>
          <w:vertAlign w:val="subscript"/>
        </w:rPr>
        <w:t>[49]</w:t>
      </w:r>
      <w:r w:rsidRPr="00B37236">
        <w:rPr>
          <w:noProof/>
          <w:spacing w:val="-4"/>
          <w:sz w:val="18"/>
          <w:szCs w:val="18"/>
        </w:rPr>
        <w:t>)</w:t>
      </w:r>
      <w:r w:rsidRPr="00B37236">
        <w:rPr>
          <w:spacing w:val="-4"/>
          <w:sz w:val="18"/>
          <w:szCs w:val="18"/>
        </w:rPr>
        <w:t xml:space="preserve">, </w:t>
      </w:r>
      <w:r w:rsidRPr="00B37236">
        <w:rPr>
          <w:noProof/>
          <w:spacing w:val="-4"/>
          <w:sz w:val="18"/>
          <w:szCs w:val="18"/>
        </w:rPr>
        <w:t>(Veith, Werner and Zimmermann, 2009</w:t>
      </w:r>
      <w:r w:rsidRPr="00B37236">
        <w:rPr>
          <w:noProof/>
          <w:spacing w:val="-4"/>
          <w:sz w:val="18"/>
          <w:szCs w:val="18"/>
          <w:vertAlign w:val="subscript"/>
        </w:rPr>
        <w:t>[50]</w:t>
      </w:r>
      <w:r w:rsidRPr="00B37236">
        <w:rPr>
          <w:noProof/>
          <w:spacing w:val="-4"/>
          <w:sz w:val="18"/>
          <w:szCs w:val="18"/>
        </w:rPr>
        <w:t>)</w:t>
      </w:r>
      <w:r w:rsidRPr="00B37236">
        <w:rPr>
          <w:spacing w:val="-4"/>
          <w:sz w:val="18"/>
          <w:szCs w:val="18"/>
        </w:rPr>
        <w:t xml:space="preserve">, </w:t>
      </w:r>
      <w:r w:rsidRPr="00B37236">
        <w:rPr>
          <w:noProof/>
          <w:spacing w:val="-4"/>
          <w:sz w:val="18"/>
          <w:szCs w:val="18"/>
        </w:rPr>
        <w:t>(Mo, Zhu and Fan, 2012</w:t>
      </w:r>
      <w:r w:rsidRPr="00B37236">
        <w:rPr>
          <w:noProof/>
          <w:spacing w:val="-4"/>
          <w:sz w:val="18"/>
          <w:szCs w:val="18"/>
          <w:vertAlign w:val="subscript"/>
        </w:rPr>
        <w:t>[51]</w:t>
      </w:r>
      <w:r w:rsidRPr="00B37236">
        <w:rPr>
          <w:noProof/>
          <w:spacing w:val="-4"/>
          <w:sz w:val="18"/>
          <w:szCs w:val="18"/>
        </w:rPr>
        <w:t>)</w:t>
      </w:r>
      <w:r w:rsidRPr="00B37236">
        <w:rPr>
          <w:spacing w:val="-4"/>
          <w:sz w:val="18"/>
          <w:szCs w:val="18"/>
        </w:rPr>
        <w:t xml:space="preserve">). For the second phase, some studies find a positive relationship </w:t>
      </w:r>
      <w:r w:rsidRPr="00B37236">
        <w:rPr>
          <w:noProof/>
          <w:spacing w:val="-4"/>
          <w:sz w:val="18"/>
          <w:szCs w:val="18"/>
        </w:rPr>
        <w:t>(Pereira da Silva, Moreno and Carvalho, 2016</w:t>
      </w:r>
      <w:r w:rsidRPr="00B37236">
        <w:rPr>
          <w:noProof/>
          <w:spacing w:val="-4"/>
          <w:sz w:val="18"/>
          <w:szCs w:val="18"/>
          <w:vertAlign w:val="subscript"/>
        </w:rPr>
        <w:t>[47]</w:t>
      </w:r>
      <w:r w:rsidRPr="00B37236">
        <w:rPr>
          <w:noProof/>
          <w:spacing w:val="-4"/>
          <w:sz w:val="18"/>
          <w:szCs w:val="18"/>
        </w:rPr>
        <w:t>)</w:t>
      </w:r>
      <w:r w:rsidRPr="00B37236">
        <w:rPr>
          <w:spacing w:val="-4"/>
          <w:sz w:val="18"/>
          <w:szCs w:val="18"/>
        </w:rPr>
        <w:t xml:space="preserve"> whereas others find a negative relationship </w:t>
      </w:r>
      <w:r w:rsidRPr="00B37236">
        <w:rPr>
          <w:noProof/>
          <w:spacing w:val="-4"/>
          <w:sz w:val="18"/>
          <w:szCs w:val="18"/>
        </w:rPr>
        <w:t>(Tian et al., 2016</w:t>
      </w:r>
      <w:r w:rsidRPr="00B37236">
        <w:rPr>
          <w:noProof/>
          <w:spacing w:val="-4"/>
          <w:sz w:val="18"/>
          <w:szCs w:val="18"/>
          <w:vertAlign w:val="subscript"/>
        </w:rPr>
        <w:t>[52]</w:t>
      </w:r>
      <w:r w:rsidRPr="00B37236">
        <w:rPr>
          <w:noProof/>
          <w:spacing w:val="-4"/>
          <w:sz w:val="18"/>
          <w:szCs w:val="18"/>
        </w:rPr>
        <w:t>)</w:t>
      </w:r>
      <w:r w:rsidRPr="00B37236">
        <w:rPr>
          <w:spacing w:val="-4"/>
          <w:sz w:val="18"/>
          <w:szCs w:val="18"/>
        </w:rPr>
        <w:t xml:space="preserve">. In the third phase, the relationship between carbon prices and stock returns was not statistically insignificant </w:t>
      </w:r>
      <w:r w:rsidRPr="00B37236">
        <w:rPr>
          <w:noProof/>
          <w:spacing w:val="-4"/>
          <w:sz w:val="18"/>
          <w:szCs w:val="18"/>
        </w:rPr>
        <w:t>(Moreno and Pereira da Silva, 2016</w:t>
      </w:r>
      <w:r w:rsidRPr="00B37236">
        <w:rPr>
          <w:noProof/>
          <w:spacing w:val="-4"/>
          <w:sz w:val="18"/>
          <w:szCs w:val="18"/>
          <w:vertAlign w:val="subscript"/>
        </w:rPr>
        <w:t>[48]</w:t>
      </w:r>
      <w:r w:rsidRPr="00B37236">
        <w:rPr>
          <w:noProof/>
          <w:spacing w:val="-4"/>
          <w:sz w:val="18"/>
          <w:szCs w:val="18"/>
        </w:rPr>
        <w:t>)</w:t>
      </w:r>
      <w:r w:rsidRPr="00B37236">
        <w:rPr>
          <w:spacing w:val="-4"/>
          <w:sz w:val="18"/>
          <w:szCs w:val="18"/>
        </w:rPr>
        <w:t>.</w:t>
      </w:r>
    </w:p>
  </w:footnote>
  <w:footnote w:id="16">
    <w:p w14:paraId="50456099" w14:textId="191E4B6A" w:rsidR="006C5ABA" w:rsidRPr="0048418D" w:rsidRDefault="006C5ABA" w:rsidP="00512445">
      <w:pPr>
        <w:pStyle w:val="Notedebasdepage"/>
        <w:ind w:left="0"/>
      </w:pPr>
      <w:r>
        <w:rPr>
          <w:rStyle w:val="Appelnotedebasdep"/>
        </w:rPr>
        <w:footnoteRef/>
      </w:r>
      <w:r>
        <w:t xml:space="preserve"> </w:t>
      </w:r>
      <w:r w:rsidRPr="00512445">
        <w:rPr>
          <w:spacing w:val="-4"/>
          <w:sz w:val="18"/>
          <w:szCs w:val="18"/>
        </w:rPr>
        <w:t>The number of patents is an imperfect proxy for innovation, since some patents are more impactful than others and certain types of innovation such as learning by doing occur without patents. Expenses in research and development is another proxy, but many companies do not report R&amp;D as an asset because it leads to earlier tax payments.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B6C39" w14:textId="2F296F07" w:rsidR="006C5ABA" w:rsidRDefault="006C5ABA" w:rsidP="00181986">
    <w:pPr>
      <w:pStyle w:val="En-tte"/>
      <w:jc w:val="right"/>
    </w:pPr>
    <w:r>
      <w:rPr>
        <w:rStyle w:val="Numrodepage"/>
      </w:rPr>
      <w:t xml:space="preserve"> </w:t>
    </w:r>
    <w:r>
      <w:rPr>
        <w:rStyle w:val="Numrodepage"/>
      </w:rPr>
      <w:sym w:font="Symbol" w:char="F07C"/>
    </w:r>
    <w:r>
      <w:rPr>
        <w:rStyle w:val="Numrodepage"/>
      </w:rPr>
      <w:t xml:space="preserve"> </w:t>
    </w:r>
    <w:sdt>
      <w:sdtPr>
        <w:rPr>
          <w:rStyle w:val="Numrodepage"/>
        </w:rPr>
        <w:alias w:val="Page Number"/>
        <w:tag w:val="TxtPageNumber"/>
        <w:id w:val="-250121115"/>
      </w:sdtPr>
      <w:sdtEndPr>
        <w:rPr>
          <w:rStyle w:val="Policepardfaut"/>
          <w:b w:val="0"/>
          <w:szCs w:val="20"/>
        </w:rPr>
      </w:sdtEndPr>
      <w:sdtContent>
        <w:r w:rsidRPr="00CC3749">
          <w:rPr>
            <w:rStyle w:val="Numrodepage"/>
          </w:rPr>
          <w:fldChar w:fldCharType="begin"/>
        </w:r>
        <w:r w:rsidRPr="00CC3749">
          <w:rPr>
            <w:rStyle w:val="Numrodepage"/>
          </w:rPr>
          <w:instrText xml:space="preserve"> PAGE   \* MERGEFORMAT </w:instrText>
        </w:r>
        <w:r w:rsidRPr="00CC3749">
          <w:rPr>
            <w:rStyle w:val="Numrodepage"/>
          </w:rPr>
          <w:fldChar w:fldCharType="separate"/>
        </w:r>
        <w:r>
          <w:rPr>
            <w:rStyle w:val="Numrodepage"/>
            <w:noProof/>
          </w:rPr>
          <w:t>16</w:t>
        </w:r>
        <w:r w:rsidRPr="00CC3749">
          <w:rPr>
            <w:rStyle w:val="Numrodepage"/>
            <w:noProof/>
          </w:rPr>
          <w:fldChar w:fldCharType="end"/>
        </w:r>
      </w:sdtContent>
    </w:sdt>
  </w:p>
  <w:p w14:paraId="0D736BF3" w14:textId="77777777" w:rsidR="006C5ABA" w:rsidRDefault="006C5ABA" w:rsidP="00181986">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978C" w14:textId="443287D4" w:rsidR="006C5ABA" w:rsidRDefault="00504ED9" w:rsidP="00181986">
    <w:pPr>
      <w:pStyle w:val="En-tte"/>
      <w:jc w:val="right"/>
    </w:pPr>
    <w:sdt>
      <w:sdtPr>
        <w:rPr>
          <w:rStyle w:val="HeaderTitle"/>
        </w:rPr>
        <w:alias w:val="Cote/Chapter"/>
        <w:tag w:val="txtHeaderValue"/>
        <w:id w:val="-645598101"/>
        <w:showingPlcHdr/>
      </w:sdtPr>
      <w:sdtEndPr>
        <w:rPr>
          <w:rStyle w:val="Policepardfaut"/>
          <w:caps w:val="0"/>
          <w:sz w:val="22"/>
        </w:rPr>
      </w:sdtEndPr>
      <w:sdtContent>
        <w:r w:rsidR="006C5ABA">
          <w:rPr>
            <w:rStyle w:val="HeaderTitle"/>
          </w:rPr>
          <w:t xml:space="preserve">     </w:t>
        </w:r>
      </w:sdtContent>
    </w:sdt>
    <w:r w:rsidR="006C5ABA">
      <w:rPr>
        <w:rStyle w:val="Numrodepage"/>
      </w:rPr>
      <w:t xml:space="preserve"> </w:t>
    </w:r>
    <w:r w:rsidR="006C5ABA">
      <w:rPr>
        <w:rStyle w:val="Numrodepage"/>
      </w:rPr>
      <w:sym w:font="Symbol" w:char="F07C"/>
    </w:r>
    <w:r w:rsidR="006C5ABA">
      <w:rPr>
        <w:rStyle w:val="Numrodepage"/>
      </w:rPr>
      <w:t xml:space="preserve"> </w:t>
    </w:r>
    <w:sdt>
      <w:sdtPr>
        <w:rPr>
          <w:rStyle w:val="Numrodepage"/>
        </w:rPr>
        <w:alias w:val="Page Number"/>
        <w:tag w:val="TxtPageNumber"/>
        <w:id w:val="345987095"/>
      </w:sdtPr>
      <w:sdtEndPr>
        <w:rPr>
          <w:rStyle w:val="Policepardfaut"/>
          <w:b w:val="0"/>
          <w:szCs w:val="20"/>
        </w:rPr>
      </w:sdtEndPr>
      <w:sdtContent>
        <w:r w:rsidR="006C5ABA" w:rsidRPr="00CC3749">
          <w:rPr>
            <w:rStyle w:val="Numrodepage"/>
          </w:rPr>
          <w:fldChar w:fldCharType="begin"/>
        </w:r>
        <w:r w:rsidR="006C5ABA" w:rsidRPr="00CC3749">
          <w:rPr>
            <w:rStyle w:val="Numrodepage"/>
          </w:rPr>
          <w:instrText xml:space="preserve"> PAGE   \* MERGEFORMAT </w:instrText>
        </w:r>
        <w:r w:rsidR="006C5ABA" w:rsidRPr="00CC3749">
          <w:rPr>
            <w:rStyle w:val="Numrodepage"/>
          </w:rPr>
          <w:fldChar w:fldCharType="separate"/>
        </w:r>
        <w:r w:rsidR="006C5ABA">
          <w:rPr>
            <w:rStyle w:val="Numrodepage"/>
            <w:noProof/>
          </w:rPr>
          <w:t>19</w:t>
        </w:r>
        <w:r w:rsidR="006C5ABA" w:rsidRPr="00CC3749">
          <w:rPr>
            <w:rStyle w:val="Numrodepage"/>
            <w:noProof/>
          </w:rPr>
          <w:fldChar w:fldCharType="end"/>
        </w:r>
      </w:sdtContent>
    </w:sdt>
  </w:p>
  <w:p w14:paraId="46FCCFFE" w14:textId="77777777" w:rsidR="006C5ABA" w:rsidRDefault="006C5ABA" w:rsidP="00181986">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132F"/>
    <w:multiLevelType w:val="hybridMultilevel"/>
    <w:tmpl w:val="CB2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F62"/>
    <w:multiLevelType w:val="singleLevel"/>
    <w:tmpl w:val="CE5058AE"/>
    <w:lvl w:ilvl="0">
      <w:start w:val="1"/>
      <w:numFmt w:val="bullet"/>
      <w:pStyle w:val="Listepuces"/>
      <w:lvlText w:val="·"/>
      <w:lvlJc w:val="left"/>
      <w:pPr>
        <w:tabs>
          <w:tab w:val="num" w:pos="850"/>
        </w:tabs>
        <w:ind w:left="850" w:hanging="408"/>
      </w:pPr>
      <w:rPr>
        <w:rFonts w:ascii="Symbol" w:hAnsi="Symbol" w:cs="Times New Roman" w:hint="default"/>
        <w:b w:val="0"/>
        <w:i w:val="0"/>
        <w:sz w:val="22"/>
      </w:rPr>
    </w:lvl>
  </w:abstractNum>
  <w:abstractNum w:abstractNumId="2" w15:restartNumberingAfterBreak="0">
    <w:nsid w:val="08E973AD"/>
    <w:multiLevelType w:val="hybridMultilevel"/>
    <w:tmpl w:val="F8DCBE1E"/>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5" w15:restartNumberingAfterBreak="0">
    <w:nsid w:val="0E21375D"/>
    <w:multiLevelType w:val="hybridMultilevel"/>
    <w:tmpl w:val="D21637B0"/>
    <w:lvl w:ilvl="0" w:tplc="A52AE5A0">
      <w:start w:val="1"/>
      <w:numFmt w:val="bullet"/>
      <w:pStyle w:val="BL2"/>
      <w:lvlText w:val="o"/>
      <w:lvlJc w:val="left"/>
      <w:pPr>
        <w:ind w:left="2421" w:hanging="360"/>
      </w:pPr>
      <w:rPr>
        <w:rFonts w:ascii="Courier New" w:hAnsi="Courier New" w:cs="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0F0B3EAC"/>
    <w:multiLevelType w:val="hybridMultilevel"/>
    <w:tmpl w:val="BBB6CA46"/>
    <w:lvl w:ilvl="0" w:tplc="9072D7BA">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300CC"/>
    <w:multiLevelType w:val="hybridMultilevel"/>
    <w:tmpl w:val="87789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9" w15:restartNumberingAfterBreak="0">
    <w:nsid w:val="14D1469B"/>
    <w:multiLevelType w:val="hybridMultilevel"/>
    <w:tmpl w:val="525288A8"/>
    <w:lvl w:ilvl="0" w:tplc="E58CE50A">
      <w:start w:val="47"/>
      <w:numFmt w:val="bullet"/>
      <w:lvlText w:val="-"/>
      <w:lvlJc w:val="left"/>
      <w:pPr>
        <w:ind w:left="1040" w:hanging="360"/>
      </w:pPr>
      <w:rPr>
        <w:rFonts w:ascii="Times New Roman" w:eastAsia="SimSun" w:hAnsi="Times New Roman" w:cs="Times New Roman"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10" w15:restartNumberingAfterBreak="0">
    <w:nsid w:val="151445CB"/>
    <w:multiLevelType w:val="hybridMultilevel"/>
    <w:tmpl w:val="6DD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12" w15:restartNumberingAfterBreak="0">
    <w:nsid w:val="199C3D0A"/>
    <w:multiLevelType w:val="hybridMultilevel"/>
    <w:tmpl w:val="95CC2060"/>
    <w:lvl w:ilvl="0" w:tplc="626AEE14">
      <w:start w:val="1"/>
      <w:numFmt w:val="bullet"/>
      <w:lvlText w:val="-"/>
      <w:lvlJc w:val="left"/>
      <w:pPr>
        <w:ind w:left="2421" w:hanging="360"/>
      </w:pPr>
      <w:rPr>
        <w:rFonts w:ascii="Courier New" w:hAnsi="Courier New" w:hint="default"/>
      </w:rPr>
    </w:lvl>
    <w:lvl w:ilvl="1" w:tplc="87DA35FC">
      <w:start w:val="1"/>
      <w:numFmt w:val="bullet"/>
      <w:pStyle w:val="BL4"/>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A690F"/>
    <w:multiLevelType w:val="multilevel"/>
    <w:tmpl w:val="6B88A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24FC1975"/>
    <w:multiLevelType w:val="hybridMultilevel"/>
    <w:tmpl w:val="0A1C45C2"/>
    <w:lvl w:ilvl="0" w:tplc="311A43F8">
      <w:start w:val="1"/>
      <w:numFmt w:val="decimal"/>
      <w:pStyle w:val="NumberedList"/>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6" w15:restartNumberingAfterBreak="0">
    <w:nsid w:val="2ACF6F84"/>
    <w:multiLevelType w:val="singleLevel"/>
    <w:tmpl w:val="D51E568A"/>
    <w:name w:val="templateBullet2"/>
    <w:lvl w:ilvl="0">
      <w:start w:val="1"/>
      <w:numFmt w:val="bullet"/>
      <w:pStyle w:val="Listepuces2"/>
      <w:lvlText w:val="-"/>
      <w:lvlJc w:val="left"/>
      <w:pPr>
        <w:tabs>
          <w:tab w:val="num" w:pos="1190"/>
        </w:tabs>
        <w:ind w:left="1190" w:hanging="340"/>
      </w:pPr>
      <w:rPr>
        <w:rFonts w:ascii="Symbol" w:hAnsi="Symbol" w:cs="Times New Roman" w:hint="default"/>
        <w:b w:val="0"/>
        <w:i w:val="0"/>
        <w:sz w:val="22"/>
      </w:rPr>
    </w:lvl>
  </w:abstractNum>
  <w:abstractNum w:abstractNumId="17" w15:restartNumberingAfterBreak="0">
    <w:nsid w:val="345E41B9"/>
    <w:multiLevelType w:val="hybridMultilevel"/>
    <w:tmpl w:val="5230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21555"/>
    <w:multiLevelType w:val="hybridMultilevel"/>
    <w:tmpl w:val="018CA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64F2936"/>
    <w:multiLevelType w:val="hybridMultilevel"/>
    <w:tmpl w:val="8F461C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9897B2C"/>
    <w:multiLevelType w:val="hybridMultilevel"/>
    <w:tmpl w:val="795AFE88"/>
    <w:lvl w:ilvl="0" w:tplc="47A4C886">
      <w:start w:val="1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C230DE"/>
    <w:multiLevelType w:val="multilevel"/>
    <w:tmpl w:val="F99EB0E0"/>
    <w:name w:val="templateNumber"/>
    <w:lvl w:ilvl="0">
      <w:start w:val="1"/>
      <w:numFmt w:val="decimal"/>
      <w:pStyle w:val="Listenumros"/>
      <w:lvlText w:val="%1."/>
      <w:lvlJc w:val="left"/>
      <w:pPr>
        <w:tabs>
          <w:tab w:val="num" w:pos="850"/>
        </w:tabs>
        <w:ind w:left="850" w:hanging="408"/>
      </w:pPr>
    </w:lvl>
    <w:lvl w:ilvl="1">
      <w:start w:val="1"/>
      <w:numFmt w:val="decimal"/>
      <w:pStyle w:val="Listenumros2"/>
      <w:lvlText w:val="%2."/>
      <w:lvlJc w:val="left"/>
      <w:pPr>
        <w:tabs>
          <w:tab w:val="num" w:pos="1191"/>
        </w:tabs>
        <w:ind w:left="1191" w:hanging="341"/>
      </w:pPr>
    </w:lvl>
    <w:lvl w:ilvl="2">
      <w:start w:val="1"/>
      <w:numFmt w:val="decimal"/>
      <w:pStyle w:val="Listenumros3"/>
      <w:lvlText w:val="%3."/>
      <w:lvlJc w:val="left"/>
      <w:pPr>
        <w:tabs>
          <w:tab w:val="num" w:pos="1474"/>
        </w:tabs>
        <w:ind w:left="1474" w:hanging="340"/>
      </w:pPr>
    </w:lvl>
    <w:lvl w:ilvl="3">
      <w:start w:val="1"/>
      <w:numFmt w:val="decimal"/>
      <w:pStyle w:val="Listenumros4"/>
      <w:lvlText w:val="%4."/>
      <w:lvlJc w:val="left"/>
      <w:pPr>
        <w:tabs>
          <w:tab w:val="num" w:pos="1757"/>
        </w:tabs>
        <w:ind w:left="1757" w:hanging="340"/>
      </w:pPr>
    </w:lvl>
    <w:lvl w:ilvl="4">
      <w:start w:val="1"/>
      <w:numFmt w:val="decimal"/>
      <w:pStyle w:val="Listenumros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6D1791"/>
    <w:multiLevelType w:val="hybridMultilevel"/>
    <w:tmpl w:val="A3021404"/>
    <w:lvl w:ilvl="0" w:tplc="08090001">
      <w:start w:val="1"/>
      <w:numFmt w:val="bullet"/>
      <w:lvlText w:val=""/>
      <w:lvlJc w:val="left"/>
      <w:pPr>
        <w:ind w:left="1400" w:hanging="360"/>
      </w:pPr>
      <w:rPr>
        <w:rFonts w:ascii="Symbol" w:hAnsi="Symbol" w:hint="default"/>
      </w:rPr>
    </w:lvl>
    <w:lvl w:ilvl="1" w:tplc="08090003">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42AF6B05"/>
    <w:multiLevelType w:val="hybridMultilevel"/>
    <w:tmpl w:val="E3606D4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466C61BB"/>
    <w:multiLevelType w:val="multilevel"/>
    <w:tmpl w:val="26FE4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C2FAA"/>
    <w:multiLevelType w:val="hybridMultilevel"/>
    <w:tmpl w:val="AED8328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7" w15:restartNumberingAfterBreak="0">
    <w:nsid w:val="48EC55A8"/>
    <w:multiLevelType w:val="singleLevel"/>
    <w:tmpl w:val="EBBACA14"/>
    <w:name w:val="templateBullet3"/>
    <w:lvl w:ilvl="0">
      <w:start w:val="1"/>
      <w:numFmt w:val="bullet"/>
      <w:pStyle w:val="Listepuces3"/>
      <w:lvlText w:val="-"/>
      <w:lvlJc w:val="left"/>
      <w:pPr>
        <w:tabs>
          <w:tab w:val="num" w:pos="1474"/>
        </w:tabs>
        <w:ind w:left="1474" w:hanging="340"/>
      </w:pPr>
      <w:rPr>
        <w:rFonts w:ascii="Symbol" w:hAnsi="Symbol" w:cs="Times New Roman" w:hint="default"/>
        <w:b w:val="0"/>
        <w:i w:val="0"/>
        <w:sz w:val="22"/>
      </w:rPr>
    </w:lvl>
  </w:abstractNum>
  <w:abstractNum w:abstractNumId="28" w15:restartNumberingAfterBreak="0">
    <w:nsid w:val="4BF37371"/>
    <w:multiLevelType w:val="hybridMultilevel"/>
    <w:tmpl w:val="ABEAE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220B75"/>
    <w:multiLevelType w:val="multilevel"/>
    <w:tmpl w:val="1286E68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680" w:firstLine="0"/>
      </w:pPr>
      <w:rPr>
        <w:rFonts w:hint="default"/>
      </w:rPr>
    </w:lvl>
    <w:lvl w:ilvl="3">
      <w:start w:val="1"/>
      <w:numFmt w:val="none"/>
      <w:pStyle w:val="Titre4"/>
      <w:suff w:val="nothing"/>
      <w:lvlText w:val=""/>
      <w:lvlJc w:val="left"/>
      <w:pPr>
        <w:ind w:left="680" w:firstLine="0"/>
      </w:pPr>
      <w:rPr>
        <w:rFonts w:hint="default"/>
      </w:rPr>
    </w:lvl>
    <w:lvl w:ilvl="4">
      <w:start w:val="1"/>
      <w:numFmt w:val="none"/>
      <w:pStyle w:val="Titre5"/>
      <w:suff w:val="nothing"/>
      <w:lvlText w:val=""/>
      <w:lvlJc w:val="left"/>
      <w:pPr>
        <w:ind w:left="851" w:firstLine="0"/>
      </w:pPr>
      <w:rPr>
        <w:rFonts w:hint="default"/>
      </w:rPr>
    </w:lvl>
    <w:lvl w:ilvl="5">
      <w:start w:val="1"/>
      <w:numFmt w:val="upperRoman"/>
      <w:lvlRestart w:val="0"/>
      <w:pStyle w:val="Titre6"/>
      <w:suff w:val="space"/>
      <w:lvlText w:val="Part %6."/>
      <w:lvlJc w:val="left"/>
      <w:pPr>
        <w:ind w:left="0" w:firstLine="0"/>
      </w:pPr>
      <w:rPr>
        <w:rFonts w:hint="default"/>
      </w:rPr>
    </w:lvl>
    <w:lvl w:ilvl="6">
      <w:start w:val="1"/>
      <w:numFmt w:val="upperLetter"/>
      <w:lvlRestart w:val="0"/>
      <w:pStyle w:val="Titre7"/>
      <w:suff w:val="space"/>
      <w:lvlText w:val="Annex %7."/>
      <w:lvlJc w:val="left"/>
      <w:pPr>
        <w:ind w:left="0" w:firstLine="0"/>
      </w:pPr>
      <w:rPr>
        <w:rFonts w:hint="default"/>
      </w:rPr>
    </w:lvl>
    <w:lvl w:ilvl="7">
      <w:start w:val="1"/>
      <w:numFmt w:val="upperLetter"/>
      <w:lvlRestart w:val="6"/>
      <w:pStyle w:val="Titre8"/>
      <w:suff w:val="space"/>
      <w:lvlText w:val="Annex %6.%8."/>
      <w:lvlJc w:val="left"/>
      <w:pPr>
        <w:ind w:left="0" w:firstLine="0"/>
      </w:pPr>
      <w:rPr>
        <w:rFonts w:hint="default"/>
      </w:rPr>
    </w:lvl>
    <w:lvl w:ilvl="8">
      <w:start w:val="1"/>
      <w:numFmt w:val="upperLetter"/>
      <w:lvlRestart w:val="1"/>
      <w:pStyle w:val="Titre9"/>
      <w:suff w:val="space"/>
      <w:lvlText w:val="Annex %1.%9."/>
      <w:lvlJc w:val="left"/>
      <w:pPr>
        <w:ind w:left="0" w:firstLine="0"/>
      </w:pPr>
      <w:rPr>
        <w:rFonts w:hint="default"/>
      </w:rPr>
    </w:lvl>
  </w:abstractNum>
  <w:abstractNum w:abstractNumId="30" w15:restartNumberingAfterBreak="0">
    <w:nsid w:val="5176726A"/>
    <w:multiLevelType w:val="hybridMultilevel"/>
    <w:tmpl w:val="80140844"/>
    <w:lvl w:ilvl="0" w:tplc="4DD6949A">
      <w:start w:val="1"/>
      <w:numFmt w:val="bullet"/>
      <w:pStyle w:val="BulletedList"/>
      <w:lvlText w:val=""/>
      <w:lvlJc w:val="left"/>
      <w:pPr>
        <w:tabs>
          <w:tab w:val="num" w:pos="0"/>
        </w:tabs>
        <w:ind w:left="1021" w:hanging="340"/>
      </w:pPr>
      <w:rPr>
        <w:rFonts w:ascii="Symbol" w:hAnsi="Symbol" w:hint="default"/>
      </w:rPr>
    </w:lvl>
    <w:lvl w:ilvl="1" w:tplc="0254B86C">
      <w:start w:val="1"/>
      <w:numFmt w:val="bullet"/>
      <w:lvlText w:val="o"/>
      <w:lvlJc w:val="left"/>
      <w:pPr>
        <w:tabs>
          <w:tab w:val="num" w:pos="0"/>
        </w:tabs>
        <w:ind w:left="1361" w:hanging="340"/>
      </w:pPr>
      <w:rPr>
        <w:rFonts w:ascii="Courier New" w:hAnsi="Courier New" w:hint="default"/>
      </w:rPr>
    </w:lvl>
    <w:lvl w:ilvl="2" w:tplc="3FCCEC2E">
      <w:start w:val="1"/>
      <w:numFmt w:val="bullet"/>
      <w:lvlText w:val="‒"/>
      <w:lvlJc w:val="left"/>
      <w:pPr>
        <w:tabs>
          <w:tab w:val="num" w:pos="0"/>
        </w:tabs>
        <w:ind w:left="1701" w:hanging="340"/>
      </w:pPr>
      <w:rPr>
        <w:rFonts w:ascii="Calibri" w:hAnsi="Calibri" w:hint="default"/>
      </w:rPr>
    </w:lvl>
    <w:lvl w:ilvl="3" w:tplc="1B2CDE76">
      <w:start w:val="1"/>
      <w:numFmt w:val="bullet"/>
      <w:lvlText w:val="‒"/>
      <w:lvlJc w:val="left"/>
      <w:pPr>
        <w:tabs>
          <w:tab w:val="num" w:pos="0"/>
        </w:tabs>
        <w:ind w:left="2041" w:hanging="340"/>
      </w:pPr>
      <w:rPr>
        <w:rFonts w:ascii="Calibri" w:hAnsi="Calibri" w:hint="default"/>
      </w:rPr>
    </w:lvl>
    <w:lvl w:ilvl="4" w:tplc="EB20ACEC">
      <w:start w:val="1"/>
      <w:numFmt w:val="bullet"/>
      <w:lvlText w:val="‒"/>
      <w:lvlJc w:val="left"/>
      <w:pPr>
        <w:tabs>
          <w:tab w:val="num" w:pos="0"/>
        </w:tabs>
        <w:ind w:left="2382" w:hanging="341"/>
      </w:pPr>
      <w:rPr>
        <w:rFonts w:ascii="Calibri" w:hAnsi="Calibri"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1" w15:restartNumberingAfterBreak="0">
    <w:nsid w:val="56BE6F79"/>
    <w:multiLevelType w:val="singleLevel"/>
    <w:tmpl w:val="F258D16A"/>
    <w:name w:val="templateBullet4"/>
    <w:lvl w:ilvl="0">
      <w:start w:val="1"/>
      <w:numFmt w:val="bullet"/>
      <w:pStyle w:val="Listepuces4"/>
      <w:lvlText w:val="-"/>
      <w:lvlJc w:val="left"/>
      <w:pPr>
        <w:tabs>
          <w:tab w:val="num" w:pos="1757"/>
        </w:tabs>
        <w:ind w:left="1757" w:hanging="340"/>
      </w:pPr>
      <w:rPr>
        <w:rFonts w:ascii="Symbol" w:hAnsi="Symbol" w:cs="Times New Roman" w:hint="default"/>
        <w:b w:val="0"/>
        <w:i w:val="0"/>
        <w:sz w:val="22"/>
      </w:rPr>
    </w:lvl>
  </w:abstractNum>
  <w:abstractNum w:abstractNumId="32" w15:restartNumberingAfterBreak="0">
    <w:nsid w:val="576B5FEF"/>
    <w:multiLevelType w:val="hybridMultilevel"/>
    <w:tmpl w:val="2990E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05FCB"/>
    <w:multiLevelType w:val="hybridMultilevel"/>
    <w:tmpl w:val="047ECD48"/>
    <w:lvl w:ilvl="0" w:tplc="EBEC7922">
      <w:start w:val="1"/>
      <w:numFmt w:val="bullet"/>
      <w:pStyle w:val="BL3"/>
      <w:lvlText w:val="-"/>
      <w:lvlJc w:val="left"/>
      <w:pPr>
        <w:ind w:left="2421" w:hanging="360"/>
      </w:pPr>
      <w:rPr>
        <w:rFonts w:ascii="Courier New" w:hAnsi="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5C8E0CA3"/>
    <w:multiLevelType w:val="singleLevel"/>
    <w:tmpl w:val="BCFCA2DE"/>
    <w:name w:val="templateBullet5"/>
    <w:lvl w:ilvl="0">
      <w:start w:val="1"/>
      <w:numFmt w:val="bullet"/>
      <w:pStyle w:val="Listepuces5"/>
      <w:lvlText w:val="-"/>
      <w:lvlJc w:val="left"/>
      <w:pPr>
        <w:tabs>
          <w:tab w:val="num" w:pos="2041"/>
        </w:tabs>
        <w:ind w:left="2041" w:hanging="340"/>
      </w:pPr>
      <w:rPr>
        <w:rFonts w:ascii="Symbol" w:hAnsi="Symbol" w:cs="Times New Roman" w:hint="default"/>
        <w:b w:val="0"/>
        <w:i w:val="0"/>
        <w:sz w:val="22"/>
      </w:rPr>
    </w:lvl>
  </w:abstractNum>
  <w:abstractNum w:abstractNumId="35" w15:restartNumberingAfterBreak="0">
    <w:nsid w:val="5EA12254"/>
    <w:multiLevelType w:val="hybridMultilevel"/>
    <w:tmpl w:val="5734DA60"/>
    <w:lvl w:ilvl="0" w:tplc="B2805A5C">
      <w:start w:val="1"/>
      <w:numFmt w:val="bullet"/>
      <w:lvlText w:val="-"/>
      <w:lvlJc w:val="left"/>
      <w:pPr>
        <w:ind w:left="1400" w:hanging="360"/>
      </w:pPr>
      <w:rPr>
        <w:rFonts w:ascii="Times New Roman" w:eastAsia="SimSun"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6" w15:restartNumberingAfterBreak="0">
    <w:nsid w:val="5F2C77F1"/>
    <w:multiLevelType w:val="hybridMultilevel"/>
    <w:tmpl w:val="173A8340"/>
    <w:lvl w:ilvl="0" w:tplc="B2805A5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94A0A"/>
    <w:multiLevelType w:val="hybridMultilevel"/>
    <w:tmpl w:val="6BEA554C"/>
    <w:lvl w:ilvl="0" w:tplc="08090001">
      <w:start w:val="1"/>
      <w:numFmt w:val="bullet"/>
      <w:lvlText w:val=""/>
      <w:lvlJc w:val="left"/>
      <w:pPr>
        <w:ind w:left="360" w:hanging="360"/>
      </w:pPr>
      <w:rPr>
        <w:rFonts w:ascii="Symbol" w:hAnsi="Symbol" w:cs="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1A54774"/>
    <w:multiLevelType w:val="hybridMultilevel"/>
    <w:tmpl w:val="DB00309E"/>
    <w:lvl w:ilvl="0" w:tplc="04BAB2B2">
      <w:start w:val="1"/>
      <w:numFmt w:val="lowerLetter"/>
      <w:pStyle w:val="ProposedAction"/>
      <w:lvlText w:val="%1)"/>
      <w:lvlJc w:val="left"/>
      <w:pPr>
        <w:tabs>
          <w:tab w:val="num" w:pos="425"/>
        </w:tabs>
        <w:ind w:left="2268" w:hanging="425"/>
      </w:pPr>
      <w:rPr>
        <w:rFonts w:hint="default"/>
      </w:rPr>
    </w:lvl>
    <w:lvl w:ilvl="1" w:tplc="A8CE7C10">
      <w:start w:val="1"/>
      <w:numFmt w:val="lowerRoman"/>
      <w:lvlText w:val="%2)"/>
      <w:lvlJc w:val="left"/>
      <w:pPr>
        <w:tabs>
          <w:tab w:val="num" w:pos="567"/>
        </w:tabs>
        <w:ind w:left="2835" w:hanging="567"/>
      </w:pPr>
      <w:rPr>
        <w:rFonts w:hint="default"/>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9" w15:restartNumberingAfterBreak="0">
    <w:nsid w:val="68247DDB"/>
    <w:multiLevelType w:val="hybridMultilevel"/>
    <w:tmpl w:val="3D262AEC"/>
    <w:lvl w:ilvl="0" w:tplc="04F0B39C">
      <w:start w:val="1"/>
      <w:numFmt w:val="lowerRoman"/>
      <w:pStyle w:val="NL3"/>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0" w15:restartNumberingAfterBreak="0">
    <w:nsid w:val="6B0C0806"/>
    <w:multiLevelType w:val="hybridMultilevel"/>
    <w:tmpl w:val="9A70333E"/>
    <w:lvl w:ilvl="0" w:tplc="516AC9A2">
      <w:start w:val="1"/>
      <w:numFmt w:val="lowerLetter"/>
      <w:pStyle w:val="NL4"/>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1" w15:restartNumberingAfterBreak="0">
    <w:nsid w:val="6B240ABC"/>
    <w:multiLevelType w:val="hybridMultilevel"/>
    <w:tmpl w:val="73B2F746"/>
    <w:lvl w:ilvl="0" w:tplc="EC40EEC4">
      <w:start w:val="1"/>
      <w:numFmt w:val="bullet"/>
      <w:pStyle w:val="Annotation"/>
      <w:lvlText w:val="‒"/>
      <w:lvlJc w:val="left"/>
      <w:pPr>
        <w:ind w:left="981" w:hanging="414"/>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C4D87"/>
    <w:multiLevelType w:val="hybridMultilevel"/>
    <w:tmpl w:val="CD9E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6A4A40"/>
    <w:multiLevelType w:val="hybridMultilevel"/>
    <w:tmpl w:val="4650DFD4"/>
    <w:lvl w:ilvl="0" w:tplc="631A7C9E">
      <w:start w:val="1"/>
      <w:numFmt w:val="lowerLetter"/>
      <w:pStyle w:val="NL2"/>
      <w:lvlText w:val="%1."/>
      <w:lvlJc w:val="left"/>
      <w:pPr>
        <w:ind w:left="2758" w:hanging="360"/>
      </w:pPr>
      <w:rPr>
        <w:rFonts w:hint="default"/>
        <w:b w:val="0"/>
        <w:i w:val="0"/>
        <w:color w:val="auto"/>
        <w:sz w:val="22"/>
      </w:rPr>
    </w:lvl>
    <w:lvl w:ilvl="1" w:tplc="08090019" w:tentative="1">
      <w:start w:val="1"/>
      <w:numFmt w:val="lowerLetter"/>
      <w:lvlText w:val="%2."/>
      <w:lvlJc w:val="left"/>
      <w:pPr>
        <w:ind w:left="3478" w:hanging="360"/>
      </w:pPr>
    </w:lvl>
    <w:lvl w:ilvl="2" w:tplc="0809001B" w:tentative="1">
      <w:start w:val="1"/>
      <w:numFmt w:val="lowerRoman"/>
      <w:lvlText w:val="%3."/>
      <w:lvlJc w:val="right"/>
      <w:pPr>
        <w:ind w:left="4198" w:hanging="180"/>
      </w:pPr>
    </w:lvl>
    <w:lvl w:ilvl="3" w:tplc="0809000F" w:tentative="1">
      <w:start w:val="1"/>
      <w:numFmt w:val="decimal"/>
      <w:lvlText w:val="%4."/>
      <w:lvlJc w:val="left"/>
      <w:pPr>
        <w:ind w:left="4918" w:hanging="360"/>
      </w:pPr>
    </w:lvl>
    <w:lvl w:ilvl="4" w:tplc="08090019" w:tentative="1">
      <w:start w:val="1"/>
      <w:numFmt w:val="lowerLetter"/>
      <w:lvlText w:val="%5."/>
      <w:lvlJc w:val="left"/>
      <w:pPr>
        <w:ind w:left="5638" w:hanging="360"/>
      </w:pPr>
    </w:lvl>
    <w:lvl w:ilvl="5" w:tplc="0809001B" w:tentative="1">
      <w:start w:val="1"/>
      <w:numFmt w:val="lowerRoman"/>
      <w:lvlText w:val="%6."/>
      <w:lvlJc w:val="right"/>
      <w:pPr>
        <w:ind w:left="6358" w:hanging="180"/>
      </w:pPr>
    </w:lvl>
    <w:lvl w:ilvl="6" w:tplc="0809000F" w:tentative="1">
      <w:start w:val="1"/>
      <w:numFmt w:val="decimal"/>
      <w:lvlText w:val="%7."/>
      <w:lvlJc w:val="left"/>
      <w:pPr>
        <w:ind w:left="7078" w:hanging="360"/>
      </w:pPr>
    </w:lvl>
    <w:lvl w:ilvl="7" w:tplc="08090019" w:tentative="1">
      <w:start w:val="1"/>
      <w:numFmt w:val="lowerLetter"/>
      <w:lvlText w:val="%8."/>
      <w:lvlJc w:val="left"/>
      <w:pPr>
        <w:ind w:left="7798" w:hanging="360"/>
      </w:pPr>
    </w:lvl>
    <w:lvl w:ilvl="8" w:tplc="0809001B" w:tentative="1">
      <w:start w:val="1"/>
      <w:numFmt w:val="lowerRoman"/>
      <w:lvlText w:val="%9."/>
      <w:lvlJc w:val="right"/>
      <w:pPr>
        <w:ind w:left="8518" w:hanging="180"/>
      </w:pPr>
    </w:lvl>
  </w:abstractNum>
  <w:abstractNum w:abstractNumId="44" w15:restartNumberingAfterBreak="0">
    <w:nsid w:val="756E4261"/>
    <w:multiLevelType w:val="hybridMultilevel"/>
    <w:tmpl w:val="E196C28A"/>
    <w:lvl w:ilvl="0" w:tplc="11D805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D95C52"/>
    <w:multiLevelType w:val="hybridMultilevel"/>
    <w:tmpl w:val="E792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6"/>
  </w:num>
  <w:num w:numId="5">
    <w:abstractNumId w:val="1"/>
  </w:num>
  <w:num w:numId="6">
    <w:abstractNumId w:val="16"/>
  </w:num>
  <w:num w:numId="7">
    <w:abstractNumId w:val="27"/>
  </w:num>
  <w:num w:numId="8">
    <w:abstractNumId w:val="31"/>
  </w:num>
  <w:num w:numId="9">
    <w:abstractNumId w:val="34"/>
  </w:num>
  <w:num w:numId="10">
    <w:abstractNumId w:val="21"/>
  </w:num>
  <w:num w:numId="11">
    <w:abstractNumId w:val="14"/>
  </w:num>
  <w:num w:numId="12">
    <w:abstractNumId w:val="11"/>
  </w:num>
  <w:num w:numId="13">
    <w:abstractNumId w:val="29"/>
  </w:num>
  <w:num w:numId="14">
    <w:abstractNumId w:val="38"/>
  </w:num>
  <w:num w:numId="15">
    <w:abstractNumId w:val="43"/>
  </w:num>
  <w:num w:numId="16">
    <w:abstractNumId w:val="39"/>
  </w:num>
  <w:num w:numId="17">
    <w:abstractNumId w:val="40"/>
  </w:num>
  <w:num w:numId="18">
    <w:abstractNumId w:val="5"/>
  </w:num>
  <w:num w:numId="19">
    <w:abstractNumId w:val="12"/>
  </w:num>
  <w:num w:numId="20">
    <w:abstractNumId w:val="33"/>
  </w:num>
  <w:num w:numId="21">
    <w:abstractNumId w:val="6"/>
  </w:num>
  <w:num w:numId="22">
    <w:abstractNumId w:val="41"/>
  </w:num>
  <w:num w:numId="23">
    <w:abstractNumId w:val="30"/>
  </w:num>
  <w:num w:numId="24">
    <w:abstractNumId w:val="15"/>
  </w:num>
  <w:num w:numId="25">
    <w:abstractNumId w:val="22"/>
  </w:num>
  <w:num w:numId="26">
    <w:abstractNumId w:val="9"/>
  </w:num>
  <w:num w:numId="27">
    <w:abstractNumId w:val="20"/>
  </w:num>
  <w:num w:numId="28">
    <w:abstractNumId w:val="36"/>
  </w:num>
  <w:num w:numId="29">
    <w:abstractNumId w:val="35"/>
  </w:num>
  <w:num w:numId="30">
    <w:abstractNumId w:val="45"/>
  </w:num>
  <w:num w:numId="31">
    <w:abstractNumId w:val="18"/>
  </w:num>
  <w:num w:numId="32">
    <w:abstractNumId w:val="17"/>
  </w:num>
  <w:num w:numId="33">
    <w:abstractNumId w:val="2"/>
  </w:num>
  <w:num w:numId="34">
    <w:abstractNumId w:val="42"/>
  </w:num>
  <w:num w:numId="35">
    <w:abstractNumId w:val="10"/>
  </w:num>
  <w:num w:numId="36">
    <w:abstractNumId w:val="0"/>
  </w:num>
  <w:num w:numId="37">
    <w:abstractNumId w:val="13"/>
  </w:num>
  <w:num w:numId="38">
    <w:abstractNumId w:val="44"/>
  </w:num>
  <w:num w:numId="39">
    <w:abstractNumId w:val="25"/>
  </w:num>
  <w:num w:numId="40">
    <w:abstractNumId w:val="19"/>
  </w:num>
  <w:num w:numId="41">
    <w:abstractNumId w:val="23"/>
  </w:num>
  <w:num w:numId="42">
    <w:abstractNumId w:val="7"/>
  </w:num>
  <w:num w:numId="43">
    <w:abstractNumId w:val="24"/>
  </w:num>
  <w:num w:numId="44">
    <w:abstractNumId w:val="32"/>
  </w:num>
  <w:num w:numId="45">
    <w:abstractNumId w:val="2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fr-BE" w:vendorID="64" w:dllVersion="0" w:nlCheck="1" w:checkStyle="0"/>
  <w:activeWritingStyle w:appName="MSWord" w:lang="nl-BE" w:vendorID="64" w:dllVersion="0" w:nlCheck="1" w:checkStyle="0"/>
  <w:activeWritingStyle w:appName="MSWord" w:lang="de-DE" w:vendorID="64" w:dllVersion="6" w:nlCheck="1" w:checkStyle="0"/>
  <w:activeWritingStyle w:appName="MSWord" w:lang="nl-BE" w:vendorID="64" w:dllVersion="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AD"/>
    <w:rsid w:val="00005AC6"/>
    <w:rsid w:val="00010B6A"/>
    <w:rsid w:val="00013A16"/>
    <w:rsid w:val="00016564"/>
    <w:rsid w:val="0006055E"/>
    <w:rsid w:val="0006253A"/>
    <w:rsid w:val="00065876"/>
    <w:rsid w:val="00077BCF"/>
    <w:rsid w:val="000803F7"/>
    <w:rsid w:val="00082770"/>
    <w:rsid w:val="000827B7"/>
    <w:rsid w:val="00096AA4"/>
    <w:rsid w:val="000A5B5A"/>
    <w:rsid w:val="000A7438"/>
    <w:rsid w:val="000F334D"/>
    <w:rsid w:val="000F7ED5"/>
    <w:rsid w:val="000F7F79"/>
    <w:rsid w:val="00114FF5"/>
    <w:rsid w:val="00117225"/>
    <w:rsid w:val="0012699C"/>
    <w:rsid w:val="001305B5"/>
    <w:rsid w:val="00136288"/>
    <w:rsid w:val="001376D7"/>
    <w:rsid w:val="001648E1"/>
    <w:rsid w:val="00165F2B"/>
    <w:rsid w:val="0016611D"/>
    <w:rsid w:val="00174073"/>
    <w:rsid w:val="00174605"/>
    <w:rsid w:val="00174FE5"/>
    <w:rsid w:val="00177827"/>
    <w:rsid w:val="00180D99"/>
    <w:rsid w:val="00181986"/>
    <w:rsid w:val="001901A9"/>
    <w:rsid w:val="00195F19"/>
    <w:rsid w:val="001A07B6"/>
    <w:rsid w:val="001A20A9"/>
    <w:rsid w:val="001A74BF"/>
    <w:rsid w:val="001B4167"/>
    <w:rsid w:val="001C2008"/>
    <w:rsid w:val="001C60F0"/>
    <w:rsid w:val="001C618D"/>
    <w:rsid w:val="001D1074"/>
    <w:rsid w:val="001F6CE9"/>
    <w:rsid w:val="002068F6"/>
    <w:rsid w:val="002160B0"/>
    <w:rsid w:val="002204F9"/>
    <w:rsid w:val="00221EEE"/>
    <w:rsid w:val="00225696"/>
    <w:rsid w:val="00240F23"/>
    <w:rsid w:val="00250CFA"/>
    <w:rsid w:val="00274A6C"/>
    <w:rsid w:val="002942A2"/>
    <w:rsid w:val="002A0F30"/>
    <w:rsid w:val="002A5053"/>
    <w:rsid w:val="002B0003"/>
    <w:rsid w:val="002B3291"/>
    <w:rsid w:val="002B6557"/>
    <w:rsid w:val="002C4621"/>
    <w:rsid w:val="002D0F04"/>
    <w:rsid w:val="002D1CA8"/>
    <w:rsid w:val="002E03A4"/>
    <w:rsid w:val="002F2140"/>
    <w:rsid w:val="002F769E"/>
    <w:rsid w:val="00310C0F"/>
    <w:rsid w:val="00311CDD"/>
    <w:rsid w:val="003163F1"/>
    <w:rsid w:val="00326F6E"/>
    <w:rsid w:val="00332D46"/>
    <w:rsid w:val="00336F51"/>
    <w:rsid w:val="00371605"/>
    <w:rsid w:val="00373D04"/>
    <w:rsid w:val="003747CB"/>
    <w:rsid w:val="00393C01"/>
    <w:rsid w:val="003B3DEA"/>
    <w:rsid w:val="003C3434"/>
    <w:rsid w:val="003E3D0E"/>
    <w:rsid w:val="0041372E"/>
    <w:rsid w:val="004219DF"/>
    <w:rsid w:val="004263C3"/>
    <w:rsid w:val="004349E0"/>
    <w:rsid w:val="00437E65"/>
    <w:rsid w:val="00440F58"/>
    <w:rsid w:val="004422CC"/>
    <w:rsid w:val="0044586A"/>
    <w:rsid w:val="0046130D"/>
    <w:rsid w:val="00462C39"/>
    <w:rsid w:val="00466818"/>
    <w:rsid w:val="0048418D"/>
    <w:rsid w:val="0049356F"/>
    <w:rsid w:val="004A0FC3"/>
    <w:rsid w:val="004B3466"/>
    <w:rsid w:val="004B34B0"/>
    <w:rsid w:val="004B58ED"/>
    <w:rsid w:val="004D2375"/>
    <w:rsid w:val="004D4AD9"/>
    <w:rsid w:val="004D61AD"/>
    <w:rsid w:val="004D6EB5"/>
    <w:rsid w:val="004E0A6E"/>
    <w:rsid w:val="004E2DA6"/>
    <w:rsid w:val="004E33A4"/>
    <w:rsid w:val="00504ED9"/>
    <w:rsid w:val="00512445"/>
    <w:rsid w:val="00517257"/>
    <w:rsid w:val="005325D5"/>
    <w:rsid w:val="00541299"/>
    <w:rsid w:val="00552409"/>
    <w:rsid w:val="0058374A"/>
    <w:rsid w:val="005B1C14"/>
    <w:rsid w:val="005F0EA9"/>
    <w:rsid w:val="00601D6B"/>
    <w:rsid w:val="006225C9"/>
    <w:rsid w:val="006256D9"/>
    <w:rsid w:val="00626129"/>
    <w:rsid w:val="00635E5E"/>
    <w:rsid w:val="006367D5"/>
    <w:rsid w:val="00641E6C"/>
    <w:rsid w:val="00646BF9"/>
    <w:rsid w:val="006602AF"/>
    <w:rsid w:val="00664011"/>
    <w:rsid w:val="0066709C"/>
    <w:rsid w:val="006765ED"/>
    <w:rsid w:val="00677B51"/>
    <w:rsid w:val="006A1E1E"/>
    <w:rsid w:val="006A1FDD"/>
    <w:rsid w:val="006A6E74"/>
    <w:rsid w:val="006C26D0"/>
    <w:rsid w:val="006C5382"/>
    <w:rsid w:val="006C5ABA"/>
    <w:rsid w:val="006D0316"/>
    <w:rsid w:val="006E7FF8"/>
    <w:rsid w:val="006F010B"/>
    <w:rsid w:val="006F2836"/>
    <w:rsid w:val="00700B9E"/>
    <w:rsid w:val="00710730"/>
    <w:rsid w:val="007204E1"/>
    <w:rsid w:val="00722A59"/>
    <w:rsid w:val="007321B0"/>
    <w:rsid w:val="007414B3"/>
    <w:rsid w:val="0074741A"/>
    <w:rsid w:val="00747800"/>
    <w:rsid w:val="00761D1E"/>
    <w:rsid w:val="007638C0"/>
    <w:rsid w:val="0077110D"/>
    <w:rsid w:val="007800A0"/>
    <w:rsid w:val="0078689C"/>
    <w:rsid w:val="007903E2"/>
    <w:rsid w:val="00792D8D"/>
    <w:rsid w:val="00797429"/>
    <w:rsid w:val="007A1795"/>
    <w:rsid w:val="007A428D"/>
    <w:rsid w:val="007A48A6"/>
    <w:rsid w:val="007B5D24"/>
    <w:rsid w:val="007B7275"/>
    <w:rsid w:val="007C1BFB"/>
    <w:rsid w:val="007C656B"/>
    <w:rsid w:val="007D7ED8"/>
    <w:rsid w:val="008053C5"/>
    <w:rsid w:val="008133FE"/>
    <w:rsid w:val="008237DF"/>
    <w:rsid w:val="00823B17"/>
    <w:rsid w:val="00841006"/>
    <w:rsid w:val="00842C72"/>
    <w:rsid w:val="00847F04"/>
    <w:rsid w:val="00862735"/>
    <w:rsid w:val="0087255A"/>
    <w:rsid w:val="008777A0"/>
    <w:rsid w:val="0088059F"/>
    <w:rsid w:val="00881922"/>
    <w:rsid w:val="008C53DB"/>
    <w:rsid w:val="008C70EB"/>
    <w:rsid w:val="008D0107"/>
    <w:rsid w:val="008D09B1"/>
    <w:rsid w:val="008D4CAA"/>
    <w:rsid w:val="008E5E6B"/>
    <w:rsid w:val="008F049C"/>
    <w:rsid w:val="008F3F9E"/>
    <w:rsid w:val="008F516C"/>
    <w:rsid w:val="00900410"/>
    <w:rsid w:val="00910E49"/>
    <w:rsid w:val="00912E25"/>
    <w:rsid w:val="009239BD"/>
    <w:rsid w:val="0093069D"/>
    <w:rsid w:val="00933678"/>
    <w:rsid w:val="00950110"/>
    <w:rsid w:val="00972FE4"/>
    <w:rsid w:val="00973EE6"/>
    <w:rsid w:val="009803D3"/>
    <w:rsid w:val="00997125"/>
    <w:rsid w:val="009A2316"/>
    <w:rsid w:val="009A625F"/>
    <w:rsid w:val="009C3A41"/>
    <w:rsid w:val="009C4302"/>
    <w:rsid w:val="009D0804"/>
    <w:rsid w:val="009E25D5"/>
    <w:rsid w:val="00A00999"/>
    <w:rsid w:val="00A00C2E"/>
    <w:rsid w:val="00A12AD1"/>
    <w:rsid w:val="00A2091B"/>
    <w:rsid w:val="00A279B4"/>
    <w:rsid w:val="00A27CDA"/>
    <w:rsid w:val="00A32469"/>
    <w:rsid w:val="00A33B89"/>
    <w:rsid w:val="00A6435F"/>
    <w:rsid w:val="00A67380"/>
    <w:rsid w:val="00A70CF6"/>
    <w:rsid w:val="00A8715A"/>
    <w:rsid w:val="00AA0F24"/>
    <w:rsid w:val="00AA3483"/>
    <w:rsid w:val="00AC14F9"/>
    <w:rsid w:val="00AC2CED"/>
    <w:rsid w:val="00AD02F9"/>
    <w:rsid w:val="00AD4169"/>
    <w:rsid w:val="00B14066"/>
    <w:rsid w:val="00B163F7"/>
    <w:rsid w:val="00B33E16"/>
    <w:rsid w:val="00B43E56"/>
    <w:rsid w:val="00B500D6"/>
    <w:rsid w:val="00B55C83"/>
    <w:rsid w:val="00B579C8"/>
    <w:rsid w:val="00B6275F"/>
    <w:rsid w:val="00B8106B"/>
    <w:rsid w:val="00B8439C"/>
    <w:rsid w:val="00B85354"/>
    <w:rsid w:val="00B85D14"/>
    <w:rsid w:val="00BA32D5"/>
    <w:rsid w:val="00BC12A8"/>
    <w:rsid w:val="00BC160E"/>
    <w:rsid w:val="00BC1FE1"/>
    <w:rsid w:val="00BC7DED"/>
    <w:rsid w:val="00BD27DE"/>
    <w:rsid w:val="00BD2F76"/>
    <w:rsid w:val="00BE3818"/>
    <w:rsid w:val="00C02265"/>
    <w:rsid w:val="00C07680"/>
    <w:rsid w:val="00C15C20"/>
    <w:rsid w:val="00C2207A"/>
    <w:rsid w:val="00C23A0D"/>
    <w:rsid w:val="00C23ECD"/>
    <w:rsid w:val="00C4691F"/>
    <w:rsid w:val="00C512C5"/>
    <w:rsid w:val="00C677EA"/>
    <w:rsid w:val="00C73F17"/>
    <w:rsid w:val="00C751D7"/>
    <w:rsid w:val="00C8015E"/>
    <w:rsid w:val="00C809D7"/>
    <w:rsid w:val="00C81E2D"/>
    <w:rsid w:val="00C84FB6"/>
    <w:rsid w:val="00C850C4"/>
    <w:rsid w:val="00C851CB"/>
    <w:rsid w:val="00C90980"/>
    <w:rsid w:val="00C91F12"/>
    <w:rsid w:val="00C95A22"/>
    <w:rsid w:val="00C96863"/>
    <w:rsid w:val="00CE5968"/>
    <w:rsid w:val="00CE6C72"/>
    <w:rsid w:val="00CE6D34"/>
    <w:rsid w:val="00CF2EC3"/>
    <w:rsid w:val="00D02ED2"/>
    <w:rsid w:val="00D2589F"/>
    <w:rsid w:val="00D262B2"/>
    <w:rsid w:val="00D35496"/>
    <w:rsid w:val="00D372AF"/>
    <w:rsid w:val="00D40638"/>
    <w:rsid w:val="00D40BE8"/>
    <w:rsid w:val="00D42B97"/>
    <w:rsid w:val="00D4435F"/>
    <w:rsid w:val="00D57018"/>
    <w:rsid w:val="00D64CA4"/>
    <w:rsid w:val="00D65CAF"/>
    <w:rsid w:val="00D70125"/>
    <w:rsid w:val="00D70B82"/>
    <w:rsid w:val="00D72EF1"/>
    <w:rsid w:val="00D800B3"/>
    <w:rsid w:val="00D85F53"/>
    <w:rsid w:val="00D913D1"/>
    <w:rsid w:val="00D92250"/>
    <w:rsid w:val="00DA4C2A"/>
    <w:rsid w:val="00DA500B"/>
    <w:rsid w:val="00DB77A9"/>
    <w:rsid w:val="00DC1D99"/>
    <w:rsid w:val="00DC364B"/>
    <w:rsid w:val="00DD2401"/>
    <w:rsid w:val="00DE4B64"/>
    <w:rsid w:val="00E227CF"/>
    <w:rsid w:val="00E24001"/>
    <w:rsid w:val="00E266AD"/>
    <w:rsid w:val="00E27F33"/>
    <w:rsid w:val="00E306B5"/>
    <w:rsid w:val="00E673AE"/>
    <w:rsid w:val="00E71A90"/>
    <w:rsid w:val="00E773B1"/>
    <w:rsid w:val="00E831AE"/>
    <w:rsid w:val="00E870F3"/>
    <w:rsid w:val="00E90440"/>
    <w:rsid w:val="00E97880"/>
    <w:rsid w:val="00EA0071"/>
    <w:rsid w:val="00EA1554"/>
    <w:rsid w:val="00EA66CF"/>
    <w:rsid w:val="00EB5F65"/>
    <w:rsid w:val="00EB7655"/>
    <w:rsid w:val="00EC4DE1"/>
    <w:rsid w:val="00EE1051"/>
    <w:rsid w:val="00EE713E"/>
    <w:rsid w:val="00EF2A25"/>
    <w:rsid w:val="00EF3DA1"/>
    <w:rsid w:val="00EF6B9C"/>
    <w:rsid w:val="00EF7E53"/>
    <w:rsid w:val="00F01C61"/>
    <w:rsid w:val="00F02B19"/>
    <w:rsid w:val="00F0354E"/>
    <w:rsid w:val="00F32B85"/>
    <w:rsid w:val="00F42EA9"/>
    <w:rsid w:val="00F4660B"/>
    <w:rsid w:val="00F53745"/>
    <w:rsid w:val="00F5512B"/>
    <w:rsid w:val="00F843CC"/>
    <w:rsid w:val="00F87F7E"/>
    <w:rsid w:val="00F938C4"/>
    <w:rsid w:val="00FA4479"/>
    <w:rsid w:val="00FA52F9"/>
    <w:rsid w:val="00FA57F9"/>
    <w:rsid w:val="00FC3AE9"/>
    <w:rsid w:val="00FD39F3"/>
    <w:rsid w:val="00FD79C5"/>
    <w:rsid w:val="00FF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08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2" w:unhideWhenUsed="1" w:qFormat="1"/>
    <w:lsdException w:name="heading 8" w:semiHidden="1" w:uiPriority="13" w:unhideWhenUsed="1" w:qFormat="1"/>
    <w:lsdException w:name="heading 9" w:semiHidden="1" w:uiPriority="14"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13"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D61AD"/>
    <w:pPr>
      <w:tabs>
        <w:tab w:val="left" w:pos="850"/>
        <w:tab w:val="left" w:pos="1191"/>
        <w:tab w:val="left" w:pos="1531"/>
      </w:tabs>
      <w:spacing w:after="0" w:line="240" w:lineRule="auto"/>
      <w:jc w:val="both"/>
    </w:pPr>
    <w:rPr>
      <w:rFonts w:ascii="Times New Roman" w:hAnsi="Times New Roman" w:cs="Times New Roman"/>
      <w:szCs w:val="20"/>
    </w:rPr>
  </w:style>
  <w:style w:type="paragraph" w:styleId="Titre1">
    <w:name w:val="heading 1"/>
    <w:basedOn w:val="Normal"/>
    <w:next w:val="Para0"/>
    <w:link w:val="Titre1Car"/>
    <w:uiPriority w:val="1"/>
    <w:qFormat/>
    <w:rsid w:val="004D61AD"/>
    <w:pPr>
      <w:keepNext/>
      <w:keepLines/>
      <w:numPr>
        <w:numId w:val="13"/>
      </w:numPr>
      <w:spacing w:after="240"/>
      <w:jc w:val="left"/>
      <w:outlineLvl w:val="0"/>
    </w:pPr>
    <w:rPr>
      <w:b/>
      <w:bCs/>
      <w:color w:val="4E81BD"/>
      <w:kern w:val="28"/>
      <w:sz w:val="28"/>
    </w:rPr>
  </w:style>
  <w:style w:type="paragraph" w:styleId="Titre2">
    <w:name w:val="heading 2"/>
    <w:basedOn w:val="Normal"/>
    <w:next w:val="Para0"/>
    <w:link w:val="Titre2Car"/>
    <w:uiPriority w:val="1"/>
    <w:qFormat/>
    <w:rsid w:val="004D61AD"/>
    <w:pPr>
      <w:keepNext/>
      <w:numPr>
        <w:ilvl w:val="1"/>
        <w:numId w:val="13"/>
      </w:numPr>
      <w:spacing w:before="240" w:after="240"/>
      <w:ind w:right="680"/>
      <w:jc w:val="left"/>
      <w:outlineLvl w:val="1"/>
    </w:pPr>
    <w:rPr>
      <w:b/>
      <w:bCs/>
      <w:color w:val="4E81BD"/>
      <w:sz w:val="24"/>
    </w:rPr>
  </w:style>
  <w:style w:type="paragraph" w:styleId="Titre3">
    <w:name w:val="heading 3"/>
    <w:basedOn w:val="Normal"/>
    <w:next w:val="Para0"/>
    <w:link w:val="Titre3Car"/>
    <w:uiPriority w:val="1"/>
    <w:qFormat/>
    <w:rsid w:val="004D61AD"/>
    <w:pPr>
      <w:keepNext/>
      <w:keepLines/>
      <w:numPr>
        <w:ilvl w:val="2"/>
        <w:numId w:val="13"/>
      </w:numPr>
      <w:spacing w:before="240" w:after="120"/>
      <w:ind w:right="680"/>
      <w:jc w:val="left"/>
      <w:outlineLvl w:val="2"/>
    </w:pPr>
    <w:rPr>
      <w:b/>
      <w:bCs/>
      <w:i/>
      <w:iCs/>
      <w:color w:val="262626"/>
      <w:sz w:val="24"/>
    </w:rPr>
  </w:style>
  <w:style w:type="paragraph" w:styleId="Titre4">
    <w:name w:val="heading 4"/>
    <w:basedOn w:val="Normal"/>
    <w:next w:val="Para0"/>
    <w:link w:val="Titre4Car"/>
    <w:uiPriority w:val="1"/>
    <w:qFormat/>
    <w:rsid w:val="004D61AD"/>
    <w:pPr>
      <w:keepNext/>
      <w:keepLines/>
      <w:numPr>
        <w:ilvl w:val="3"/>
        <w:numId w:val="13"/>
      </w:numPr>
      <w:spacing w:before="240" w:after="120"/>
      <w:ind w:right="680"/>
      <w:jc w:val="left"/>
      <w:outlineLvl w:val="3"/>
    </w:pPr>
    <w:rPr>
      <w:i/>
      <w:iCs/>
      <w:color w:val="000000" w:themeColor="text1"/>
      <w:sz w:val="24"/>
    </w:rPr>
  </w:style>
  <w:style w:type="paragraph" w:styleId="Titre5">
    <w:name w:val="heading 5"/>
    <w:basedOn w:val="Normal"/>
    <w:next w:val="Para0"/>
    <w:link w:val="Titre5Car"/>
    <w:uiPriority w:val="1"/>
    <w:qFormat/>
    <w:rsid w:val="004D61AD"/>
    <w:pPr>
      <w:keepNext/>
      <w:keepLines/>
      <w:numPr>
        <w:ilvl w:val="4"/>
        <w:numId w:val="13"/>
      </w:numPr>
      <w:spacing w:before="240" w:after="120"/>
      <w:ind w:right="680"/>
      <w:jc w:val="left"/>
      <w:outlineLvl w:val="4"/>
    </w:pPr>
    <w:rPr>
      <w:color w:val="000000" w:themeColor="text1"/>
      <w:sz w:val="24"/>
    </w:rPr>
  </w:style>
  <w:style w:type="paragraph" w:styleId="Titre6">
    <w:name w:val="heading 6"/>
    <w:aliases w:val="Part"/>
    <w:basedOn w:val="Normal"/>
    <w:next w:val="Titre1"/>
    <w:link w:val="Titre6Car"/>
    <w:uiPriority w:val="1"/>
    <w:qFormat/>
    <w:rsid w:val="004D61AD"/>
    <w:pPr>
      <w:keepNext/>
      <w:pageBreakBefore/>
      <w:numPr>
        <w:ilvl w:val="5"/>
        <w:numId w:val="13"/>
      </w:numPr>
      <w:spacing w:before="1200" w:after="720"/>
      <w:jc w:val="center"/>
      <w:outlineLvl w:val="5"/>
    </w:pPr>
    <w:rPr>
      <w:b/>
      <w:color w:val="4E81BD"/>
      <w:sz w:val="28"/>
    </w:rPr>
  </w:style>
  <w:style w:type="paragraph" w:styleId="Titre7">
    <w:name w:val="heading 7"/>
    <w:aliases w:val="Doc AnnX"/>
    <w:basedOn w:val="Normal"/>
    <w:next w:val="Para0"/>
    <w:link w:val="Titre7Car"/>
    <w:uiPriority w:val="12"/>
    <w:qFormat/>
    <w:rsid w:val="004D61AD"/>
    <w:pPr>
      <w:keepNext/>
      <w:pageBreakBefore/>
      <w:numPr>
        <w:ilvl w:val="6"/>
        <w:numId w:val="13"/>
      </w:numPr>
      <w:spacing w:before="1200" w:after="720"/>
      <w:jc w:val="center"/>
      <w:outlineLvl w:val="6"/>
    </w:pPr>
    <w:rPr>
      <w:b/>
      <w:color w:val="4E81BD"/>
      <w:sz w:val="28"/>
    </w:rPr>
  </w:style>
  <w:style w:type="paragraph" w:styleId="Titre8">
    <w:name w:val="heading 8"/>
    <w:aliases w:val="Part AnnX"/>
    <w:basedOn w:val="Titre7"/>
    <w:next w:val="Para0"/>
    <w:link w:val="Titre8Car"/>
    <w:uiPriority w:val="13"/>
    <w:rsid w:val="004D61AD"/>
    <w:pPr>
      <w:numPr>
        <w:ilvl w:val="7"/>
      </w:numPr>
      <w:outlineLvl w:val="7"/>
    </w:pPr>
  </w:style>
  <w:style w:type="paragraph" w:styleId="Titre9">
    <w:name w:val="heading 9"/>
    <w:aliases w:val="Chap AnnX"/>
    <w:basedOn w:val="Titre8"/>
    <w:next w:val="Para0"/>
    <w:link w:val="Titre9Car"/>
    <w:uiPriority w:val="14"/>
    <w:qFormat/>
    <w:rsid w:val="004D61AD"/>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D61AD"/>
    <w:rPr>
      <w:rFonts w:ascii="Times New Roman" w:hAnsi="Times New Roman" w:cs="Times New Roman"/>
      <w:b/>
      <w:bCs/>
      <w:color w:val="4E81BD"/>
      <w:kern w:val="28"/>
      <w:sz w:val="28"/>
      <w:szCs w:val="20"/>
    </w:rPr>
  </w:style>
  <w:style w:type="character" w:customStyle="1" w:styleId="Titre2Car">
    <w:name w:val="Titre 2 Car"/>
    <w:basedOn w:val="Policepardfaut"/>
    <w:link w:val="Titre2"/>
    <w:uiPriority w:val="1"/>
    <w:rsid w:val="004D61AD"/>
    <w:rPr>
      <w:rFonts w:ascii="Times New Roman" w:hAnsi="Times New Roman" w:cs="Times New Roman"/>
      <w:b/>
      <w:bCs/>
      <w:color w:val="4E81BD"/>
      <w:sz w:val="24"/>
      <w:szCs w:val="20"/>
    </w:rPr>
  </w:style>
  <w:style w:type="character" w:customStyle="1" w:styleId="Titre3Car">
    <w:name w:val="Titre 3 Car"/>
    <w:basedOn w:val="Policepardfaut"/>
    <w:link w:val="Titre3"/>
    <w:uiPriority w:val="1"/>
    <w:rsid w:val="004D61AD"/>
    <w:rPr>
      <w:rFonts w:ascii="Times New Roman" w:hAnsi="Times New Roman" w:cs="Times New Roman"/>
      <w:b/>
      <w:bCs/>
      <w:i/>
      <w:iCs/>
      <w:color w:val="262626"/>
      <w:sz w:val="24"/>
      <w:szCs w:val="20"/>
    </w:rPr>
  </w:style>
  <w:style w:type="character" w:customStyle="1" w:styleId="Titre4Car">
    <w:name w:val="Titre 4 Car"/>
    <w:basedOn w:val="Policepardfaut"/>
    <w:link w:val="Titre4"/>
    <w:uiPriority w:val="1"/>
    <w:rsid w:val="004D61AD"/>
    <w:rPr>
      <w:rFonts w:ascii="Times New Roman" w:hAnsi="Times New Roman" w:cs="Times New Roman"/>
      <w:i/>
      <w:iCs/>
      <w:color w:val="000000" w:themeColor="text1"/>
      <w:sz w:val="24"/>
      <w:szCs w:val="20"/>
    </w:rPr>
  </w:style>
  <w:style w:type="character" w:customStyle="1" w:styleId="Titre5Car">
    <w:name w:val="Titre 5 Car"/>
    <w:basedOn w:val="Policepardfaut"/>
    <w:link w:val="Titre5"/>
    <w:uiPriority w:val="1"/>
    <w:rsid w:val="004D61AD"/>
    <w:rPr>
      <w:rFonts w:ascii="Times New Roman" w:hAnsi="Times New Roman" w:cs="Times New Roman"/>
      <w:color w:val="000000" w:themeColor="text1"/>
      <w:sz w:val="24"/>
      <w:szCs w:val="20"/>
    </w:rPr>
  </w:style>
  <w:style w:type="character" w:customStyle="1" w:styleId="Titre6Car">
    <w:name w:val="Titre 6 Car"/>
    <w:aliases w:val="Part Car"/>
    <w:basedOn w:val="Policepardfaut"/>
    <w:link w:val="Titre6"/>
    <w:uiPriority w:val="1"/>
    <w:rsid w:val="004D61AD"/>
    <w:rPr>
      <w:rFonts w:ascii="Times New Roman" w:hAnsi="Times New Roman" w:cs="Times New Roman"/>
      <w:b/>
      <w:color w:val="4E81BD"/>
      <w:sz w:val="28"/>
      <w:szCs w:val="20"/>
    </w:rPr>
  </w:style>
  <w:style w:type="character" w:customStyle="1" w:styleId="Titre7Car">
    <w:name w:val="Titre 7 Car"/>
    <w:aliases w:val="Doc AnnX Car"/>
    <w:basedOn w:val="Policepardfaut"/>
    <w:link w:val="Titre7"/>
    <w:uiPriority w:val="12"/>
    <w:rsid w:val="004D61AD"/>
    <w:rPr>
      <w:rFonts w:ascii="Times New Roman" w:hAnsi="Times New Roman" w:cs="Times New Roman"/>
      <w:b/>
      <w:color w:val="4E81BD"/>
      <w:sz w:val="28"/>
      <w:szCs w:val="20"/>
    </w:rPr>
  </w:style>
  <w:style w:type="character" w:customStyle="1" w:styleId="Titre8Car">
    <w:name w:val="Titre 8 Car"/>
    <w:aliases w:val="Part AnnX Car"/>
    <w:basedOn w:val="Policepardfaut"/>
    <w:link w:val="Titre8"/>
    <w:uiPriority w:val="13"/>
    <w:rsid w:val="004D61AD"/>
    <w:rPr>
      <w:rFonts w:ascii="Times New Roman" w:hAnsi="Times New Roman" w:cs="Times New Roman"/>
      <w:b/>
      <w:color w:val="4E81BD"/>
      <w:sz w:val="28"/>
      <w:szCs w:val="20"/>
    </w:rPr>
  </w:style>
  <w:style w:type="character" w:customStyle="1" w:styleId="Titre9Car">
    <w:name w:val="Titre 9 Car"/>
    <w:aliases w:val="Chap AnnX Car"/>
    <w:basedOn w:val="Policepardfaut"/>
    <w:link w:val="Titre9"/>
    <w:uiPriority w:val="14"/>
    <w:rsid w:val="004D61AD"/>
    <w:rPr>
      <w:rFonts w:ascii="Times New Roman" w:hAnsi="Times New Roman" w:cs="Times New Roman"/>
      <w:b/>
      <w:color w:val="4E81BD"/>
      <w:sz w:val="28"/>
      <w:szCs w:val="20"/>
    </w:rPr>
  </w:style>
  <w:style w:type="paragraph" w:styleId="TM1">
    <w:name w:val="toc 1"/>
    <w:basedOn w:val="Normal"/>
    <w:next w:val="Normal"/>
    <w:uiPriority w:val="39"/>
    <w:unhideWhenUsed/>
    <w:rsid w:val="004D61AD"/>
    <w:pPr>
      <w:tabs>
        <w:tab w:val="clear" w:pos="850"/>
        <w:tab w:val="clear" w:pos="1191"/>
        <w:tab w:val="clear" w:pos="1531"/>
        <w:tab w:val="right" w:leader="dot" w:pos="9072"/>
      </w:tabs>
      <w:spacing w:before="120" w:after="120"/>
      <w:ind w:right="510"/>
      <w:jc w:val="left"/>
    </w:pPr>
    <w:rPr>
      <w:b/>
      <w:noProof/>
    </w:rPr>
  </w:style>
  <w:style w:type="paragraph" w:styleId="TM2">
    <w:name w:val="toc 2"/>
    <w:basedOn w:val="Normal"/>
    <w:next w:val="Normal"/>
    <w:uiPriority w:val="39"/>
    <w:unhideWhenUsed/>
    <w:rsid w:val="004D61AD"/>
    <w:pPr>
      <w:tabs>
        <w:tab w:val="clear" w:pos="850"/>
        <w:tab w:val="clear" w:pos="1191"/>
        <w:tab w:val="clear" w:pos="1531"/>
        <w:tab w:val="right" w:leader="dot" w:pos="9072"/>
      </w:tabs>
      <w:ind w:left="198" w:right="510"/>
      <w:jc w:val="left"/>
    </w:pPr>
    <w:rPr>
      <w:noProof/>
    </w:rPr>
  </w:style>
  <w:style w:type="paragraph" w:styleId="TM3">
    <w:name w:val="toc 3"/>
    <w:basedOn w:val="Normal"/>
    <w:next w:val="Normal"/>
    <w:uiPriority w:val="39"/>
    <w:unhideWhenUsed/>
    <w:rsid w:val="004D61AD"/>
    <w:pPr>
      <w:tabs>
        <w:tab w:val="clear" w:pos="850"/>
        <w:tab w:val="clear" w:pos="1191"/>
        <w:tab w:val="clear" w:pos="1531"/>
        <w:tab w:val="right" w:leader="dot" w:pos="9072"/>
      </w:tabs>
      <w:ind w:left="397" w:right="510"/>
      <w:jc w:val="left"/>
    </w:pPr>
    <w:rPr>
      <w:noProof/>
    </w:rPr>
  </w:style>
  <w:style w:type="paragraph" w:styleId="TM4">
    <w:name w:val="toc 4"/>
    <w:basedOn w:val="Normal"/>
    <w:next w:val="Normal"/>
    <w:semiHidden/>
    <w:rsid w:val="004D61AD"/>
    <w:pPr>
      <w:tabs>
        <w:tab w:val="clear" w:pos="850"/>
        <w:tab w:val="clear" w:pos="1191"/>
        <w:tab w:val="clear" w:pos="1531"/>
        <w:tab w:val="right" w:leader="dot" w:pos="9072"/>
      </w:tabs>
      <w:ind w:left="595" w:right="510"/>
      <w:jc w:val="left"/>
    </w:pPr>
    <w:rPr>
      <w:noProof/>
    </w:rPr>
  </w:style>
  <w:style w:type="paragraph" w:styleId="TM5">
    <w:name w:val="toc 5"/>
    <w:aliases w:val="Annotated Item"/>
    <w:basedOn w:val="Para0"/>
    <w:next w:val="Para0"/>
    <w:uiPriority w:val="13"/>
    <w:rsid w:val="004D61AD"/>
    <w:pPr>
      <w:keepNext/>
      <w:spacing w:before="0"/>
    </w:pPr>
    <w:rPr>
      <w:b/>
      <w:color w:val="4E81BD"/>
    </w:rPr>
  </w:style>
  <w:style w:type="paragraph" w:styleId="TM6">
    <w:name w:val="toc 6"/>
    <w:basedOn w:val="Normal"/>
    <w:next w:val="Normal"/>
    <w:semiHidden/>
    <w:rsid w:val="004D61AD"/>
    <w:pPr>
      <w:tabs>
        <w:tab w:val="clear" w:pos="850"/>
        <w:tab w:val="clear" w:pos="1191"/>
        <w:tab w:val="clear" w:pos="1531"/>
      </w:tabs>
      <w:ind w:left="1100"/>
    </w:pPr>
  </w:style>
  <w:style w:type="paragraph" w:styleId="TM7">
    <w:name w:val="toc 7"/>
    <w:basedOn w:val="Normal"/>
    <w:next w:val="Normal"/>
    <w:semiHidden/>
    <w:rsid w:val="004D61AD"/>
    <w:pPr>
      <w:tabs>
        <w:tab w:val="clear" w:pos="850"/>
        <w:tab w:val="clear" w:pos="1191"/>
        <w:tab w:val="clear" w:pos="1531"/>
      </w:tabs>
      <w:ind w:left="1320"/>
    </w:pPr>
  </w:style>
  <w:style w:type="paragraph" w:styleId="TM8">
    <w:name w:val="toc 8"/>
    <w:basedOn w:val="Normal"/>
    <w:next w:val="Normal"/>
    <w:semiHidden/>
    <w:rsid w:val="004D61AD"/>
    <w:pPr>
      <w:tabs>
        <w:tab w:val="clear" w:pos="850"/>
        <w:tab w:val="clear" w:pos="1191"/>
        <w:tab w:val="clear" w:pos="1531"/>
      </w:tabs>
      <w:ind w:left="1540"/>
    </w:pPr>
  </w:style>
  <w:style w:type="paragraph" w:styleId="TM9">
    <w:name w:val="toc 9"/>
    <w:basedOn w:val="Normal"/>
    <w:next w:val="Normal"/>
    <w:semiHidden/>
    <w:rsid w:val="004D61AD"/>
    <w:pPr>
      <w:tabs>
        <w:tab w:val="clear" w:pos="850"/>
        <w:tab w:val="clear" w:pos="1191"/>
        <w:tab w:val="clear" w:pos="1531"/>
      </w:tabs>
      <w:ind w:left="1760"/>
    </w:pPr>
  </w:style>
  <w:style w:type="paragraph" w:styleId="Lgende">
    <w:name w:val="caption"/>
    <w:basedOn w:val="Normal"/>
    <w:next w:val="CaptionSubtitle"/>
    <w:uiPriority w:val="35"/>
    <w:rsid w:val="004D61AD"/>
    <w:pPr>
      <w:keepNext/>
      <w:spacing w:before="240" w:after="240"/>
      <w:ind w:left="680" w:right="680"/>
      <w:jc w:val="center"/>
    </w:pPr>
    <w:rPr>
      <w:b/>
      <w:bCs/>
      <w:sz w:val="20"/>
    </w:rPr>
  </w:style>
  <w:style w:type="paragraph" w:styleId="Titre">
    <w:name w:val="Title"/>
    <w:basedOn w:val="Normal"/>
    <w:next w:val="Para0"/>
    <w:link w:val="TitreCar"/>
    <w:qFormat/>
    <w:rsid w:val="004D61AD"/>
    <w:pPr>
      <w:keepNext/>
      <w:keepLines/>
      <w:pageBreakBefore/>
      <w:spacing w:before="1200" w:after="720"/>
      <w:ind w:left="680" w:right="680"/>
      <w:jc w:val="center"/>
      <w:outlineLvl w:val="0"/>
    </w:pPr>
    <w:rPr>
      <w:rFonts w:cs="Arial"/>
      <w:bCs/>
      <w:i/>
      <w:color w:val="4E81BD"/>
      <w:kern w:val="28"/>
      <w:sz w:val="32"/>
      <w:szCs w:val="32"/>
    </w:rPr>
  </w:style>
  <w:style w:type="character" w:customStyle="1" w:styleId="TitreCar">
    <w:name w:val="Titre Car"/>
    <w:basedOn w:val="Policepardfaut"/>
    <w:link w:val="Titre"/>
    <w:rsid w:val="004D61AD"/>
    <w:rPr>
      <w:rFonts w:ascii="Times New Roman" w:hAnsi="Times New Roman" w:cs="Arial"/>
      <w:bCs/>
      <w:i/>
      <w:color w:val="4E81BD"/>
      <w:kern w:val="28"/>
      <w:sz w:val="32"/>
      <w:szCs w:val="32"/>
    </w:rPr>
  </w:style>
  <w:style w:type="paragraph" w:styleId="Sous-titre">
    <w:name w:val="Subtitle"/>
    <w:basedOn w:val="Normal"/>
    <w:next w:val="ImportantInformation"/>
    <w:link w:val="Sous-titreCar"/>
    <w:uiPriority w:val="1"/>
    <w:qFormat/>
    <w:rsid w:val="004D61AD"/>
    <w:pPr>
      <w:spacing w:after="240"/>
      <w:jc w:val="center"/>
    </w:pPr>
    <w:rPr>
      <w:rFonts w:cs="Arial"/>
      <w:b/>
      <w:sz w:val="24"/>
      <w:szCs w:val="24"/>
    </w:rPr>
  </w:style>
  <w:style w:type="character" w:customStyle="1" w:styleId="Sous-titreCar">
    <w:name w:val="Sous-titre Car"/>
    <w:basedOn w:val="Policepardfaut"/>
    <w:link w:val="Sous-titre"/>
    <w:uiPriority w:val="1"/>
    <w:rsid w:val="004D61AD"/>
    <w:rPr>
      <w:rFonts w:ascii="Times New Roman" w:hAnsi="Times New Roman" w:cs="Arial"/>
      <w:b/>
      <w:sz w:val="24"/>
      <w:szCs w:val="24"/>
    </w:rPr>
  </w:style>
  <w:style w:type="paragraph" w:styleId="En-tte">
    <w:name w:val="header"/>
    <w:basedOn w:val="Normal"/>
    <w:link w:val="En-tteCar"/>
    <w:uiPriority w:val="99"/>
    <w:unhideWhenUsed/>
    <w:rsid w:val="004D61AD"/>
    <w:pPr>
      <w:tabs>
        <w:tab w:val="clear" w:pos="850"/>
        <w:tab w:val="clear" w:pos="1191"/>
        <w:tab w:val="clear" w:pos="1531"/>
        <w:tab w:val="center" w:pos="4680"/>
        <w:tab w:val="right" w:pos="9360"/>
      </w:tabs>
    </w:pPr>
  </w:style>
  <w:style w:type="character" w:customStyle="1" w:styleId="En-tteCar">
    <w:name w:val="En-tête Car"/>
    <w:basedOn w:val="Policepardfaut"/>
    <w:link w:val="En-tte"/>
    <w:uiPriority w:val="99"/>
    <w:rsid w:val="004D61AD"/>
    <w:rPr>
      <w:rFonts w:ascii="Times New Roman" w:hAnsi="Times New Roman" w:cs="Times New Roman"/>
      <w:szCs w:val="20"/>
    </w:rPr>
  </w:style>
  <w:style w:type="paragraph" w:styleId="Pieddepage">
    <w:name w:val="footer"/>
    <w:basedOn w:val="Normal"/>
    <w:link w:val="PieddepageCar"/>
    <w:uiPriority w:val="99"/>
    <w:unhideWhenUsed/>
    <w:rsid w:val="004D61AD"/>
    <w:pPr>
      <w:tabs>
        <w:tab w:val="clear" w:pos="850"/>
        <w:tab w:val="clear" w:pos="1191"/>
        <w:tab w:val="clear" w:pos="1531"/>
      </w:tabs>
      <w:jc w:val="center"/>
    </w:pPr>
    <w:rPr>
      <w:caps/>
      <w:sz w:val="16"/>
    </w:rPr>
  </w:style>
  <w:style w:type="character" w:customStyle="1" w:styleId="PieddepageCar">
    <w:name w:val="Pied de page Car"/>
    <w:basedOn w:val="Policepardfaut"/>
    <w:link w:val="Pieddepage"/>
    <w:uiPriority w:val="99"/>
    <w:rsid w:val="004D61AD"/>
    <w:rPr>
      <w:rFonts w:ascii="Times New Roman" w:hAnsi="Times New Roman" w:cs="Times New Roman"/>
      <w:caps/>
      <w:sz w:val="16"/>
      <w:szCs w:val="20"/>
    </w:rPr>
  </w:style>
  <w:style w:type="numbering" w:customStyle="1" w:styleId="NoList1">
    <w:name w:val="No List1"/>
    <w:next w:val="Aucuneliste"/>
    <w:uiPriority w:val="99"/>
    <w:semiHidden/>
    <w:unhideWhenUsed/>
    <w:rsid w:val="004D61AD"/>
  </w:style>
  <w:style w:type="paragraph" w:styleId="Corpsdetexte">
    <w:name w:val="Body Text"/>
    <w:basedOn w:val="Normal"/>
    <w:link w:val="CorpsdetexteCar"/>
    <w:semiHidden/>
    <w:rsid w:val="004D61AD"/>
    <w:pPr>
      <w:tabs>
        <w:tab w:val="clear" w:pos="850"/>
        <w:tab w:val="clear" w:pos="1191"/>
        <w:tab w:val="clear" w:pos="1531"/>
      </w:tabs>
      <w:ind w:firstLine="442"/>
    </w:pPr>
    <w:rPr>
      <w:rFonts w:eastAsia="SimSun"/>
    </w:rPr>
  </w:style>
  <w:style w:type="character" w:customStyle="1" w:styleId="CorpsdetexteCar">
    <w:name w:val="Corps de texte Car"/>
    <w:basedOn w:val="Policepardfaut"/>
    <w:link w:val="Corpsdetexte"/>
    <w:semiHidden/>
    <w:rsid w:val="004D61AD"/>
    <w:rPr>
      <w:rFonts w:ascii="Times New Roman" w:eastAsia="SimSun" w:hAnsi="Times New Roman" w:cs="Times New Roman"/>
      <w:szCs w:val="20"/>
    </w:rPr>
  </w:style>
  <w:style w:type="paragraph" w:customStyle="1" w:styleId="TableCell">
    <w:name w:val="Table Cell"/>
    <w:basedOn w:val="Normal"/>
    <w:uiPriority w:val="9"/>
    <w:qFormat/>
    <w:rsid w:val="004D61AD"/>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Notedefin">
    <w:name w:val="endnote text"/>
    <w:basedOn w:val="Notedebasdepage"/>
    <w:link w:val="NotedefinCar"/>
    <w:semiHidden/>
    <w:rsid w:val="004D61AD"/>
  </w:style>
  <w:style w:type="character" w:customStyle="1" w:styleId="NotedefinCar">
    <w:name w:val="Note de fin Car"/>
    <w:basedOn w:val="Policepardfaut"/>
    <w:link w:val="Notedefin"/>
    <w:semiHidden/>
    <w:rsid w:val="004D61AD"/>
    <w:rPr>
      <w:rFonts w:ascii="Times New Roman" w:eastAsia="SimSun" w:hAnsi="Times New Roman" w:cs="Times New Roman"/>
      <w:sz w:val="20"/>
      <w:szCs w:val="20"/>
    </w:rPr>
  </w:style>
  <w:style w:type="paragraph" w:customStyle="1" w:styleId="CaptionSubtitle">
    <w:name w:val="Caption Subtitle"/>
    <w:basedOn w:val="Normal"/>
    <w:next w:val="Para0"/>
    <w:qFormat/>
    <w:rsid w:val="004D61AD"/>
    <w:pPr>
      <w:keepNext/>
      <w:tabs>
        <w:tab w:val="clear" w:pos="850"/>
        <w:tab w:val="clear" w:pos="1191"/>
        <w:tab w:val="clear" w:pos="1531"/>
      </w:tabs>
      <w:spacing w:after="120"/>
      <w:ind w:left="680" w:right="680"/>
      <w:jc w:val="center"/>
    </w:pPr>
    <w:rPr>
      <w:rFonts w:eastAsia="SimSun" w:cs="Arial"/>
      <w:sz w:val="18"/>
    </w:rPr>
  </w:style>
  <w:style w:type="character" w:styleId="Appelnotedebasdep">
    <w:name w:val="footnote reference"/>
    <w:aliases w:val="ftref,16 Point,Superscript 6 Point,Fußnotenzeichen_,SUPERS,JFR-Fußnotenzeichen,-E Fußnotenzeichen,(Diplomarbeit FZ),(Diplomarbeit FZ)1,(Diplomarbeit FZ)2,(Diplomarbeit FZ)3,(Diplomarbeit FZ)4,(Diplomarbeit FZ)5,(Diplomarbeit FZ)6"/>
    <w:basedOn w:val="Policepardfaut"/>
    <w:uiPriority w:val="99"/>
    <w:rsid w:val="004D61AD"/>
    <w:rPr>
      <w:rFonts w:ascii="Times New Roman" w:hAnsi="Times New Roman"/>
      <w:i w:val="0"/>
      <w:position w:val="0"/>
      <w:sz w:val="22"/>
      <w:vertAlign w:val="superscript"/>
    </w:rPr>
  </w:style>
  <w:style w:type="paragraph" w:styleId="Notedebasdepage">
    <w:name w:val="footnote text"/>
    <w:aliases w:val="Geneva 9,Font: Geneva 9,Boston 10,f,Footnote Text Char Char,Char Char2 Char,Char Char2,EIDEP-Fußnotentext,Fußnotentext Char Char,Fußnotentext Char Char Char Char Char Char,Fußnotentext Char Char Char,Fußnotentext Char Char Char Char"/>
    <w:basedOn w:val="Normal"/>
    <w:link w:val="NotedebasdepageCar"/>
    <w:uiPriority w:val="99"/>
    <w:rsid w:val="004D61AD"/>
    <w:pPr>
      <w:tabs>
        <w:tab w:val="clear" w:pos="850"/>
        <w:tab w:val="clear" w:pos="1191"/>
        <w:tab w:val="clear" w:pos="1531"/>
      </w:tabs>
      <w:spacing w:after="120"/>
      <w:ind w:left="680" w:right="680"/>
    </w:pPr>
    <w:rPr>
      <w:rFonts w:eastAsia="SimSun"/>
      <w:sz w:val="20"/>
    </w:rPr>
  </w:style>
  <w:style w:type="character" w:customStyle="1" w:styleId="NotedebasdepageCar">
    <w:name w:val="Note de bas de page Car"/>
    <w:aliases w:val="Geneva 9 Car,Font: Geneva 9 Car,Boston 10 Car,f Car,Footnote Text Char Char Car,Char Char2 Char Car,Char Char2 Car,EIDEP-Fußnotentext Car,Fußnotentext Char Char Car,Fußnotentext Char Char Char Char Char Char Car"/>
    <w:basedOn w:val="Policepardfaut"/>
    <w:link w:val="Notedebasdepage"/>
    <w:uiPriority w:val="99"/>
    <w:rsid w:val="004D61AD"/>
    <w:rPr>
      <w:rFonts w:ascii="Times New Roman" w:eastAsia="SimSun" w:hAnsi="Times New Roman" w:cs="Times New Roman"/>
      <w:sz w:val="20"/>
      <w:szCs w:val="20"/>
    </w:rPr>
  </w:style>
  <w:style w:type="paragraph" w:styleId="Index1">
    <w:name w:val="index 1"/>
    <w:basedOn w:val="Normal"/>
    <w:next w:val="Normal"/>
    <w:semiHidden/>
    <w:rsid w:val="004D61AD"/>
    <w:pPr>
      <w:tabs>
        <w:tab w:val="clear" w:pos="850"/>
        <w:tab w:val="clear" w:pos="1191"/>
        <w:tab w:val="clear" w:pos="1531"/>
      </w:tabs>
      <w:ind w:left="220" w:hanging="220"/>
    </w:pPr>
    <w:rPr>
      <w:rFonts w:eastAsia="SimSun"/>
    </w:rPr>
  </w:style>
  <w:style w:type="paragraph" w:styleId="Titreindex">
    <w:name w:val="index heading"/>
    <w:basedOn w:val="Normal"/>
    <w:next w:val="Corpsdetexte"/>
    <w:semiHidden/>
    <w:rsid w:val="004D61AD"/>
    <w:pPr>
      <w:keepNext/>
      <w:tabs>
        <w:tab w:val="clear" w:pos="850"/>
        <w:tab w:val="clear" w:pos="1191"/>
        <w:tab w:val="clear" w:pos="1531"/>
      </w:tabs>
      <w:spacing w:before="1200" w:after="720"/>
      <w:jc w:val="center"/>
    </w:pPr>
    <w:rPr>
      <w:rFonts w:eastAsia="SimSun"/>
      <w:b/>
      <w:bCs/>
      <w:caps/>
    </w:rPr>
  </w:style>
  <w:style w:type="paragraph" w:styleId="Liste">
    <w:name w:val="List"/>
    <w:basedOn w:val="Normal"/>
    <w:semiHidden/>
    <w:rsid w:val="004D61AD"/>
    <w:pPr>
      <w:tabs>
        <w:tab w:val="clear" w:pos="850"/>
        <w:tab w:val="clear" w:pos="1191"/>
        <w:tab w:val="clear" w:pos="1531"/>
      </w:tabs>
      <w:ind w:left="850" w:hanging="283"/>
    </w:pPr>
    <w:rPr>
      <w:rFonts w:eastAsia="SimSun"/>
    </w:rPr>
  </w:style>
  <w:style w:type="paragraph" w:styleId="Liste2">
    <w:name w:val="List 2"/>
    <w:basedOn w:val="Normal"/>
    <w:semiHidden/>
    <w:rsid w:val="004D61AD"/>
    <w:pPr>
      <w:tabs>
        <w:tab w:val="clear" w:pos="850"/>
        <w:tab w:val="clear" w:pos="1191"/>
        <w:tab w:val="clear" w:pos="1531"/>
      </w:tabs>
      <w:ind w:left="1134" w:hanging="283"/>
    </w:pPr>
    <w:rPr>
      <w:rFonts w:eastAsia="SimSun"/>
    </w:rPr>
  </w:style>
  <w:style w:type="paragraph" w:styleId="Liste3">
    <w:name w:val="List 3"/>
    <w:basedOn w:val="Normal"/>
    <w:semiHidden/>
    <w:rsid w:val="004D61AD"/>
    <w:pPr>
      <w:tabs>
        <w:tab w:val="clear" w:pos="850"/>
        <w:tab w:val="clear" w:pos="1191"/>
        <w:tab w:val="clear" w:pos="1531"/>
      </w:tabs>
      <w:ind w:left="1417" w:hanging="283"/>
    </w:pPr>
    <w:rPr>
      <w:rFonts w:eastAsia="SimSun"/>
    </w:rPr>
  </w:style>
  <w:style w:type="paragraph" w:styleId="Liste4">
    <w:name w:val="List 4"/>
    <w:basedOn w:val="Normal"/>
    <w:semiHidden/>
    <w:rsid w:val="004D61AD"/>
    <w:pPr>
      <w:tabs>
        <w:tab w:val="clear" w:pos="850"/>
        <w:tab w:val="clear" w:pos="1191"/>
        <w:tab w:val="clear" w:pos="1531"/>
      </w:tabs>
      <w:jc w:val="left"/>
    </w:pPr>
    <w:rPr>
      <w:rFonts w:eastAsia="SimSun"/>
    </w:rPr>
  </w:style>
  <w:style w:type="paragraph" w:styleId="Liste5">
    <w:name w:val="List 5"/>
    <w:basedOn w:val="Normal"/>
    <w:semiHidden/>
    <w:rsid w:val="004D61AD"/>
    <w:pPr>
      <w:tabs>
        <w:tab w:val="clear" w:pos="850"/>
        <w:tab w:val="clear" w:pos="1191"/>
        <w:tab w:val="clear" w:pos="1531"/>
      </w:tabs>
      <w:ind w:left="1984" w:hanging="283"/>
    </w:pPr>
    <w:rPr>
      <w:rFonts w:eastAsia="SimSun"/>
    </w:rPr>
  </w:style>
  <w:style w:type="paragraph" w:styleId="Listepuces">
    <w:name w:val="List Bullet"/>
    <w:basedOn w:val="Normal"/>
    <w:semiHidden/>
    <w:rsid w:val="004D61AD"/>
    <w:pPr>
      <w:numPr>
        <w:numId w:val="5"/>
      </w:numPr>
      <w:tabs>
        <w:tab w:val="clear" w:pos="850"/>
        <w:tab w:val="clear" w:pos="1191"/>
        <w:tab w:val="clear" w:pos="1531"/>
        <w:tab w:val="left" w:pos="567"/>
      </w:tabs>
      <w:ind w:left="567" w:hanging="227"/>
    </w:pPr>
    <w:rPr>
      <w:rFonts w:eastAsia="SimSun"/>
    </w:rPr>
  </w:style>
  <w:style w:type="paragraph" w:styleId="Listepuces2">
    <w:name w:val="List Bullet 2"/>
    <w:basedOn w:val="Normal"/>
    <w:semiHidden/>
    <w:rsid w:val="004D61AD"/>
    <w:pPr>
      <w:numPr>
        <w:numId w:val="6"/>
      </w:numPr>
      <w:tabs>
        <w:tab w:val="clear" w:pos="850"/>
        <w:tab w:val="clear" w:pos="1531"/>
      </w:tabs>
    </w:pPr>
    <w:rPr>
      <w:rFonts w:eastAsia="SimSun"/>
    </w:rPr>
  </w:style>
  <w:style w:type="paragraph" w:styleId="Listepuces3">
    <w:name w:val="List Bullet 3"/>
    <w:basedOn w:val="Normal"/>
    <w:semiHidden/>
    <w:rsid w:val="004D61AD"/>
    <w:pPr>
      <w:numPr>
        <w:numId w:val="7"/>
      </w:numPr>
      <w:tabs>
        <w:tab w:val="clear" w:pos="850"/>
        <w:tab w:val="clear" w:pos="1191"/>
        <w:tab w:val="clear" w:pos="1531"/>
      </w:tabs>
    </w:pPr>
    <w:rPr>
      <w:rFonts w:eastAsia="SimSun"/>
    </w:rPr>
  </w:style>
  <w:style w:type="paragraph" w:styleId="Listepuces4">
    <w:name w:val="List Bullet 4"/>
    <w:basedOn w:val="Normal"/>
    <w:semiHidden/>
    <w:rsid w:val="004D61AD"/>
    <w:pPr>
      <w:numPr>
        <w:numId w:val="8"/>
      </w:numPr>
      <w:tabs>
        <w:tab w:val="clear" w:pos="850"/>
        <w:tab w:val="clear" w:pos="1191"/>
        <w:tab w:val="clear" w:pos="1531"/>
      </w:tabs>
    </w:pPr>
    <w:rPr>
      <w:rFonts w:eastAsia="SimSun"/>
    </w:rPr>
  </w:style>
  <w:style w:type="paragraph" w:styleId="Listepuces5">
    <w:name w:val="List Bullet 5"/>
    <w:basedOn w:val="Normal"/>
    <w:semiHidden/>
    <w:rsid w:val="004D61AD"/>
    <w:pPr>
      <w:numPr>
        <w:numId w:val="9"/>
      </w:numPr>
      <w:tabs>
        <w:tab w:val="clear" w:pos="850"/>
        <w:tab w:val="clear" w:pos="1191"/>
        <w:tab w:val="clear" w:pos="1531"/>
      </w:tabs>
    </w:pPr>
    <w:rPr>
      <w:rFonts w:eastAsia="SimSun"/>
    </w:rPr>
  </w:style>
  <w:style w:type="paragraph" w:styleId="Listecontinue">
    <w:name w:val="List Continue"/>
    <w:basedOn w:val="Normal"/>
    <w:semiHidden/>
    <w:rsid w:val="004D61AD"/>
    <w:pPr>
      <w:tabs>
        <w:tab w:val="clear" w:pos="850"/>
        <w:tab w:val="clear" w:pos="1191"/>
        <w:tab w:val="clear" w:pos="1531"/>
      </w:tabs>
      <w:ind w:left="850"/>
    </w:pPr>
    <w:rPr>
      <w:rFonts w:eastAsia="SimSun"/>
    </w:rPr>
  </w:style>
  <w:style w:type="paragraph" w:styleId="Listecontinue2">
    <w:name w:val="List Continue 2"/>
    <w:basedOn w:val="Normal"/>
    <w:semiHidden/>
    <w:rsid w:val="004D61AD"/>
    <w:pPr>
      <w:tabs>
        <w:tab w:val="clear" w:pos="850"/>
        <w:tab w:val="clear" w:pos="1191"/>
        <w:tab w:val="clear" w:pos="1531"/>
      </w:tabs>
      <w:ind w:left="1191"/>
    </w:pPr>
    <w:rPr>
      <w:rFonts w:eastAsia="SimSun"/>
    </w:rPr>
  </w:style>
  <w:style w:type="paragraph" w:styleId="Listecontinue3">
    <w:name w:val="List Continue 3"/>
    <w:basedOn w:val="Normal"/>
    <w:semiHidden/>
    <w:rsid w:val="004D61AD"/>
    <w:pPr>
      <w:tabs>
        <w:tab w:val="clear" w:pos="850"/>
        <w:tab w:val="clear" w:pos="1191"/>
        <w:tab w:val="clear" w:pos="1531"/>
      </w:tabs>
      <w:ind w:left="1474"/>
    </w:pPr>
    <w:rPr>
      <w:rFonts w:eastAsia="SimSun"/>
    </w:rPr>
  </w:style>
  <w:style w:type="paragraph" w:styleId="Listecontinue4">
    <w:name w:val="List Continue 4"/>
    <w:basedOn w:val="Normal"/>
    <w:semiHidden/>
    <w:rsid w:val="004D61AD"/>
    <w:pPr>
      <w:tabs>
        <w:tab w:val="clear" w:pos="850"/>
        <w:tab w:val="clear" w:pos="1191"/>
        <w:tab w:val="clear" w:pos="1531"/>
      </w:tabs>
      <w:ind w:left="1757"/>
    </w:pPr>
    <w:rPr>
      <w:rFonts w:eastAsia="SimSun"/>
    </w:rPr>
  </w:style>
  <w:style w:type="paragraph" w:styleId="Listecontinue5">
    <w:name w:val="List Continue 5"/>
    <w:basedOn w:val="Normal"/>
    <w:semiHidden/>
    <w:rsid w:val="004D61AD"/>
    <w:pPr>
      <w:tabs>
        <w:tab w:val="clear" w:pos="850"/>
        <w:tab w:val="clear" w:pos="1191"/>
        <w:tab w:val="clear" w:pos="1531"/>
      </w:tabs>
      <w:ind w:left="2041"/>
    </w:pPr>
    <w:rPr>
      <w:rFonts w:eastAsia="SimSun"/>
    </w:rPr>
  </w:style>
  <w:style w:type="paragraph" w:styleId="Listenumros">
    <w:name w:val="List Number"/>
    <w:basedOn w:val="Normal"/>
    <w:semiHidden/>
    <w:rsid w:val="004D61AD"/>
    <w:pPr>
      <w:numPr>
        <w:numId w:val="10"/>
      </w:numPr>
      <w:tabs>
        <w:tab w:val="clear" w:pos="1191"/>
        <w:tab w:val="clear" w:pos="1531"/>
        <w:tab w:val="left" w:pos="1134"/>
      </w:tabs>
    </w:pPr>
    <w:rPr>
      <w:rFonts w:eastAsia="SimSun"/>
    </w:rPr>
  </w:style>
  <w:style w:type="paragraph" w:styleId="Listenumros2">
    <w:name w:val="List Number 2"/>
    <w:basedOn w:val="Normal"/>
    <w:semiHidden/>
    <w:rsid w:val="004D61AD"/>
    <w:pPr>
      <w:numPr>
        <w:ilvl w:val="1"/>
        <w:numId w:val="10"/>
      </w:numPr>
      <w:tabs>
        <w:tab w:val="clear" w:pos="850"/>
        <w:tab w:val="clear" w:pos="1531"/>
        <w:tab w:val="left" w:pos="1417"/>
      </w:tabs>
    </w:pPr>
    <w:rPr>
      <w:rFonts w:eastAsia="SimSun"/>
    </w:rPr>
  </w:style>
  <w:style w:type="paragraph" w:styleId="Listenumros3">
    <w:name w:val="List Number 3"/>
    <w:basedOn w:val="Normal"/>
    <w:semiHidden/>
    <w:rsid w:val="004D61AD"/>
    <w:pPr>
      <w:numPr>
        <w:ilvl w:val="2"/>
        <w:numId w:val="10"/>
      </w:numPr>
      <w:tabs>
        <w:tab w:val="clear" w:pos="850"/>
        <w:tab w:val="clear" w:pos="1191"/>
        <w:tab w:val="clear" w:pos="1531"/>
        <w:tab w:val="left" w:pos="1701"/>
      </w:tabs>
    </w:pPr>
    <w:rPr>
      <w:rFonts w:eastAsia="SimSun"/>
    </w:rPr>
  </w:style>
  <w:style w:type="paragraph" w:styleId="Listenumros4">
    <w:name w:val="List Number 4"/>
    <w:basedOn w:val="Normal"/>
    <w:semiHidden/>
    <w:rsid w:val="004D61AD"/>
    <w:pPr>
      <w:numPr>
        <w:ilvl w:val="3"/>
        <w:numId w:val="10"/>
      </w:numPr>
      <w:tabs>
        <w:tab w:val="clear" w:pos="850"/>
        <w:tab w:val="clear" w:pos="1191"/>
        <w:tab w:val="clear" w:pos="1531"/>
        <w:tab w:val="left" w:pos="1984"/>
      </w:tabs>
    </w:pPr>
    <w:rPr>
      <w:rFonts w:eastAsia="SimSun"/>
    </w:rPr>
  </w:style>
  <w:style w:type="paragraph" w:styleId="Listenumros5">
    <w:name w:val="List Number 5"/>
    <w:basedOn w:val="Normal"/>
    <w:semiHidden/>
    <w:rsid w:val="004D61AD"/>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Normal"/>
    <w:qFormat/>
    <w:rsid w:val="004D61AD"/>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Normalcentr">
    <w:name w:val="Block Text"/>
    <w:basedOn w:val="Normal"/>
    <w:semiHidden/>
    <w:rsid w:val="004D61AD"/>
    <w:pPr>
      <w:tabs>
        <w:tab w:val="clear" w:pos="850"/>
        <w:tab w:val="clear" w:pos="1191"/>
        <w:tab w:val="clear" w:pos="1531"/>
      </w:tabs>
      <w:spacing w:after="120"/>
      <w:ind w:left="1440" w:right="1440"/>
    </w:pPr>
    <w:rPr>
      <w:rFonts w:eastAsia="SimSun"/>
    </w:rPr>
  </w:style>
  <w:style w:type="numbering" w:customStyle="1" w:styleId="NumberedNote">
    <w:name w:val="Numbered Note"/>
    <w:basedOn w:val="Aucuneliste"/>
    <w:rsid w:val="004D61AD"/>
    <w:pPr>
      <w:numPr>
        <w:numId w:val="1"/>
      </w:numPr>
    </w:pPr>
  </w:style>
  <w:style w:type="numbering" w:customStyle="1" w:styleId="BulletedNote">
    <w:name w:val="Bulleted Note"/>
    <w:basedOn w:val="Aucuneliste"/>
    <w:rsid w:val="004D61AD"/>
    <w:pPr>
      <w:numPr>
        <w:numId w:val="2"/>
      </w:numPr>
    </w:pPr>
  </w:style>
  <w:style w:type="numbering" w:customStyle="1" w:styleId="NumericNote">
    <w:name w:val="Numeric Note"/>
    <w:basedOn w:val="Aucuneliste"/>
    <w:rsid w:val="004D61AD"/>
    <w:pPr>
      <w:numPr>
        <w:numId w:val="3"/>
      </w:numPr>
    </w:pPr>
  </w:style>
  <w:style w:type="numbering" w:customStyle="1" w:styleId="AlphaNote">
    <w:name w:val="Alpha Note"/>
    <w:basedOn w:val="Aucuneliste"/>
    <w:rsid w:val="004D61AD"/>
    <w:pPr>
      <w:numPr>
        <w:numId w:val="4"/>
      </w:numPr>
    </w:pPr>
  </w:style>
  <w:style w:type="paragraph" w:styleId="Adressedestinataire">
    <w:name w:val="envelope address"/>
    <w:basedOn w:val="Normal"/>
    <w:semiHidden/>
    <w:rsid w:val="004D61AD"/>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Adresseexpditeur">
    <w:name w:val="envelope return"/>
    <w:basedOn w:val="Normal"/>
    <w:semiHidden/>
    <w:rsid w:val="004D61AD"/>
    <w:pPr>
      <w:tabs>
        <w:tab w:val="clear" w:pos="850"/>
        <w:tab w:val="clear" w:pos="1191"/>
        <w:tab w:val="clear" w:pos="1531"/>
      </w:tabs>
    </w:pPr>
    <w:rPr>
      <w:rFonts w:ascii="Arial" w:eastAsia="SimSun" w:hAnsi="Arial" w:cs="Arial"/>
    </w:rPr>
  </w:style>
  <w:style w:type="paragraph" w:styleId="AdresseHTML">
    <w:name w:val="HTML Address"/>
    <w:basedOn w:val="Normal"/>
    <w:link w:val="AdresseHTMLCar"/>
    <w:semiHidden/>
    <w:rsid w:val="004D61AD"/>
    <w:pPr>
      <w:tabs>
        <w:tab w:val="clear" w:pos="850"/>
        <w:tab w:val="clear" w:pos="1191"/>
        <w:tab w:val="clear" w:pos="1531"/>
      </w:tabs>
    </w:pPr>
    <w:rPr>
      <w:rFonts w:eastAsia="SimSun"/>
      <w:i/>
      <w:iCs/>
    </w:rPr>
  </w:style>
  <w:style w:type="character" w:customStyle="1" w:styleId="AdresseHTMLCar">
    <w:name w:val="Adresse HTML Car"/>
    <w:basedOn w:val="Policepardfaut"/>
    <w:link w:val="AdresseHTML"/>
    <w:semiHidden/>
    <w:rsid w:val="004D61AD"/>
    <w:rPr>
      <w:rFonts w:ascii="Times New Roman" w:eastAsia="SimSun" w:hAnsi="Times New Roman" w:cs="Times New Roman"/>
      <w:i/>
      <w:iCs/>
      <w:szCs w:val="20"/>
    </w:rPr>
  </w:style>
  <w:style w:type="paragraph" w:styleId="Commentaire">
    <w:name w:val="annotation text"/>
    <w:basedOn w:val="Normal"/>
    <w:link w:val="CommentaireCar"/>
    <w:uiPriority w:val="99"/>
    <w:semiHidden/>
    <w:rsid w:val="004D61AD"/>
    <w:pPr>
      <w:tabs>
        <w:tab w:val="clear" w:pos="850"/>
        <w:tab w:val="clear" w:pos="1191"/>
        <w:tab w:val="clear" w:pos="1531"/>
      </w:tabs>
    </w:pPr>
    <w:rPr>
      <w:rFonts w:eastAsia="SimSun"/>
    </w:rPr>
  </w:style>
  <w:style w:type="character" w:customStyle="1" w:styleId="CommentaireCar">
    <w:name w:val="Commentaire Car"/>
    <w:basedOn w:val="Policepardfaut"/>
    <w:link w:val="Commentaire"/>
    <w:uiPriority w:val="99"/>
    <w:semiHidden/>
    <w:rsid w:val="004D61AD"/>
    <w:rPr>
      <w:rFonts w:ascii="Times New Roman" w:eastAsia="SimSun" w:hAnsi="Times New Roman" w:cs="Times New Roman"/>
      <w:szCs w:val="20"/>
    </w:rPr>
  </w:style>
  <w:style w:type="paragraph" w:styleId="Corpsdetexte2">
    <w:name w:val="Body Text 2"/>
    <w:basedOn w:val="Normal"/>
    <w:link w:val="Corpsdetexte2Car"/>
    <w:semiHidden/>
    <w:rsid w:val="004D61AD"/>
    <w:pPr>
      <w:tabs>
        <w:tab w:val="clear" w:pos="850"/>
        <w:tab w:val="clear" w:pos="1191"/>
        <w:tab w:val="clear" w:pos="1531"/>
      </w:tabs>
      <w:spacing w:after="120" w:line="480" w:lineRule="auto"/>
    </w:pPr>
    <w:rPr>
      <w:rFonts w:eastAsia="SimSun"/>
    </w:rPr>
  </w:style>
  <w:style w:type="character" w:customStyle="1" w:styleId="Corpsdetexte2Car">
    <w:name w:val="Corps de texte 2 Car"/>
    <w:basedOn w:val="Policepardfaut"/>
    <w:link w:val="Corpsdetexte2"/>
    <w:semiHidden/>
    <w:rsid w:val="004D61AD"/>
    <w:rPr>
      <w:rFonts w:ascii="Times New Roman" w:eastAsia="SimSun" w:hAnsi="Times New Roman" w:cs="Times New Roman"/>
      <w:szCs w:val="20"/>
    </w:rPr>
  </w:style>
  <w:style w:type="paragraph" w:styleId="Corpsdetexte3">
    <w:name w:val="Body Text 3"/>
    <w:basedOn w:val="Normal"/>
    <w:link w:val="Corpsdetexte3Car"/>
    <w:semiHidden/>
    <w:rsid w:val="004D61AD"/>
    <w:pPr>
      <w:tabs>
        <w:tab w:val="clear" w:pos="850"/>
        <w:tab w:val="clear" w:pos="1191"/>
        <w:tab w:val="clear" w:pos="1531"/>
      </w:tabs>
      <w:spacing w:after="120"/>
    </w:pPr>
    <w:rPr>
      <w:rFonts w:eastAsia="SimSun"/>
      <w:sz w:val="16"/>
      <w:szCs w:val="16"/>
    </w:rPr>
  </w:style>
  <w:style w:type="character" w:customStyle="1" w:styleId="Corpsdetexte3Car">
    <w:name w:val="Corps de texte 3 Car"/>
    <w:basedOn w:val="Policepardfaut"/>
    <w:link w:val="Corpsdetexte3"/>
    <w:semiHidden/>
    <w:rsid w:val="004D61AD"/>
    <w:rPr>
      <w:rFonts w:ascii="Times New Roman" w:eastAsia="SimSun" w:hAnsi="Times New Roman" w:cs="Times New Roman"/>
      <w:sz w:val="16"/>
      <w:szCs w:val="16"/>
    </w:rPr>
  </w:style>
  <w:style w:type="paragraph" w:styleId="Date">
    <w:name w:val="Date"/>
    <w:basedOn w:val="Normal"/>
    <w:next w:val="Normal"/>
    <w:link w:val="DateCar"/>
    <w:unhideWhenUsed/>
    <w:rsid w:val="004D61AD"/>
    <w:pPr>
      <w:tabs>
        <w:tab w:val="clear" w:pos="850"/>
        <w:tab w:val="clear" w:pos="1191"/>
        <w:tab w:val="clear" w:pos="1531"/>
      </w:tabs>
    </w:pPr>
    <w:rPr>
      <w:rFonts w:eastAsia="SimSun"/>
    </w:rPr>
  </w:style>
  <w:style w:type="character" w:customStyle="1" w:styleId="DateCar">
    <w:name w:val="Date Car"/>
    <w:basedOn w:val="Policepardfaut"/>
    <w:link w:val="Date"/>
    <w:rsid w:val="004D61AD"/>
    <w:rPr>
      <w:rFonts w:ascii="Times New Roman" w:eastAsia="SimSun" w:hAnsi="Times New Roman" w:cs="Times New Roman"/>
      <w:szCs w:val="20"/>
    </w:rPr>
  </w:style>
  <w:style w:type="paragraph" w:styleId="En-ttedemessage">
    <w:name w:val="Message Header"/>
    <w:basedOn w:val="Normal"/>
    <w:link w:val="En-ttedemessageCar"/>
    <w:semiHidden/>
    <w:rsid w:val="004D61AD"/>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En-ttedemessageCar">
    <w:name w:val="En-tête de message Car"/>
    <w:basedOn w:val="Policepardfaut"/>
    <w:link w:val="En-ttedemessage"/>
    <w:semiHidden/>
    <w:rsid w:val="004D61AD"/>
    <w:rPr>
      <w:rFonts w:ascii="Arial" w:eastAsia="SimSun" w:hAnsi="Arial" w:cs="Arial"/>
      <w:sz w:val="24"/>
      <w:szCs w:val="24"/>
      <w:shd w:val="pct20" w:color="auto" w:fill="auto"/>
    </w:rPr>
  </w:style>
  <w:style w:type="paragraph" w:styleId="Explorateurdedocuments">
    <w:name w:val="Document Map"/>
    <w:basedOn w:val="Normal"/>
    <w:link w:val="ExplorateurdedocumentsCar"/>
    <w:semiHidden/>
    <w:rsid w:val="004D61AD"/>
    <w:pPr>
      <w:shd w:val="clear" w:color="auto" w:fill="000080"/>
      <w:tabs>
        <w:tab w:val="clear" w:pos="850"/>
        <w:tab w:val="clear" w:pos="1191"/>
        <w:tab w:val="clear" w:pos="1531"/>
      </w:tabs>
    </w:pPr>
    <w:rPr>
      <w:rFonts w:eastAsia="SimSun" w:cs="Tahoma"/>
    </w:rPr>
  </w:style>
  <w:style w:type="character" w:customStyle="1" w:styleId="ExplorateurdedocumentsCar">
    <w:name w:val="Explorateur de documents Car"/>
    <w:basedOn w:val="Policepardfaut"/>
    <w:link w:val="Explorateurdedocuments"/>
    <w:semiHidden/>
    <w:rsid w:val="004D61AD"/>
    <w:rPr>
      <w:rFonts w:ascii="Times New Roman" w:eastAsia="SimSun" w:hAnsi="Times New Roman" w:cs="Tahoma"/>
      <w:szCs w:val="20"/>
      <w:shd w:val="clear" w:color="auto" w:fill="000080"/>
    </w:rPr>
  </w:style>
  <w:style w:type="paragraph" w:styleId="Formuledepolitesse">
    <w:name w:val="Closing"/>
    <w:basedOn w:val="Normal"/>
    <w:link w:val="FormuledepolitesseCar"/>
    <w:semiHidden/>
    <w:rsid w:val="004D61AD"/>
    <w:pPr>
      <w:tabs>
        <w:tab w:val="clear" w:pos="850"/>
        <w:tab w:val="clear" w:pos="1191"/>
        <w:tab w:val="clear" w:pos="1531"/>
      </w:tabs>
      <w:ind w:left="4252"/>
    </w:pPr>
    <w:rPr>
      <w:rFonts w:eastAsia="SimSun"/>
    </w:rPr>
  </w:style>
  <w:style w:type="character" w:customStyle="1" w:styleId="FormuledepolitesseCar">
    <w:name w:val="Formule de politesse Car"/>
    <w:basedOn w:val="Policepardfaut"/>
    <w:link w:val="Formuledepolitesse"/>
    <w:semiHidden/>
    <w:rsid w:val="004D61AD"/>
    <w:rPr>
      <w:rFonts w:ascii="Times New Roman" w:eastAsia="SimSun" w:hAnsi="Times New Roman" w:cs="Times New Roman"/>
      <w:szCs w:val="20"/>
    </w:rPr>
  </w:style>
  <w:style w:type="paragraph" w:styleId="Index2">
    <w:name w:val="index 2"/>
    <w:basedOn w:val="Normal"/>
    <w:next w:val="Normal"/>
    <w:semiHidden/>
    <w:rsid w:val="004D61AD"/>
    <w:pPr>
      <w:tabs>
        <w:tab w:val="clear" w:pos="850"/>
        <w:tab w:val="clear" w:pos="1191"/>
        <w:tab w:val="clear" w:pos="1531"/>
      </w:tabs>
      <w:ind w:left="440" w:hanging="220"/>
    </w:pPr>
    <w:rPr>
      <w:rFonts w:eastAsia="SimSun"/>
    </w:rPr>
  </w:style>
  <w:style w:type="paragraph" w:styleId="Index3">
    <w:name w:val="index 3"/>
    <w:basedOn w:val="Normal"/>
    <w:next w:val="Normal"/>
    <w:semiHidden/>
    <w:rsid w:val="004D61AD"/>
    <w:pPr>
      <w:tabs>
        <w:tab w:val="clear" w:pos="850"/>
        <w:tab w:val="clear" w:pos="1191"/>
        <w:tab w:val="clear" w:pos="1531"/>
      </w:tabs>
      <w:ind w:left="660" w:hanging="220"/>
    </w:pPr>
    <w:rPr>
      <w:rFonts w:eastAsia="SimSun"/>
    </w:rPr>
  </w:style>
  <w:style w:type="paragraph" w:styleId="Index4">
    <w:name w:val="index 4"/>
    <w:basedOn w:val="Normal"/>
    <w:next w:val="Normal"/>
    <w:semiHidden/>
    <w:rsid w:val="004D61AD"/>
    <w:pPr>
      <w:tabs>
        <w:tab w:val="clear" w:pos="850"/>
        <w:tab w:val="clear" w:pos="1191"/>
        <w:tab w:val="clear" w:pos="1531"/>
      </w:tabs>
      <w:ind w:left="880" w:hanging="220"/>
    </w:pPr>
    <w:rPr>
      <w:rFonts w:eastAsia="SimSun"/>
    </w:rPr>
  </w:style>
  <w:style w:type="paragraph" w:styleId="Index5">
    <w:name w:val="index 5"/>
    <w:basedOn w:val="Normal"/>
    <w:next w:val="Normal"/>
    <w:semiHidden/>
    <w:rsid w:val="004D61AD"/>
    <w:pPr>
      <w:tabs>
        <w:tab w:val="clear" w:pos="850"/>
        <w:tab w:val="clear" w:pos="1191"/>
        <w:tab w:val="clear" w:pos="1531"/>
      </w:tabs>
      <w:ind w:left="1100" w:hanging="220"/>
    </w:pPr>
    <w:rPr>
      <w:rFonts w:eastAsia="SimSun"/>
    </w:rPr>
  </w:style>
  <w:style w:type="paragraph" w:styleId="Index6">
    <w:name w:val="index 6"/>
    <w:basedOn w:val="Normal"/>
    <w:next w:val="Normal"/>
    <w:semiHidden/>
    <w:rsid w:val="004D61AD"/>
    <w:pPr>
      <w:tabs>
        <w:tab w:val="clear" w:pos="850"/>
        <w:tab w:val="clear" w:pos="1191"/>
        <w:tab w:val="clear" w:pos="1531"/>
      </w:tabs>
      <w:ind w:left="1320" w:hanging="220"/>
    </w:pPr>
    <w:rPr>
      <w:rFonts w:eastAsia="SimSun"/>
    </w:rPr>
  </w:style>
  <w:style w:type="paragraph" w:styleId="Index7">
    <w:name w:val="index 7"/>
    <w:basedOn w:val="Normal"/>
    <w:next w:val="Normal"/>
    <w:semiHidden/>
    <w:rsid w:val="004D61AD"/>
    <w:pPr>
      <w:tabs>
        <w:tab w:val="clear" w:pos="850"/>
        <w:tab w:val="clear" w:pos="1191"/>
        <w:tab w:val="clear" w:pos="1531"/>
      </w:tabs>
      <w:ind w:left="1540" w:hanging="220"/>
    </w:pPr>
    <w:rPr>
      <w:rFonts w:eastAsia="SimSun"/>
    </w:rPr>
  </w:style>
  <w:style w:type="paragraph" w:styleId="Index8">
    <w:name w:val="index 8"/>
    <w:basedOn w:val="Normal"/>
    <w:next w:val="Normal"/>
    <w:semiHidden/>
    <w:rsid w:val="004D61AD"/>
    <w:pPr>
      <w:tabs>
        <w:tab w:val="clear" w:pos="850"/>
        <w:tab w:val="clear" w:pos="1191"/>
        <w:tab w:val="clear" w:pos="1531"/>
      </w:tabs>
      <w:ind w:left="1760" w:hanging="220"/>
    </w:pPr>
    <w:rPr>
      <w:rFonts w:eastAsia="SimSun"/>
    </w:rPr>
  </w:style>
  <w:style w:type="paragraph" w:styleId="Index9">
    <w:name w:val="index 9"/>
    <w:basedOn w:val="Normal"/>
    <w:next w:val="Normal"/>
    <w:semiHidden/>
    <w:rsid w:val="004D61AD"/>
    <w:pPr>
      <w:tabs>
        <w:tab w:val="clear" w:pos="850"/>
        <w:tab w:val="clear" w:pos="1191"/>
        <w:tab w:val="clear" w:pos="1531"/>
      </w:tabs>
      <w:ind w:left="1980" w:hanging="220"/>
    </w:pPr>
    <w:rPr>
      <w:rFonts w:eastAsia="SimSun"/>
    </w:rPr>
  </w:style>
  <w:style w:type="paragraph" w:styleId="NormalWeb">
    <w:name w:val="Normal (Web)"/>
    <w:basedOn w:val="Normal"/>
    <w:uiPriority w:val="99"/>
    <w:rsid w:val="004D61AD"/>
    <w:pPr>
      <w:tabs>
        <w:tab w:val="clear" w:pos="850"/>
        <w:tab w:val="clear" w:pos="1191"/>
        <w:tab w:val="clear" w:pos="1531"/>
      </w:tabs>
    </w:pPr>
    <w:rPr>
      <w:rFonts w:eastAsia="SimSun"/>
      <w:sz w:val="24"/>
      <w:szCs w:val="24"/>
    </w:rPr>
  </w:style>
  <w:style w:type="paragraph" w:styleId="Objetducommentaire">
    <w:name w:val="annotation subject"/>
    <w:basedOn w:val="Commentaire"/>
    <w:next w:val="Commentaire"/>
    <w:link w:val="ObjetducommentaireCar"/>
    <w:semiHidden/>
    <w:rsid w:val="004D61AD"/>
    <w:rPr>
      <w:b/>
      <w:bCs/>
    </w:rPr>
  </w:style>
  <w:style w:type="character" w:customStyle="1" w:styleId="ObjetducommentaireCar">
    <w:name w:val="Objet du commentaire Car"/>
    <w:basedOn w:val="CommentaireCar"/>
    <w:link w:val="Objetducommentaire"/>
    <w:semiHidden/>
    <w:rsid w:val="004D61AD"/>
    <w:rPr>
      <w:rFonts w:ascii="Times New Roman" w:eastAsia="SimSun" w:hAnsi="Times New Roman" w:cs="Times New Roman"/>
      <w:b/>
      <w:bCs/>
      <w:szCs w:val="20"/>
    </w:rPr>
  </w:style>
  <w:style w:type="paragraph" w:styleId="PrformatHTML">
    <w:name w:val="HTML Preformatted"/>
    <w:basedOn w:val="Normal"/>
    <w:link w:val="PrformatHTMLCar"/>
    <w:semiHidden/>
    <w:rsid w:val="004D61AD"/>
    <w:pPr>
      <w:tabs>
        <w:tab w:val="clear" w:pos="850"/>
        <w:tab w:val="clear" w:pos="1191"/>
        <w:tab w:val="clear" w:pos="1531"/>
      </w:tabs>
    </w:pPr>
    <w:rPr>
      <w:rFonts w:ascii="Courier New" w:eastAsia="SimSun" w:hAnsi="Courier New" w:cs="Courier New"/>
    </w:rPr>
  </w:style>
  <w:style w:type="character" w:customStyle="1" w:styleId="PrformatHTMLCar">
    <w:name w:val="Préformaté HTML Car"/>
    <w:basedOn w:val="Policepardfaut"/>
    <w:link w:val="PrformatHTML"/>
    <w:semiHidden/>
    <w:rsid w:val="004D61AD"/>
    <w:rPr>
      <w:rFonts w:ascii="Courier New" w:eastAsia="SimSun" w:hAnsi="Courier New" w:cs="Courier New"/>
      <w:szCs w:val="20"/>
    </w:rPr>
  </w:style>
  <w:style w:type="paragraph" w:styleId="Retrait1religne">
    <w:name w:val="Body Text First Indent"/>
    <w:basedOn w:val="Corpsdetexte"/>
    <w:link w:val="Retrait1religneCar"/>
    <w:semiHidden/>
    <w:rsid w:val="004D61AD"/>
    <w:pPr>
      <w:spacing w:after="120"/>
      <w:ind w:firstLine="210"/>
    </w:pPr>
  </w:style>
  <w:style w:type="character" w:customStyle="1" w:styleId="Retrait1religneCar">
    <w:name w:val="Retrait 1re ligne Car"/>
    <w:basedOn w:val="CorpsdetexteCar"/>
    <w:link w:val="Retrait1religne"/>
    <w:semiHidden/>
    <w:rsid w:val="004D61AD"/>
    <w:rPr>
      <w:rFonts w:ascii="Times New Roman" w:eastAsia="SimSun" w:hAnsi="Times New Roman" w:cs="Times New Roman"/>
      <w:szCs w:val="20"/>
    </w:rPr>
  </w:style>
  <w:style w:type="paragraph" w:styleId="Retraitcorpsdetexte">
    <w:name w:val="Body Text Indent"/>
    <w:basedOn w:val="Normal"/>
    <w:link w:val="RetraitcorpsdetexteCar"/>
    <w:semiHidden/>
    <w:rsid w:val="004D61AD"/>
    <w:pPr>
      <w:tabs>
        <w:tab w:val="clear" w:pos="850"/>
        <w:tab w:val="clear" w:pos="1191"/>
        <w:tab w:val="clear" w:pos="1531"/>
      </w:tabs>
      <w:ind w:left="442"/>
    </w:pPr>
    <w:rPr>
      <w:rFonts w:eastAsia="SimSun"/>
    </w:rPr>
  </w:style>
  <w:style w:type="character" w:customStyle="1" w:styleId="RetraitcorpsdetexteCar">
    <w:name w:val="Retrait corps de texte Car"/>
    <w:basedOn w:val="Policepardfaut"/>
    <w:link w:val="Retraitcorpsdetexte"/>
    <w:semiHidden/>
    <w:rsid w:val="004D61AD"/>
    <w:rPr>
      <w:rFonts w:ascii="Times New Roman" w:eastAsia="SimSun" w:hAnsi="Times New Roman" w:cs="Times New Roman"/>
      <w:szCs w:val="20"/>
    </w:rPr>
  </w:style>
  <w:style w:type="paragraph" w:styleId="Retraitcorpsdetexte2">
    <w:name w:val="Body Text Indent 2"/>
    <w:basedOn w:val="Normal"/>
    <w:link w:val="Retraitcorpsdetexte2Car"/>
    <w:semiHidden/>
    <w:rsid w:val="004D61AD"/>
    <w:pPr>
      <w:tabs>
        <w:tab w:val="clear" w:pos="850"/>
        <w:tab w:val="clear" w:pos="1191"/>
        <w:tab w:val="clear" w:pos="1531"/>
      </w:tabs>
      <w:spacing w:after="120" w:line="480" w:lineRule="auto"/>
      <w:ind w:left="283"/>
    </w:pPr>
    <w:rPr>
      <w:rFonts w:eastAsia="SimSun"/>
    </w:rPr>
  </w:style>
  <w:style w:type="character" w:customStyle="1" w:styleId="Retraitcorpsdetexte2Car">
    <w:name w:val="Retrait corps de texte 2 Car"/>
    <w:basedOn w:val="Policepardfaut"/>
    <w:link w:val="Retraitcorpsdetexte2"/>
    <w:semiHidden/>
    <w:rsid w:val="004D61AD"/>
    <w:rPr>
      <w:rFonts w:ascii="Times New Roman" w:eastAsia="SimSun" w:hAnsi="Times New Roman" w:cs="Times New Roman"/>
      <w:szCs w:val="20"/>
    </w:rPr>
  </w:style>
  <w:style w:type="paragraph" w:styleId="Retraitcorpsdetexte3">
    <w:name w:val="Body Text Indent 3"/>
    <w:basedOn w:val="Normal"/>
    <w:link w:val="Retraitcorpsdetexte3Car"/>
    <w:semiHidden/>
    <w:rsid w:val="004D61AD"/>
    <w:pPr>
      <w:tabs>
        <w:tab w:val="clear" w:pos="850"/>
        <w:tab w:val="clear" w:pos="1191"/>
        <w:tab w:val="clear" w:pos="1531"/>
      </w:tabs>
      <w:spacing w:after="120"/>
      <w:ind w:left="283"/>
    </w:pPr>
    <w:rPr>
      <w:rFonts w:eastAsia="SimSun"/>
      <w:sz w:val="16"/>
      <w:szCs w:val="16"/>
    </w:rPr>
  </w:style>
  <w:style w:type="character" w:customStyle="1" w:styleId="Retraitcorpsdetexte3Car">
    <w:name w:val="Retrait corps de texte 3 Car"/>
    <w:basedOn w:val="Policepardfaut"/>
    <w:link w:val="Retraitcorpsdetexte3"/>
    <w:semiHidden/>
    <w:rsid w:val="004D61AD"/>
    <w:rPr>
      <w:rFonts w:ascii="Times New Roman" w:eastAsia="SimSun" w:hAnsi="Times New Roman" w:cs="Times New Roman"/>
      <w:sz w:val="16"/>
      <w:szCs w:val="16"/>
    </w:rPr>
  </w:style>
  <w:style w:type="paragraph" w:styleId="Retraitcorpset1relig">
    <w:name w:val="Body Text First Indent 2"/>
    <w:basedOn w:val="Retraitcorpsdetexte"/>
    <w:link w:val="Retraitcorpset1religCar"/>
    <w:semiHidden/>
    <w:rsid w:val="004D61AD"/>
    <w:pPr>
      <w:ind w:firstLine="210"/>
    </w:pPr>
  </w:style>
  <w:style w:type="character" w:customStyle="1" w:styleId="Retraitcorpset1religCar">
    <w:name w:val="Retrait corps et 1re lig. Car"/>
    <w:basedOn w:val="RetraitcorpsdetexteCar"/>
    <w:link w:val="Retraitcorpset1relig"/>
    <w:semiHidden/>
    <w:rsid w:val="004D61AD"/>
    <w:rPr>
      <w:rFonts w:ascii="Times New Roman" w:eastAsia="SimSun" w:hAnsi="Times New Roman" w:cs="Times New Roman"/>
      <w:szCs w:val="20"/>
    </w:rPr>
  </w:style>
  <w:style w:type="paragraph" w:styleId="Retraitnormal">
    <w:name w:val="Normal Indent"/>
    <w:basedOn w:val="Normal"/>
    <w:semiHidden/>
    <w:rsid w:val="004D61AD"/>
    <w:pPr>
      <w:tabs>
        <w:tab w:val="clear" w:pos="850"/>
        <w:tab w:val="clear" w:pos="1191"/>
        <w:tab w:val="clear" w:pos="1531"/>
      </w:tabs>
      <w:ind w:left="708"/>
    </w:pPr>
    <w:rPr>
      <w:rFonts w:eastAsia="SimSun"/>
    </w:rPr>
  </w:style>
  <w:style w:type="paragraph" w:styleId="Salutations">
    <w:name w:val="Salutation"/>
    <w:basedOn w:val="Normal"/>
    <w:next w:val="Normal"/>
    <w:link w:val="SalutationsCar"/>
    <w:semiHidden/>
    <w:rsid w:val="004D61AD"/>
    <w:pPr>
      <w:tabs>
        <w:tab w:val="clear" w:pos="850"/>
        <w:tab w:val="clear" w:pos="1191"/>
        <w:tab w:val="clear" w:pos="1531"/>
      </w:tabs>
    </w:pPr>
    <w:rPr>
      <w:rFonts w:eastAsia="SimSun"/>
    </w:rPr>
  </w:style>
  <w:style w:type="character" w:customStyle="1" w:styleId="SalutationsCar">
    <w:name w:val="Salutations Car"/>
    <w:basedOn w:val="Policepardfaut"/>
    <w:link w:val="Salutations"/>
    <w:semiHidden/>
    <w:rsid w:val="004D61AD"/>
    <w:rPr>
      <w:rFonts w:ascii="Times New Roman" w:eastAsia="SimSun" w:hAnsi="Times New Roman" w:cs="Times New Roman"/>
      <w:szCs w:val="20"/>
    </w:rPr>
  </w:style>
  <w:style w:type="paragraph" w:styleId="Signature">
    <w:name w:val="Signature"/>
    <w:basedOn w:val="Normal"/>
    <w:link w:val="SignatureCar"/>
    <w:semiHidden/>
    <w:rsid w:val="004D61AD"/>
    <w:pPr>
      <w:tabs>
        <w:tab w:val="clear" w:pos="850"/>
        <w:tab w:val="clear" w:pos="1191"/>
        <w:tab w:val="clear" w:pos="1531"/>
      </w:tabs>
      <w:ind w:left="4252"/>
    </w:pPr>
    <w:rPr>
      <w:rFonts w:eastAsia="SimSun"/>
    </w:rPr>
  </w:style>
  <w:style w:type="character" w:customStyle="1" w:styleId="SignatureCar">
    <w:name w:val="Signature Car"/>
    <w:basedOn w:val="Policepardfaut"/>
    <w:link w:val="Signature"/>
    <w:semiHidden/>
    <w:rsid w:val="004D61AD"/>
    <w:rPr>
      <w:rFonts w:ascii="Times New Roman" w:eastAsia="SimSun" w:hAnsi="Times New Roman" w:cs="Times New Roman"/>
      <w:szCs w:val="20"/>
    </w:rPr>
  </w:style>
  <w:style w:type="paragraph" w:styleId="Signaturelectronique">
    <w:name w:val="E-mail Signature"/>
    <w:basedOn w:val="Normal"/>
    <w:link w:val="SignaturelectroniqueCar"/>
    <w:semiHidden/>
    <w:rsid w:val="004D61AD"/>
    <w:pPr>
      <w:tabs>
        <w:tab w:val="clear" w:pos="850"/>
        <w:tab w:val="clear" w:pos="1191"/>
        <w:tab w:val="clear" w:pos="1531"/>
      </w:tabs>
    </w:pPr>
    <w:rPr>
      <w:rFonts w:eastAsia="SimSun"/>
    </w:rPr>
  </w:style>
  <w:style w:type="character" w:customStyle="1" w:styleId="SignaturelectroniqueCar">
    <w:name w:val="Signature électronique Car"/>
    <w:basedOn w:val="Policepardfaut"/>
    <w:link w:val="Signaturelectronique"/>
    <w:semiHidden/>
    <w:rsid w:val="004D61AD"/>
    <w:rPr>
      <w:rFonts w:ascii="Times New Roman" w:eastAsia="SimSun" w:hAnsi="Times New Roman" w:cs="Times New Roman"/>
      <w:szCs w:val="20"/>
    </w:rPr>
  </w:style>
  <w:style w:type="paragraph" w:styleId="Tabledesillustrations">
    <w:name w:val="table of figures"/>
    <w:basedOn w:val="Normal"/>
    <w:next w:val="Normal"/>
    <w:uiPriority w:val="99"/>
    <w:unhideWhenUsed/>
    <w:rsid w:val="004D61AD"/>
    <w:pPr>
      <w:tabs>
        <w:tab w:val="clear" w:pos="850"/>
        <w:tab w:val="clear" w:pos="1191"/>
        <w:tab w:val="clear" w:pos="1531"/>
        <w:tab w:val="right" w:leader="dot" w:pos="9072"/>
      </w:tabs>
      <w:ind w:left="442" w:right="510" w:hanging="442"/>
      <w:jc w:val="left"/>
    </w:pPr>
    <w:rPr>
      <w:rFonts w:eastAsia="SimSun"/>
      <w:noProof/>
    </w:rPr>
  </w:style>
  <w:style w:type="paragraph" w:styleId="Tabledesrfrencesjuridiques">
    <w:name w:val="table of authorities"/>
    <w:basedOn w:val="Normal"/>
    <w:next w:val="Normal"/>
    <w:semiHidden/>
    <w:rsid w:val="004D61AD"/>
    <w:pPr>
      <w:tabs>
        <w:tab w:val="clear" w:pos="850"/>
        <w:tab w:val="clear" w:pos="1191"/>
        <w:tab w:val="clear" w:pos="1531"/>
      </w:tabs>
      <w:ind w:left="220" w:hanging="220"/>
    </w:pPr>
    <w:rPr>
      <w:rFonts w:eastAsia="SimSun"/>
    </w:rPr>
  </w:style>
  <w:style w:type="paragraph" w:styleId="Textebrut">
    <w:name w:val="Plain Text"/>
    <w:basedOn w:val="Normal"/>
    <w:link w:val="TextebrutCar"/>
    <w:semiHidden/>
    <w:rsid w:val="004D61AD"/>
    <w:pPr>
      <w:tabs>
        <w:tab w:val="clear" w:pos="850"/>
        <w:tab w:val="clear" w:pos="1191"/>
        <w:tab w:val="clear" w:pos="1531"/>
      </w:tabs>
    </w:pPr>
    <w:rPr>
      <w:rFonts w:ascii="Courier New" w:eastAsia="SimSun" w:hAnsi="Courier New" w:cs="Courier New"/>
    </w:rPr>
  </w:style>
  <w:style w:type="character" w:customStyle="1" w:styleId="TextebrutCar">
    <w:name w:val="Texte brut Car"/>
    <w:basedOn w:val="Policepardfaut"/>
    <w:link w:val="Textebrut"/>
    <w:semiHidden/>
    <w:rsid w:val="004D61AD"/>
    <w:rPr>
      <w:rFonts w:ascii="Courier New" w:eastAsia="SimSun" w:hAnsi="Courier New" w:cs="Courier New"/>
      <w:szCs w:val="20"/>
    </w:rPr>
  </w:style>
  <w:style w:type="paragraph" w:styleId="Textedebulles">
    <w:name w:val="Balloon Text"/>
    <w:basedOn w:val="Normal"/>
    <w:link w:val="TextedebullesCar"/>
    <w:uiPriority w:val="99"/>
    <w:semiHidden/>
    <w:rsid w:val="004D61AD"/>
    <w:pPr>
      <w:tabs>
        <w:tab w:val="clear" w:pos="850"/>
        <w:tab w:val="clear" w:pos="1191"/>
        <w:tab w:val="clear" w:pos="1531"/>
      </w:tabs>
    </w:pPr>
    <w:rPr>
      <w:rFonts w:eastAsia="SimSun" w:cs="Tahoma"/>
      <w:sz w:val="16"/>
      <w:szCs w:val="16"/>
    </w:rPr>
  </w:style>
  <w:style w:type="character" w:customStyle="1" w:styleId="TextedebullesCar">
    <w:name w:val="Texte de bulles Car"/>
    <w:basedOn w:val="Policepardfaut"/>
    <w:link w:val="Textedebulles"/>
    <w:uiPriority w:val="99"/>
    <w:semiHidden/>
    <w:rsid w:val="004D61AD"/>
    <w:rPr>
      <w:rFonts w:ascii="Times New Roman" w:eastAsia="SimSun" w:hAnsi="Times New Roman" w:cs="Tahoma"/>
      <w:sz w:val="16"/>
      <w:szCs w:val="16"/>
    </w:rPr>
  </w:style>
  <w:style w:type="paragraph" w:styleId="Textedemacro">
    <w:name w:val="macro"/>
    <w:link w:val="TextedemacroCar"/>
    <w:semiHidden/>
    <w:rsid w:val="004D61AD"/>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SimSun" w:hAnsi="Courier New" w:cs="Courier New"/>
      <w:position w:val="6"/>
      <w:sz w:val="20"/>
      <w:szCs w:val="20"/>
      <w:lang w:eastAsia="zh-CN"/>
    </w:rPr>
  </w:style>
  <w:style w:type="character" w:customStyle="1" w:styleId="TextedemacroCar">
    <w:name w:val="Texte de macro Car"/>
    <w:basedOn w:val="Policepardfaut"/>
    <w:link w:val="Textedemacro"/>
    <w:semiHidden/>
    <w:rsid w:val="004D61AD"/>
    <w:rPr>
      <w:rFonts w:ascii="Courier New" w:eastAsia="SimSun" w:hAnsi="Courier New" w:cs="Courier New"/>
      <w:position w:val="6"/>
      <w:sz w:val="20"/>
      <w:szCs w:val="20"/>
      <w:lang w:eastAsia="zh-CN"/>
    </w:rPr>
  </w:style>
  <w:style w:type="paragraph" w:styleId="Titredenote">
    <w:name w:val="Note Heading"/>
    <w:basedOn w:val="Normal"/>
    <w:next w:val="Normal"/>
    <w:link w:val="TitredenoteCar"/>
    <w:semiHidden/>
    <w:rsid w:val="004D61AD"/>
    <w:pPr>
      <w:tabs>
        <w:tab w:val="clear" w:pos="850"/>
        <w:tab w:val="clear" w:pos="1191"/>
        <w:tab w:val="clear" w:pos="1531"/>
      </w:tabs>
    </w:pPr>
    <w:rPr>
      <w:rFonts w:eastAsia="SimSun"/>
    </w:rPr>
  </w:style>
  <w:style w:type="character" w:customStyle="1" w:styleId="TitredenoteCar">
    <w:name w:val="Titre de note Car"/>
    <w:basedOn w:val="Policepardfaut"/>
    <w:link w:val="Titredenote"/>
    <w:semiHidden/>
    <w:rsid w:val="004D61AD"/>
    <w:rPr>
      <w:rFonts w:ascii="Times New Roman" w:eastAsia="SimSun" w:hAnsi="Times New Roman" w:cs="Times New Roman"/>
      <w:szCs w:val="20"/>
    </w:rPr>
  </w:style>
  <w:style w:type="paragraph" w:styleId="TitreTR">
    <w:name w:val="toa heading"/>
    <w:basedOn w:val="Normal"/>
    <w:next w:val="Normal"/>
    <w:semiHidden/>
    <w:rsid w:val="004D61AD"/>
    <w:pPr>
      <w:tabs>
        <w:tab w:val="clear" w:pos="850"/>
        <w:tab w:val="clear" w:pos="1191"/>
        <w:tab w:val="clear" w:pos="1531"/>
      </w:tabs>
      <w:spacing w:before="120"/>
    </w:pPr>
    <w:rPr>
      <w:rFonts w:ascii="Arial" w:eastAsia="SimSun" w:hAnsi="Arial" w:cs="Arial"/>
      <w:b/>
      <w:bCs/>
      <w:sz w:val="24"/>
      <w:szCs w:val="24"/>
    </w:rPr>
  </w:style>
  <w:style w:type="character" w:styleId="Numrodepage">
    <w:name w:val="page number"/>
    <w:basedOn w:val="Policepardfaut"/>
    <w:uiPriority w:val="99"/>
    <w:unhideWhenUsed/>
    <w:rsid w:val="004D61AD"/>
    <w:rPr>
      <w:b/>
      <w:sz w:val="22"/>
      <w:szCs w:val="22"/>
    </w:rPr>
  </w:style>
  <w:style w:type="paragraph" w:styleId="Bibliographie">
    <w:name w:val="Bibliography"/>
    <w:basedOn w:val="Normal"/>
    <w:next w:val="Normal"/>
    <w:uiPriority w:val="37"/>
    <w:unhideWhenUsed/>
    <w:rsid w:val="004D61AD"/>
    <w:pPr>
      <w:tabs>
        <w:tab w:val="clear" w:pos="850"/>
        <w:tab w:val="clear" w:pos="1191"/>
        <w:tab w:val="clear" w:pos="1531"/>
      </w:tabs>
      <w:spacing w:after="120"/>
      <w:ind w:left="284" w:hanging="284"/>
      <w:jc w:val="left"/>
    </w:pPr>
    <w:rPr>
      <w:rFonts w:eastAsia="SimSun"/>
    </w:rPr>
  </w:style>
  <w:style w:type="paragraph" w:customStyle="1" w:styleId="IntenseQuote1">
    <w:name w:val="Intense Quote1"/>
    <w:basedOn w:val="Normal"/>
    <w:next w:val="Normal"/>
    <w:uiPriority w:val="30"/>
    <w:semiHidden/>
    <w:rsid w:val="004D61AD"/>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CitationintenseCar">
    <w:name w:val="Citation intense Car"/>
    <w:basedOn w:val="Policepardfaut"/>
    <w:link w:val="Citationintense"/>
    <w:uiPriority w:val="30"/>
    <w:rsid w:val="004D61AD"/>
    <w:rPr>
      <w:i/>
      <w:iCs/>
      <w:color w:val="404040"/>
    </w:rPr>
  </w:style>
  <w:style w:type="paragraph" w:styleId="Paragraphedeliste">
    <w:name w:val="List Paragraph"/>
    <w:basedOn w:val="Normal"/>
    <w:uiPriority w:val="34"/>
    <w:qFormat/>
    <w:rsid w:val="004D61AD"/>
    <w:pPr>
      <w:tabs>
        <w:tab w:val="clear" w:pos="850"/>
        <w:tab w:val="clear" w:pos="1191"/>
        <w:tab w:val="clear" w:pos="1531"/>
      </w:tabs>
      <w:ind w:left="454"/>
    </w:pPr>
    <w:rPr>
      <w:rFonts w:eastAsia="SimSun"/>
    </w:rPr>
  </w:style>
  <w:style w:type="paragraph" w:styleId="Sansinterligne">
    <w:name w:val="No Spacing"/>
    <w:uiPriority w:val="1"/>
    <w:rsid w:val="004D61AD"/>
    <w:pPr>
      <w:spacing w:after="0" w:line="240" w:lineRule="auto"/>
    </w:pPr>
    <w:rPr>
      <w:rFonts w:ascii="Georgia" w:eastAsia="SimSun" w:hAnsi="Georgia" w:cs="Times New Roman"/>
      <w:position w:val="6"/>
      <w:sz w:val="20"/>
      <w:szCs w:val="20"/>
      <w:lang w:val="en-US"/>
    </w:rPr>
  </w:style>
  <w:style w:type="paragraph" w:styleId="Citation">
    <w:name w:val="Quote"/>
    <w:aliases w:val="Quotation (long)"/>
    <w:basedOn w:val="Normal"/>
    <w:link w:val="CitationCar"/>
    <w:uiPriority w:val="11"/>
    <w:qFormat/>
    <w:rsid w:val="004D61AD"/>
    <w:pPr>
      <w:tabs>
        <w:tab w:val="clear" w:pos="850"/>
        <w:tab w:val="clear" w:pos="1191"/>
        <w:tab w:val="clear" w:pos="1531"/>
      </w:tabs>
      <w:spacing w:after="120"/>
      <w:ind w:left="1021" w:right="1021"/>
    </w:pPr>
    <w:rPr>
      <w:rFonts w:eastAsia="SimSun"/>
      <w:i/>
      <w:iCs/>
      <w:color w:val="404040"/>
    </w:rPr>
  </w:style>
  <w:style w:type="character" w:customStyle="1" w:styleId="CitationCar">
    <w:name w:val="Citation Car"/>
    <w:aliases w:val="Quotation (long) Car"/>
    <w:basedOn w:val="Policepardfaut"/>
    <w:link w:val="Citation"/>
    <w:uiPriority w:val="11"/>
    <w:rsid w:val="004D61AD"/>
    <w:rPr>
      <w:rFonts w:ascii="Times New Roman" w:eastAsia="SimSun" w:hAnsi="Times New Roman" w:cs="Times New Roman"/>
      <w:i/>
      <w:iCs/>
      <w:color w:val="404040"/>
      <w:szCs w:val="20"/>
    </w:rPr>
  </w:style>
  <w:style w:type="paragraph" w:styleId="En-ttedetabledesmatires">
    <w:name w:val="TOC Heading"/>
    <w:basedOn w:val="Titre"/>
    <w:next w:val="Normal"/>
    <w:uiPriority w:val="39"/>
    <w:qFormat/>
    <w:rsid w:val="004D61AD"/>
    <w:pPr>
      <w:tabs>
        <w:tab w:val="clear" w:pos="850"/>
        <w:tab w:val="clear" w:pos="1191"/>
        <w:tab w:val="clear" w:pos="1531"/>
      </w:tabs>
      <w:outlineLvl w:val="9"/>
    </w:pPr>
    <w:rPr>
      <w:rFonts w:eastAsia="SimHei"/>
      <w:bCs w:val="0"/>
      <w:kern w:val="0"/>
    </w:rPr>
  </w:style>
  <w:style w:type="paragraph" w:customStyle="1" w:styleId="Quotationshort">
    <w:name w:val="Quotation (short)"/>
    <w:basedOn w:val="Normal"/>
    <w:link w:val="QuotationshortChar"/>
    <w:uiPriority w:val="11"/>
    <w:qFormat/>
    <w:rsid w:val="004D61AD"/>
    <w:pPr>
      <w:tabs>
        <w:tab w:val="clear" w:pos="850"/>
        <w:tab w:val="clear" w:pos="1191"/>
        <w:tab w:val="clear" w:pos="1531"/>
      </w:tabs>
      <w:spacing w:after="120"/>
    </w:pPr>
    <w:rPr>
      <w:rFonts w:eastAsia="SimSun"/>
      <w:i/>
    </w:rPr>
  </w:style>
  <w:style w:type="character" w:customStyle="1" w:styleId="QuotationshortChar">
    <w:name w:val="Quotation (short) Char"/>
    <w:basedOn w:val="Policepardfaut"/>
    <w:link w:val="Quotationshort"/>
    <w:uiPriority w:val="11"/>
    <w:rsid w:val="004D61AD"/>
    <w:rPr>
      <w:rFonts w:ascii="Times New Roman" w:eastAsia="SimSun" w:hAnsi="Times New Roman" w:cs="Times New Roman"/>
      <w:i/>
      <w:szCs w:val="20"/>
    </w:rPr>
  </w:style>
  <w:style w:type="character" w:customStyle="1" w:styleId="Hyperlink1">
    <w:name w:val="Hyperlink1"/>
    <w:basedOn w:val="Policepardfaut"/>
    <w:uiPriority w:val="99"/>
    <w:unhideWhenUsed/>
    <w:rsid w:val="004D61AD"/>
    <w:rPr>
      <w:color w:val="2B3ECD"/>
      <w:u w:val="single"/>
    </w:rPr>
  </w:style>
  <w:style w:type="character" w:styleId="lev">
    <w:name w:val="Strong"/>
    <w:basedOn w:val="Policepardfaut"/>
    <w:uiPriority w:val="22"/>
    <w:rsid w:val="004D61AD"/>
    <w:rPr>
      <w:b/>
      <w:bCs/>
      <w:color w:val="auto"/>
    </w:rPr>
  </w:style>
  <w:style w:type="character" w:styleId="Marquedecommentaire">
    <w:name w:val="annotation reference"/>
    <w:basedOn w:val="Policepardfaut"/>
    <w:uiPriority w:val="99"/>
    <w:semiHidden/>
    <w:unhideWhenUsed/>
    <w:rsid w:val="004D61AD"/>
    <w:rPr>
      <w:sz w:val="16"/>
      <w:szCs w:val="16"/>
    </w:rPr>
  </w:style>
  <w:style w:type="character" w:styleId="Accentuation">
    <w:name w:val="Emphasis"/>
    <w:basedOn w:val="Policepardfaut"/>
    <w:uiPriority w:val="20"/>
    <w:rsid w:val="004D61AD"/>
    <w:rPr>
      <w:i/>
      <w:iCs/>
      <w:color w:val="auto"/>
    </w:rPr>
  </w:style>
  <w:style w:type="paragraph" w:styleId="Rvision">
    <w:name w:val="Revision"/>
    <w:hidden/>
    <w:uiPriority w:val="99"/>
    <w:semiHidden/>
    <w:rsid w:val="004D61AD"/>
    <w:rPr>
      <w:rFonts w:ascii="Georgia" w:eastAsia="SimSun" w:hAnsi="Georgia" w:cs="Times New Roman"/>
      <w:position w:val="6"/>
      <w:sz w:val="20"/>
      <w:szCs w:val="20"/>
      <w:lang w:eastAsia="zh-CN"/>
    </w:rPr>
  </w:style>
  <w:style w:type="character" w:customStyle="1" w:styleId="SubtleEmphasis1">
    <w:name w:val="Subtle Emphasis1"/>
    <w:basedOn w:val="Policepardfaut"/>
    <w:uiPriority w:val="19"/>
    <w:semiHidden/>
    <w:rsid w:val="004D61AD"/>
    <w:rPr>
      <w:i/>
      <w:iCs/>
      <w:color w:val="404040"/>
    </w:rPr>
  </w:style>
  <w:style w:type="character" w:styleId="Accentuationintense">
    <w:name w:val="Intense Emphasis"/>
    <w:basedOn w:val="Policepardfaut"/>
    <w:uiPriority w:val="21"/>
    <w:rsid w:val="004D61AD"/>
    <w:rPr>
      <w:b/>
      <w:bCs/>
      <w:i/>
      <w:iCs/>
      <w:color w:val="auto"/>
    </w:rPr>
  </w:style>
  <w:style w:type="character" w:customStyle="1" w:styleId="SubtleReference1">
    <w:name w:val="Subtle Reference1"/>
    <w:basedOn w:val="Policepardfaut"/>
    <w:uiPriority w:val="31"/>
    <w:semiHidden/>
    <w:rsid w:val="004D61AD"/>
    <w:rPr>
      <w:smallCaps/>
      <w:color w:val="404040"/>
    </w:rPr>
  </w:style>
  <w:style w:type="character" w:customStyle="1" w:styleId="IntenseReference1">
    <w:name w:val="Intense Reference1"/>
    <w:basedOn w:val="Policepardfaut"/>
    <w:uiPriority w:val="32"/>
    <w:semiHidden/>
    <w:rsid w:val="004D61AD"/>
    <w:rPr>
      <w:b/>
      <w:bCs/>
      <w:smallCaps/>
      <w:color w:val="404040"/>
      <w:spacing w:val="5"/>
    </w:rPr>
  </w:style>
  <w:style w:type="paragraph" w:customStyle="1" w:styleId="CancelreplaceCoverpage">
    <w:name w:val="Cancel &amp; replace (Cover page)"/>
    <w:basedOn w:val="Normal"/>
    <w:uiPriority w:val="99"/>
    <w:unhideWhenUsed/>
    <w:rsid w:val="004D61AD"/>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1"/>
    <w:unhideWhenUsed/>
    <w:rsid w:val="004D61AD"/>
    <w:rPr>
      <w:caps/>
      <w:smallCaps w:val="0"/>
      <w:sz w:val="18"/>
    </w:rPr>
  </w:style>
  <w:style w:type="paragraph" w:customStyle="1" w:styleId="Para">
    <w:name w:val="Para #"/>
    <w:basedOn w:val="Normal"/>
    <w:link w:val="ParaChar"/>
    <w:uiPriority w:val="4"/>
    <w:qFormat/>
    <w:rsid w:val="004D61AD"/>
    <w:pPr>
      <w:numPr>
        <w:numId w:val="12"/>
      </w:numPr>
      <w:tabs>
        <w:tab w:val="clear" w:pos="850"/>
        <w:tab w:val="clear" w:pos="1191"/>
        <w:tab w:val="clear" w:pos="1531"/>
        <w:tab w:val="left" w:pos="1361"/>
      </w:tabs>
      <w:spacing w:before="120" w:after="120"/>
      <w:ind w:left="0"/>
    </w:pPr>
    <w:rPr>
      <w:rFonts w:eastAsia="SimSun"/>
    </w:rPr>
  </w:style>
  <w:style w:type="character" w:customStyle="1" w:styleId="ParaChar">
    <w:name w:val="Para # Char"/>
    <w:basedOn w:val="Policepardfaut"/>
    <w:link w:val="Para"/>
    <w:uiPriority w:val="4"/>
    <w:qFormat/>
    <w:rsid w:val="004D61AD"/>
    <w:rPr>
      <w:rFonts w:ascii="Times New Roman" w:eastAsia="SimSun" w:hAnsi="Times New Roman" w:cs="Times New Roman"/>
      <w:szCs w:val="20"/>
    </w:rPr>
  </w:style>
  <w:style w:type="paragraph" w:customStyle="1" w:styleId="Para1">
    <w:name w:val="Para #.#"/>
    <w:basedOn w:val="Para"/>
    <w:uiPriority w:val="4"/>
    <w:rsid w:val="004D61AD"/>
    <w:pPr>
      <w:numPr>
        <w:numId w:val="0"/>
      </w:numPr>
    </w:pPr>
    <w:rPr>
      <w:rFonts w:eastAsia="Caecilia LT Std Roman"/>
      <w:lang w:val="fr-FR"/>
    </w:rPr>
  </w:style>
  <w:style w:type="character" w:customStyle="1" w:styleId="HeaderCoteChar">
    <w:name w:val="Header Cote (Char)"/>
    <w:basedOn w:val="Policepardfaut"/>
    <w:uiPriority w:val="1"/>
    <w:unhideWhenUsed/>
    <w:rsid w:val="004D61AD"/>
    <w:rPr>
      <w:rFonts w:ascii="Times New Roman" w:hAnsi="Times New Roman"/>
      <w:b w:val="0"/>
      <w:spacing w:val="0"/>
      <w:sz w:val="22"/>
    </w:rPr>
  </w:style>
  <w:style w:type="numbering" w:customStyle="1" w:styleId="1Paragraphlist">
    <w:name w:val="1. Paragraph list"/>
    <w:uiPriority w:val="99"/>
    <w:rsid w:val="004D61AD"/>
    <w:pPr>
      <w:numPr>
        <w:numId w:val="11"/>
      </w:numPr>
    </w:pPr>
  </w:style>
  <w:style w:type="paragraph" w:customStyle="1" w:styleId="CoverTitle">
    <w:name w:val="CoverTitle"/>
    <w:basedOn w:val="CoverNormal"/>
    <w:link w:val="CoverTitleChar"/>
    <w:unhideWhenUsed/>
    <w:rsid w:val="004D61AD"/>
    <w:pPr>
      <w:spacing w:after="240"/>
    </w:pPr>
    <w:rPr>
      <w:b/>
      <w:sz w:val="24"/>
    </w:rPr>
  </w:style>
  <w:style w:type="paragraph" w:customStyle="1" w:styleId="CoverSubTitle">
    <w:name w:val="CoverSubTitle"/>
    <w:basedOn w:val="CoverNormal"/>
    <w:link w:val="CoverSubTitleChar"/>
    <w:unhideWhenUsed/>
    <w:rsid w:val="004D61AD"/>
    <w:rPr>
      <w:b/>
    </w:rPr>
  </w:style>
  <w:style w:type="character" w:customStyle="1" w:styleId="CoverTitleChar">
    <w:name w:val="CoverTitle Char"/>
    <w:basedOn w:val="Policepardfaut"/>
    <w:link w:val="CoverTitle"/>
    <w:rsid w:val="004D61AD"/>
    <w:rPr>
      <w:rFonts w:ascii="Times New Roman" w:eastAsia="SimSun" w:hAnsi="Times New Roman" w:cs="Times New Roman"/>
      <w:b/>
      <w:sz w:val="24"/>
      <w:szCs w:val="20"/>
    </w:rPr>
  </w:style>
  <w:style w:type="paragraph" w:customStyle="1" w:styleId="CoverCancel">
    <w:name w:val="CoverCancel"/>
    <w:basedOn w:val="CoverNormal"/>
    <w:link w:val="CoverCancelChar"/>
    <w:unhideWhenUsed/>
    <w:rsid w:val="004D61AD"/>
    <w:pPr>
      <w:spacing w:before="240" w:after="120" w:line="312" w:lineRule="auto"/>
      <w:jc w:val="center"/>
    </w:pPr>
    <w:rPr>
      <w:b/>
      <w:szCs w:val="24"/>
    </w:rPr>
  </w:style>
  <w:style w:type="character" w:customStyle="1" w:styleId="CoverSubTitleChar">
    <w:name w:val="CoverSubTitle Char"/>
    <w:basedOn w:val="Policepardfaut"/>
    <w:link w:val="CoverSubTitle"/>
    <w:rsid w:val="004D61AD"/>
    <w:rPr>
      <w:rFonts w:ascii="Times New Roman" w:eastAsia="SimSun" w:hAnsi="Times New Roman" w:cs="Times New Roman"/>
      <w:b/>
      <w:szCs w:val="20"/>
    </w:rPr>
  </w:style>
  <w:style w:type="character" w:customStyle="1" w:styleId="CoverCancelChar">
    <w:name w:val="CoverCancel Char"/>
    <w:basedOn w:val="Policepardfaut"/>
    <w:link w:val="CoverCancel"/>
    <w:rsid w:val="004D61AD"/>
    <w:rPr>
      <w:rFonts w:ascii="Times New Roman" w:eastAsia="SimSun" w:hAnsi="Times New Roman" w:cs="Times New Roman"/>
      <w:b/>
      <w:szCs w:val="24"/>
    </w:rPr>
  </w:style>
  <w:style w:type="character" w:customStyle="1" w:styleId="CoverCote">
    <w:name w:val="CoverCote"/>
    <w:basedOn w:val="Policepardfaut"/>
    <w:uiPriority w:val="1"/>
    <w:unhideWhenUsed/>
    <w:rsid w:val="004D61AD"/>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unhideWhenUsed/>
    <w:rsid w:val="004D61AD"/>
    <w:pPr>
      <w:tabs>
        <w:tab w:val="clear" w:pos="850"/>
        <w:tab w:val="clear" w:pos="1191"/>
        <w:tab w:val="clear" w:pos="1531"/>
      </w:tabs>
      <w:jc w:val="left"/>
    </w:pPr>
    <w:rPr>
      <w:rFonts w:eastAsia="SimSun"/>
    </w:rPr>
  </w:style>
  <w:style w:type="character" w:customStyle="1" w:styleId="CoverNormalChar">
    <w:name w:val="CoverNormal Char"/>
    <w:basedOn w:val="Policepardfaut"/>
    <w:link w:val="CoverNormal"/>
    <w:rsid w:val="004D61AD"/>
    <w:rPr>
      <w:rFonts w:ascii="Times New Roman" w:eastAsia="SimSun" w:hAnsi="Times New Roman" w:cs="Times New Roman"/>
      <w:szCs w:val="20"/>
    </w:rPr>
  </w:style>
  <w:style w:type="table" w:customStyle="1" w:styleId="TableGrid1">
    <w:name w:val="Table Grid1"/>
    <w:basedOn w:val="TableauNormal"/>
    <w:next w:val="Grilledutableau"/>
    <w:uiPriority w:val="59"/>
    <w:rsid w:val="004D61AD"/>
    <w:pPr>
      <w:spacing w:after="0" w:line="240" w:lineRule="auto"/>
    </w:pPr>
    <w:rPr>
      <w:rFonts w:ascii="Georgia" w:hAnsi="Georgia" w:cs="Times New Roman"/>
      <w:position w:val="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unhideWhenUsed/>
    <w:rsid w:val="004D61AD"/>
    <w:rPr>
      <w:b/>
      <w:color w:val="000000" w:themeColor="text1"/>
    </w:rPr>
  </w:style>
  <w:style w:type="character" w:customStyle="1" w:styleId="CoverDirectorateChar">
    <w:name w:val="CoverDirectorate Char"/>
    <w:basedOn w:val="CoverNormalChar"/>
    <w:link w:val="CoverDirectorate"/>
    <w:rsid w:val="004D61AD"/>
    <w:rPr>
      <w:rFonts w:ascii="Times New Roman" w:eastAsia="SimSun" w:hAnsi="Times New Roman" w:cs="Times New Roman"/>
      <w:b/>
      <w:color w:val="000000" w:themeColor="text1"/>
      <w:szCs w:val="20"/>
    </w:rPr>
  </w:style>
  <w:style w:type="paragraph" w:customStyle="1" w:styleId="CoverAbstract">
    <w:name w:val="CoverAbstract"/>
    <w:basedOn w:val="CoverNormal"/>
    <w:link w:val="CoverAbstractChar"/>
    <w:unhideWhenUsed/>
    <w:rsid w:val="004D61AD"/>
    <w:pPr>
      <w:spacing w:after="120"/>
      <w:jc w:val="both"/>
    </w:pPr>
    <w:rPr>
      <w:rFonts w:cs="Arial"/>
      <w:szCs w:val="24"/>
    </w:rPr>
  </w:style>
  <w:style w:type="paragraph" w:customStyle="1" w:styleId="CoverDisclaimer">
    <w:name w:val="CoverDisclaimer"/>
    <w:basedOn w:val="Normal"/>
    <w:unhideWhenUsed/>
    <w:rsid w:val="004D61AD"/>
    <w:pPr>
      <w:spacing w:line="312" w:lineRule="auto"/>
    </w:pPr>
    <w:rPr>
      <w:rFonts w:eastAsia="SimSun"/>
      <w:b/>
      <w:i/>
      <w:color w:val="000000" w:themeColor="text1"/>
      <w:sz w:val="16"/>
      <w:szCs w:val="16"/>
    </w:rPr>
  </w:style>
  <w:style w:type="character" w:customStyle="1" w:styleId="CoverAbstractChar">
    <w:name w:val="CoverAbstract Char"/>
    <w:basedOn w:val="Policepardfaut"/>
    <w:link w:val="CoverAbstract"/>
    <w:rsid w:val="004D61AD"/>
    <w:rPr>
      <w:rFonts w:ascii="Times New Roman" w:eastAsia="SimSun" w:hAnsi="Times New Roman" w:cs="Arial"/>
      <w:szCs w:val="24"/>
    </w:rPr>
  </w:style>
  <w:style w:type="paragraph" w:customStyle="1" w:styleId="CoverJobTicket">
    <w:name w:val="CoverJobTicket"/>
    <w:basedOn w:val="CoverNormal"/>
    <w:unhideWhenUsed/>
    <w:rsid w:val="004D61AD"/>
    <w:rPr>
      <w:b/>
    </w:rPr>
  </w:style>
  <w:style w:type="paragraph" w:customStyle="1" w:styleId="CoverDate">
    <w:name w:val="CoverDate"/>
    <w:basedOn w:val="CoverNormal"/>
    <w:link w:val="CoverDateChar"/>
    <w:unhideWhenUsed/>
    <w:rsid w:val="004D61AD"/>
    <w:pPr>
      <w:widowControl w:val="0"/>
      <w:autoSpaceDE w:val="0"/>
      <w:autoSpaceDN w:val="0"/>
      <w:snapToGrid w:val="0"/>
      <w:spacing w:before="40" w:after="40"/>
      <w:jc w:val="right"/>
    </w:pPr>
    <w:rPr>
      <w:b/>
      <w:color w:val="FFFFFF" w:themeColor="background1"/>
      <w:sz w:val="18"/>
    </w:rPr>
  </w:style>
  <w:style w:type="character" w:styleId="Textedelespacerserv">
    <w:name w:val="Placeholder Text"/>
    <w:basedOn w:val="Policepardfaut"/>
    <w:uiPriority w:val="99"/>
    <w:semiHidden/>
    <w:rsid w:val="004D61AD"/>
    <w:rPr>
      <w:color w:val="808080"/>
    </w:rPr>
  </w:style>
  <w:style w:type="table" w:customStyle="1" w:styleId="TableGridLight1">
    <w:name w:val="Table Grid Light1"/>
    <w:basedOn w:val="TableauNormal"/>
    <w:next w:val="TableGridLight2"/>
    <w:uiPriority w:val="40"/>
    <w:rsid w:val="004D61AD"/>
    <w:pPr>
      <w:spacing w:after="0" w:line="240" w:lineRule="auto"/>
    </w:pPr>
    <w:rPr>
      <w:rFonts w:ascii="Georgia" w:hAnsi="Georgia" w:cs="Times New Roman"/>
      <w:position w:val="6"/>
      <w:sz w:val="20"/>
      <w:szCs w:val="20"/>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0">
    <w:name w:val="Para"/>
    <w:basedOn w:val="Normal"/>
    <w:link w:val="ParaChar0"/>
    <w:uiPriority w:val="4"/>
    <w:qFormat/>
    <w:rsid w:val="004D61AD"/>
    <w:pPr>
      <w:tabs>
        <w:tab w:val="clear" w:pos="850"/>
        <w:tab w:val="clear" w:pos="1191"/>
        <w:tab w:val="clear" w:pos="1531"/>
      </w:tabs>
      <w:spacing w:before="120" w:after="120"/>
      <w:ind w:left="284" w:right="284"/>
    </w:pPr>
    <w:rPr>
      <w:rFonts w:eastAsia="SimSun"/>
    </w:rPr>
  </w:style>
  <w:style w:type="character" w:styleId="Appeldenotedefin">
    <w:name w:val="endnote reference"/>
    <w:basedOn w:val="Policepardfaut"/>
    <w:uiPriority w:val="99"/>
    <w:unhideWhenUsed/>
    <w:rsid w:val="004D61AD"/>
    <w:rPr>
      <w:rFonts w:ascii="Times New Roman" w:hAnsi="Times New Roman"/>
      <w:i w:val="0"/>
      <w:position w:val="0"/>
      <w:sz w:val="22"/>
      <w:vertAlign w:val="superscript"/>
    </w:rPr>
  </w:style>
  <w:style w:type="table" w:customStyle="1" w:styleId="PlainTable51">
    <w:name w:val="Plain Table 51"/>
    <w:basedOn w:val="TableauNormal"/>
    <w:next w:val="PlainTable52"/>
    <w:uiPriority w:val="45"/>
    <w:rsid w:val="004D61AD"/>
    <w:pPr>
      <w:spacing w:after="0" w:line="240" w:lineRule="auto"/>
    </w:pPr>
    <w:rPr>
      <w:rFonts w:ascii="Georgia" w:eastAsia="SimSun" w:hAnsi="Georgia" w:cs="Times New Roman"/>
      <w:position w:val="6"/>
      <w:sz w:val="16"/>
      <w:szCs w:val="20"/>
      <w:lang w:val="en-US"/>
    </w:rPr>
    <w:tblPr>
      <w:tblStyleRowBandSize w:val="1"/>
      <w:tblStyleColBandSize w:val="1"/>
    </w:tblPr>
    <w:tblStylePr w:type="firstRow">
      <w:rPr>
        <w:rFonts w:ascii="Bernini Sans Light" w:eastAsia="SimHei" w:hAnsi="Bernini Sans Light" w:cs="Times New Roman"/>
        <w:i/>
        <w:iCs/>
        <w:sz w:val="26"/>
      </w:rPr>
      <w:tblPr/>
      <w:tcPr>
        <w:tcBorders>
          <w:bottom w:val="single" w:sz="4" w:space="0" w:color="7F7F7F"/>
        </w:tcBorders>
        <w:shd w:val="clear" w:color="auto" w:fill="FFFFFF"/>
      </w:tcPr>
    </w:tblStylePr>
    <w:tblStylePr w:type="lastRow">
      <w:rPr>
        <w:rFonts w:ascii="Bernini Sans Light" w:eastAsia="SimHei" w:hAnsi="Bernini Sans Light" w:cs="Times New Roman"/>
        <w:i/>
        <w:iCs/>
        <w:sz w:val="26"/>
      </w:rPr>
      <w:tblPr/>
      <w:tcPr>
        <w:tcBorders>
          <w:top w:val="single" w:sz="4" w:space="0" w:color="7F7F7F"/>
        </w:tcBorders>
        <w:shd w:val="clear" w:color="auto" w:fill="FFFFFF"/>
      </w:tcPr>
    </w:tblStylePr>
    <w:tblStylePr w:type="firstCol">
      <w:pPr>
        <w:jc w:val="right"/>
      </w:pPr>
      <w:rPr>
        <w:rFonts w:ascii="Bernini Sans Light" w:eastAsia="SimHei" w:hAnsi="Bernini Sans Light" w:cs="Times New Roman"/>
        <w:i/>
        <w:iCs/>
        <w:sz w:val="26"/>
      </w:rPr>
      <w:tblPr/>
      <w:tcPr>
        <w:tcBorders>
          <w:right w:val="single" w:sz="4" w:space="0" w:color="7F7F7F"/>
        </w:tcBorders>
        <w:shd w:val="clear" w:color="auto" w:fill="FFFFFF"/>
      </w:tcPr>
    </w:tblStylePr>
    <w:tblStylePr w:type="lastCol">
      <w:rPr>
        <w:rFonts w:ascii="Bernini Sans Light" w:eastAsia="SimHei" w:hAnsi="Bernini Sans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auNormal"/>
    <w:next w:val="GridTable1Light-Accent62"/>
    <w:uiPriority w:val="46"/>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qFormat/>
    <w:rsid w:val="004D61AD"/>
    <w:pPr>
      <w:jc w:val="left"/>
    </w:pPr>
  </w:style>
  <w:style w:type="table" w:customStyle="1" w:styleId="GridTable1Light-Accent51">
    <w:name w:val="Grid Table 1 Light - Accent 51"/>
    <w:basedOn w:val="TableauNormal"/>
    <w:next w:val="GridTable1Light-Accent52"/>
    <w:uiPriority w:val="46"/>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auNormal"/>
    <w:next w:val="PlainTable32"/>
    <w:uiPriority w:val="43"/>
    <w:rsid w:val="004D61AD"/>
    <w:pPr>
      <w:spacing w:after="0" w:line="240" w:lineRule="auto"/>
    </w:pPr>
    <w:rPr>
      <w:rFonts w:ascii="Georgia" w:eastAsia="SimSun" w:hAnsi="Georgia" w:cs="Times New Roman"/>
      <w:position w:val="6"/>
      <w:sz w:val="20"/>
      <w:szCs w:val="20"/>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auNormal"/>
    <w:next w:val="ListTable4-Accent42"/>
    <w:uiPriority w:val="49"/>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auNormal"/>
    <w:next w:val="GridTable1Light-Accent42"/>
    <w:uiPriority w:val="46"/>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qFormat/>
    <w:rsid w:val="004D61AD"/>
    <w:pPr>
      <w:jc w:val="center"/>
    </w:pPr>
  </w:style>
  <w:style w:type="table" w:customStyle="1" w:styleId="ListTable3-Accent31">
    <w:name w:val="List Table 3 - Accent 31"/>
    <w:basedOn w:val="TableauNormal"/>
    <w:next w:val="ListTable3-Accent32"/>
    <w:uiPriority w:val="48"/>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auNormal"/>
    <w:next w:val="ListTable4-Accent52"/>
    <w:uiPriority w:val="49"/>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unhideWhenUsed/>
    <w:rsid w:val="004D61AD"/>
    <w:pPr>
      <w:autoSpaceDE w:val="0"/>
      <w:autoSpaceDN w:val="0"/>
      <w:adjustRightInd w:val="0"/>
      <w:textAlignment w:val="center"/>
    </w:pPr>
    <w:rPr>
      <w:rFonts w:cs="Bernini Sans"/>
      <w:b/>
      <w:bCs/>
      <w:color w:val="000000"/>
      <w:szCs w:val="22"/>
    </w:rPr>
  </w:style>
  <w:style w:type="paragraph" w:customStyle="1" w:styleId="CoverLanguage">
    <w:name w:val="CoverLanguage"/>
    <w:basedOn w:val="CoverNormal"/>
    <w:unhideWhenUsed/>
    <w:rsid w:val="004D61AD"/>
    <w:pPr>
      <w:jc w:val="right"/>
    </w:pPr>
    <w:rPr>
      <w:b/>
    </w:rPr>
  </w:style>
  <w:style w:type="table" w:customStyle="1" w:styleId="ListTable4-Accent31">
    <w:name w:val="List Table 4 - Accent 31"/>
    <w:basedOn w:val="TableauNormal"/>
    <w:next w:val="ListTable4-Accent32"/>
    <w:uiPriority w:val="49"/>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auNormal"/>
    <w:next w:val="GridTable1Light-Accent32"/>
    <w:uiPriority w:val="46"/>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auNormal"/>
    <w:next w:val="ListTable1Light-Accent62"/>
    <w:uiPriority w:val="46"/>
    <w:rsid w:val="004D61AD"/>
    <w:pPr>
      <w:spacing w:after="0" w:line="240" w:lineRule="auto"/>
    </w:pPr>
    <w:rPr>
      <w:rFonts w:ascii="Georgia" w:eastAsia="SimSun" w:hAnsi="Georgia" w:cs="Times New Roman"/>
      <w:position w:val="6"/>
      <w:sz w:val="20"/>
      <w:szCs w:val="20"/>
      <w:lang w:val="en-US"/>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auNormal"/>
    <w:next w:val="GridTable6Colorful2"/>
    <w:uiPriority w:val="51"/>
    <w:rsid w:val="004D61AD"/>
    <w:pPr>
      <w:spacing w:after="0" w:line="240" w:lineRule="auto"/>
    </w:pPr>
    <w:rPr>
      <w:rFonts w:ascii="Georgia" w:eastAsia="SimSun" w:hAnsi="Georgia" w:cs="Times New Roman"/>
      <w:color w:val="000000"/>
      <w:position w:val="6"/>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auNormal"/>
    <w:next w:val="ListTable2-Accent52"/>
    <w:uiPriority w:val="47"/>
    <w:rsid w:val="004D61AD"/>
    <w:pPr>
      <w:spacing w:after="0" w:line="240" w:lineRule="auto"/>
    </w:pPr>
    <w:rPr>
      <w:rFonts w:ascii="Georgia" w:eastAsia="SimSun" w:hAnsi="Georgia" w:cs="Times New Roman"/>
      <w:position w:val="6"/>
      <w:sz w:val="20"/>
      <w:szCs w:val="20"/>
      <w:lang w:val="en-US"/>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4D61AD"/>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4D61AD"/>
    <w:pPr>
      <w:jc w:val="left"/>
    </w:pPr>
    <w:rPr>
      <w:bCs w:val="0"/>
    </w:rPr>
  </w:style>
  <w:style w:type="paragraph" w:styleId="Citationintense">
    <w:name w:val="Intense Quote"/>
    <w:basedOn w:val="Normal"/>
    <w:next w:val="Normal"/>
    <w:link w:val="CitationintenseCar"/>
    <w:uiPriority w:val="30"/>
    <w:rsid w:val="004D61AD"/>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i/>
      <w:iCs/>
      <w:color w:val="404040"/>
      <w:szCs w:val="22"/>
    </w:rPr>
  </w:style>
  <w:style w:type="character" w:customStyle="1" w:styleId="IntenseQuoteChar1">
    <w:name w:val="Intense Quote Char1"/>
    <w:basedOn w:val="Policepardfaut"/>
    <w:uiPriority w:val="30"/>
    <w:rsid w:val="004D61AD"/>
    <w:rPr>
      <w:rFonts w:ascii="Times New Roman" w:hAnsi="Times New Roman" w:cs="Times New Roman"/>
      <w:i/>
      <w:iCs/>
      <w:color w:val="5B9BD5" w:themeColor="accent1"/>
      <w:szCs w:val="20"/>
    </w:rPr>
  </w:style>
  <w:style w:type="character" w:styleId="Lienhypertexte">
    <w:name w:val="Hyperlink"/>
    <w:basedOn w:val="Policepardfaut"/>
    <w:uiPriority w:val="99"/>
    <w:unhideWhenUsed/>
    <w:rsid w:val="004D61AD"/>
    <w:rPr>
      <w:color w:val="2B3ECD"/>
      <w:u w:val="single"/>
    </w:rPr>
  </w:style>
  <w:style w:type="character" w:styleId="Lienhypertextesuivivisit">
    <w:name w:val="FollowedHyperlink"/>
    <w:basedOn w:val="Policepardfaut"/>
    <w:uiPriority w:val="99"/>
    <w:semiHidden/>
    <w:unhideWhenUsed/>
    <w:rsid w:val="004D61AD"/>
    <w:rPr>
      <w:color w:val="954F72" w:themeColor="followedHyperlink"/>
      <w:u w:val="single"/>
    </w:rPr>
  </w:style>
  <w:style w:type="character" w:styleId="Accentuationlgre">
    <w:name w:val="Subtle Emphasis"/>
    <w:basedOn w:val="Policepardfaut"/>
    <w:uiPriority w:val="19"/>
    <w:rsid w:val="004D61AD"/>
    <w:rPr>
      <w:i/>
      <w:iCs/>
      <w:color w:val="404040" w:themeColor="text1" w:themeTint="BF"/>
    </w:rPr>
  </w:style>
  <w:style w:type="character" w:styleId="Rfrencelgre">
    <w:name w:val="Subtle Reference"/>
    <w:basedOn w:val="Policepardfaut"/>
    <w:uiPriority w:val="31"/>
    <w:rsid w:val="004D61AD"/>
    <w:rPr>
      <w:smallCaps/>
      <w:color w:val="5A5A5A" w:themeColor="text1" w:themeTint="A5"/>
    </w:rPr>
  </w:style>
  <w:style w:type="character" w:styleId="Rfrenceintense">
    <w:name w:val="Intense Reference"/>
    <w:basedOn w:val="Policepardfaut"/>
    <w:uiPriority w:val="32"/>
    <w:rsid w:val="004D61AD"/>
    <w:rPr>
      <w:b/>
      <w:bCs/>
      <w:smallCaps/>
      <w:color w:val="5B9BD5" w:themeColor="accent1"/>
      <w:spacing w:val="5"/>
    </w:rPr>
  </w:style>
  <w:style w:type="table" w:styleId="Grilledutableau">
    <w:name w:val="Table Grid"/>
    <w:basedOn w:val="TableauNormal"/>
    <w:uiPriority w:val="59"/>
    <w:rsid w:val="004D61AD"/>
    <w:pPr>
      <w:spacing w:after="0" w:line="240" w:lineRule="auto"/>
    </w:pPr>
    <w:rPr>
      <w:rFonts w:ascii="Georgia" w:hAnsi="Georg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auNormal"/>
    <w:uiPriority w:val="40"/>
    <w:rsid w:val="004D61AD"/>
    <w:pPr>
      <w:spacing w:after="0" w:line="240" w:lineRule="auto"/>
    </w:pPr>
    <w:rPr>
      <w:rFonts w:ascii="Georgia" w:hAnsi="Georgia"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auNormal"/>
    <w:uiPriority w:val="45"/>
    <w:rsid w:val="004D61AD"/>
    <w:pPr>
      <w:spacing w:after="0" w:line="240" w:lineRule="auto"/>
    </w:pPr>
    <w:rPr>
      <w:rFonts w:ascii="Georgia" w:hAnsi="Georgia"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auNormal"/>
    <w:uiPriority w:val="46"/>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auNormal"/>
    <w:uiPriority w:val="46"/>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PlainTable32">
    <w:name w:val="Plain Table 32"/>
    <w:basedOn w:val="TableauNormal"/>
    <w:uiPriority w:val="43"/>
    <w:rsid w:val="004D61AD"/>
    <w:pPr>
      <w:spacing w:after="0" w:line="240" w:lineRule="auto"/>
    </w:pPr>
    <w:rPr>
      <w:rFonts w:ascii="Georgia" w:hAnsi="Georgia" w:cs="Times New Roman"/>
      <w:sz w:val="20"/>
      <w:szCs w:val="20"/>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auNormal"/>
    <w:uiPriority w:val="49"/>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1Light-Accent42">
    <w:name w:val="Grid Table 1 Light - Accent 42"/>
    <w:basedOn w:val="TableauNormal"/>
    <w:uiPriority w:val="46"/>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auNormal"/>
    <w:uiPriority w:val="48"/>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4-Accent52">
    <w:name w:val="List Table 4 - Accent 52"/>
    <w:basedOn w:val="TableauNormal"/>
    <w:uiPriority w:val="49"/>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32">
    <w:name w:val="List Table 4 - Accent 32"/>
    <w:basedOn w:val="TableauNormal"/>
    <w:uiPriority w:val="49"/>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32">
    <w:name w:val="Grid Table 1 Light - Accent 32"/>
    <w:basedOn w:val="TableauNormal"/>
    <w:uiPriority w:val="46"/>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auNormal"/>
    <w:uiPriority w:val="46"/>
    <w:rsid w:val="004D61AD"/>
    <w:pPr>
      <w:spacing w:after="0" w:line="240" w:lineRule="auto"/>
    </w:pPr>
    <w:rPr>
      <w:rFonts w:ascii="Georgia" w:hAnsi="Georgia" w:cs="Times New Roman"/>
      <w:sz w:val="20"/>
      <w:szCs w:val="20"/>
      <w:lang w:val="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2">
    <w:name w:val="Grid Table 6 Colorful2"/>
    <w:basedOn w:val="TableauNormal"/>
    <w:uiPriority w:val="51"/>
    <w:rsid w:val="004D61AD"/>
    <w:pPr>
      <w:spacing w:after="0" w:line="240" w:lineRule="auto"/>
    </w:pPr>
    <w:rPr>
      <w:rFonts w:ascii="Georgia" w:hAnsi="Georgia" w:cs="Times New Roman"/>
      <w:color w:val="000000" w:themeColor="text1"/>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auNormal"/>
    <w:uiPriority w:val="47"/>
    <w:rsid w:val="004D61AD"/>
    <w:pPr>
      <w:spacing w:after="0" w:line="240" w:lineRule="auto"/>
    </w:pPr>
    <w:rPr>
      <w:rFonts w:ascii="Georgia" w:hAnsi="Georgia" w:cs="Times New Roman"/>
      <w:sz w:val="20"/>
      <w:szCs w:val="20"/>
      <w:lang w:val="en-U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overTable">
    <w:name w:val="CoverTable"/>
    <w:basedOn w:val="CoverNormalChar"/>
    <w:uiPriority w:val="1"/>
    <w:unhideWhenUsed/>
    <w:rsid w:val="004D61AD"/>
    <w:rPr>
      <w:rFonts w:ascii="Times New Roman" w:eastAsiaTheme="minorEastAsia" w:hAnsi="Times New Roman" w:cs="Times New Roman"/>
      <w:b w:val="0"/>
      <w:i w:val="0"/>
      <w:position w:val="6"/>
      <w:sz w:val="20"/>
      <w:szCs w:val="21"/>
      <w:lang w:eastAsia="en-US"/>
    </w:rPr>
  </w:style>
  <w:style w:type="table" w:customStyle="1" w:styleId="GridTable2-Accent11">
    <w:name w:val="Grid Table 2 - Accent 11"/>
    <w:basedOn w:val="TableauNormal"/>
    <w:uiPriority w:val="47"/>
    <w:rsid w:val="004D61AD"/>
    <w:pPr>
      <w:spacing w:after="0" w:line="240" w:lineRule="auto"/>
    </w:pPr>
    <w:rPr>
      <w:rFonts w:ascii="Georgia" w:eastAsiaTheme="minorEastAsia" w:hAnsi="Georgia"/>
      <w:position w:val="6"/>
      <w:sz w:val="20"/>
      <w:szCs w:val="20"/>
      <w:lang w:eastAsia="ko-KR"/>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nnexH2">
    <w:name w:val="Annex H2"/>
    <w:basedOn w:val="Normal"/>
    <w:next w:val="Para0"/>
    <w:uiPriority w:val="15"/>
    <w:qFormat/>
    <w:rsid w:val="004D61AD"/>
    <w:pPr>
      <w:keepNext/>
      <w:spacing w:before="240" w:after="240"/>
      <w:ind w:right="680"/>
      <w:jc w:val="left"/>
      <w:outlineLvl w:val="1"/>
    </w:pPr>
    <w:rPr>
      <w:b/>
      <w:color w:val="4E81BD"/>
      <w:sz w:val="24"/>
    </w:rPr>
  </w:style>
  <w:style w:type="paragraph" w:customStyle="1" w:styleId="AnnexH3">
    <w:name w:val="Annex H3"/>
    <w:basedOn w:val="Normal"/>
    <w:next w:val="Para0"/>
    <w:uiPriority w:val="15"/>
    <w:qFormat/>
    <w:rsid w:val="004D61AD"/>
    <w:pPr>
      <w:keepNext/>
      <w:keepLines/>
      <w:spacing w:before="240" w:after="120"/>
      <w:ind w:left="680" w:right="680"/>
      <w:jc w:val="left"/>
      <w:outlineLvl w:val="2"/>
    </w:pPr>
    <w:rPr>
      <w:b/>
      <w:i/>
      <w:color w:val="262626"/>
      <w:sz w:val="24"/>
    </w:rPr>
  </w:style>
  <w:style w:type="paragraph" w:customStyle="1" w:styleId="BulletedList">
    <w:name w:val="Bulleted List"/>
    <w:basedOn w:val="Paragraphedeliste"/>
    <w:uiPriority w:val="6"/>
    <w:qFormat/>
    <w:rsid w:val="004D61AD"/>
    <w:pPr>
      <w:numPr>
        <w:numId w:val="23"/>
      </w:numPr>
    </w:pPr>
  </w:style>
  <w:style w:type="paragraph" w:customStyle="1" w:styleId="NumberedList">
    <w:name w:val="Numbered List"/>
    <w:basedOn w:val="Paragraphedeliste"/>
    <w:uiPriority w:val="5"/>
    <w:qFormat/>
    <w:rsid w:val="004D61AD"/>
    <w:pPr>
      <w:numPr>
        <w:numId w:val="24"/>
      </w:numPr>
      <w:spacing w:after="120"/>
      <w:ind w:right="680"/>
    </w:pPr>
  </w:style>
  <w:style w:type="paragraph" w:customStyle="1" w:styleId="CoverCommittee">
    <w:name w:val="CoverCommittee"/>
    <w:basedOn w:val="CoverNormal"/>
    <w:rsid w:val="004D61AD"/>
    <w:rPr>
      <w:b/>
    </w:rPr>
  </w:style>
  <w:style w:type="paragraph" w:customStyle="1" w:styleId="CoverWorkingParty">
    <w:name w:val="CoverWorkingParty"/>
    <w:basedOn w:val="CoverNormal"/>
    <w:rsid w:val="004D61AD"/>
    <w:rPr>
      <w:b/>
      <w:sz w:val="24"/>
    </w:rPr>
  </w:style>
  <w:style w:type="paragraph" w:customStyle="1" w:styleId="CoverPwbCode">
    <w:name w:val="CoverPwbCode"/>
    <w:basedOn w:val="CoverJobTicket"/>
    <w:rsid w:val="004D61AD"/>
    <w:pPr>
      <w:spacing w:after="120"/>
    </w:pPr>
    <w:rPr>
      <w:noProof/>
      <w:lang w:eastAsia="en-GB"/>
    </w:rPr>
  </w:style>
  <w:style w:type="character" w:customStyle="1" w:styleId="DefaultCoverPage">
    <w:name w:val="DefaultCoverPage"/>
    <w:basedOn w:val="Policepardfaut"/>
    <w:uiPriority w:val="1"/>
    <w:rsid w:val="004D61AD"/>
    <w:rPr>
      <w:rFonts w:ascii="Times New Roman" w:hAnsi="Times New Roman"/>
      <w:sz w:val="21"/>
    </w:rPr>
  </w:style>
  <w:style w:type="paragraph" w:customStyle="1" w:styleId="Figure">
    <w:name w:val="Figure"/>
    <w:basedOn w:val="Normal"/>
    <w:rsid w:val="004D61AD"/>
    <w:pPr>
      <w:keepNext/>
      <w:keepLines/>
      <w:jc w:val="center"/>
    </w:pPr>
    <w:rPr>
      <w:noProof/>
      <w:lang w:eastAsia="ko-KR"/>
    </w:rPr>
  </w:style>
  <w:style w:type="paragraph" w:customStyle="1" w:styleId="StatLinkLogo">
    <w:name w:val="StatLink Logo"/>
    <w:basedOn w:val="Para0"/>
    <w:next w:val="Para0"/>
    <w:rsid w:val="004D61AD"/>
    <w:pPr>
      <w:spacing w:after="240"/>
      <w:jc w:val="right"/>
    </w:pPr>
    <w:rPr>
      <w:rFonts w:ascii="StatLink" w:hAnsi="StatLink"/>
      <w:sz w:val="18"/>
    </w:rPr>
  </w:style>
  <w:style w:type="character" w:customStyle="1" w:styleId="StatLinkDOI">
    <w:name w:val="StatLink DOI"/>
    <w:basedOn w:val="Policepardfaut"/>
    <w:uiPriority w:val="1"/>
    <w:rsid w:val="004D61AD"/>
    <w:rPr>
      <w:rFonts w:ascii="Times New Roman" w:hAnsi="Times New Roman"/>
      <w:sz w:val="18"/>
    </w:rPr>
  </w:style>
  <w:style w:type="paragraph" w:customStyle="1" w:styleId="Title2">
    <w:name w:val="Title 2"/>
    <w:basedOn w:val="Titre2"/>
    <w:next w:val="Para0"/>
    <w:qFormat/>
    <w:rsid w:val="004D61AD"/>
    <w:pPr>
      <w:numPr>
        <w:ilvl w:val="0"/>
        <w:numId w:val="0"/>
      </w:numPr>
    </w:pPr>
  </w:style>
  <w:style w:type="paragraph" w:customStyle="1" w:styleId="Title3">
    <w:name w:val="Title 3"/>
    <w:basedOn w:val="Normal"/>
    <w:next w:val="Para0"/>
    <w:qFormat/>
    <w:rsid w:val="004D61AD"/>
    <w:pPr>
      <w:keepNext/>
      <w:keepLines/>
      <w:spacing w:before="240" w:after="120"/>
      <w:ind w:left="680" w:right="680"/>
      <w:jc w:val="left"/>
      <w:outlineLvl w:val="2"/>
    </w:pPr>
    <w:rPr>
      <w:b/>
      <w:i/>
      <w:sz w:val="24"/>
    </w:rPr>
  </w:style>
  <w:style w:type="table" w:styleId="Trameclaire-Accent1">
    <w:name w:val="Light Shading Accent 1"/>
    <w:basedOn w:val="TableauNormal"/>
    <w:uiPriority w:val="60"/>
    <w:rsid w:val="004D61AD"/>
    <w:pPr>
      <w:spacing w:after="0" w:line="240" w:lineRule="auto"/>
    </w:pPr>
    <w:rPr>
      <w:rFonts w:ascii="Georgia" w:hAnsi="Georgia" w:cs="Times New Roman"/>
      <w:color w:val="2E74B5" w:themeColor="accent1" w:themeShade="BF"/>
      <w:sz w:val="20"/>
      <w:szCs w:val="20"/>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OECD">
    <w:name w:val="OECD"/>
    <w:basedOn w:val="Trameclaire-Accent1"/>
    <w:uiPriority w:val="99"/>
    <w:rsid w:val="004D61AD"/>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0"/>
    <w:uiPriority w:val="2"/>
    <w:qFormat/>
    <w:rsid w:val="004D61AD"/>
    <w:pPr>
      <w:pBdr>
        <w:top w:val="single" w:sz="4" w:space="12" w:color="auto"/>
        <w:left w:val="single" w:sz="4" w:space="12" w:color="auto"/>
        <w:bottom w:val="single" w:sz="4" w:space="12" w:color="auto"/>
        <w:right w:val="single" w:sz="4" w:space="12" w:color="auto"/>
      </w:pBdr>
    </w:pPr>
    <w:rPr>
      <w:i/>
    </w:rPr>
  </w:style>
  <w:style w:type="paragraph" w:customStyle="1" w:styleId="BoxHeading">
    <w:name w:val="Box Heading"/>
    <w:basedOn w:val="Normal"/>
    <w:next w:val="Para0"/>
    <w:uiPriority w:val="8"/>
    <w:qFormat/>
    <w:rsid w:val="004D61AD"/>
    <w:pPr>
      <w:keepNext/>
      <w:spacing w:before="240" w:after="120"/>
      <w:ind w:left="680" w:right="680"/>
      <w:jc w:val="left"/>
    </w:pPr>
    <w:rPr>
      <w:b/>
      <w:sz w:val="20"/>
    </w:rPr>
  </w:style>
  <w:style w:type="paragraph" w:customStyle="1" w:styleId="CoverInformation">
    <w:name w:val="CoverInformation"/>
    <w:basedOn w:val="CoverSubTitle"/>
    <w:rsid w:val="004D61AD"/>
  </w:style>
  <w:style w:type="character" w:customStyle="1" w:styleId="CoverDateChar">
    <w:name w:val="CoverDate Char"/>
    <w:basedOn w:val="CoverNormalChar"/>
    <w:link w:val="CoverDate"/>
    <w:rsid w:val="004D61AD"/>
    <w:rPr>
      <w:rFonts w:ascii="Times New Roman" w:eastAsia="SimSun" w:hAnsi="Times New Roman" w:cs="Times New Roman"/>
      <w:b/>
      <w:color w:val="FFFFFF" w:themeColor="background1"/>
      <w:sz w:val="18"/>
      <w:szCs w:val="20"/>
    </w:rPr>
  </w:style>
  <w:style w:type="paragraph" w:customStyle="1" w:styleId="Session">
    <w:name w:val="Session"/>
    <w:basedOn w:val="Normal"/>
    <w:next w:val="Time"/>
    <w:uiPriority w:val="3"/>
    <w:rsid w:val="004D61AD"/>
    <w:pPr>
      <w:keepNext/>
      <w:spacing w:after="240"/>
      <w:jc w:val="left"/>
    </w:pPr>
    <w:rPr>
      <w:i/>
      <w:u w:val="single"/>
    </w:rPr>
  </w:style>
  <w:style w:type="paragraph" w:customStyle="1" w:styleId="GroupHeading">
    <w:name w:val="Group Heading"/>
    <w:basedOn w:val="Normal"/>
    <w:next w:val="Para0"/>
    <w:uiPriority w:val="6"/>
    <w:rsid w:val="004D61AD"/>
    <w:pPr>
      <w:keepNext/>
      <w:numPr>
        <w:numId w:val="21"/>
      </w:numPr>
      <w:pBdr>
        <w:top w:val="single" w:sz="4" w:space="1" w:color="auto"/>
      </w:pBdr>
      <w:spacing w:after="120"/>
      <w:jc w:val="left"/>
    </w:pPr>
    <w:rPr>
      <w:b/>
      <w:i/>
      <w:color w:val="4E81BD"/>
    </w:rPr>
  </w:style>
  <w:style w:type="paragraph" w:customStyle="1" w:styleId="Break">
    <w:name w:val="Break"/>
    <w:basedOn w:val="Normal"/>
    <w:next w:val="Time"/>
    <w:uiPriority w:val="7"/>
    <w:rsid w:val="004D61AD"/>
    <w:pPr>
      <w:pBdr>
        <w:top w:val="single" w:sz="4" w:space="4" w:color="auto"/>
        <w:bottom w:val="single" w:sz="4" w:space="4" w:color="auto"/>
      </w:pBdr>
      <w:shd w:val="pct5" w:color="auto" w:fill="auto"/>
      <w:jc w:val="center"/>
    </w:pPr>
    <w:rPr>
      <w:i/>
    </w:rPr>
  </w:style>
  <w:style w:type="paragraph" w:customStyle="1" w:styleId="Time">
    <w:name w:val="Time"/>
    <w:basedOn w:val="Normal"/>
    <w:next w:val="Titre1"/>
    <w:uiPriority w:val="4"/>
    <w:rsid w:val="004D61AD"/>
    <w:pPr>
      <w:keepNext/>
      <w:spacing w:before="360" w:after="120"/>
    </w:pPr>
    <w:rPr>
      <w:i/>
      <w:sz w:val="20"/>
    </w:rPr>
  </w:style>
  <w:style w:type="paragraph" w:customStyle="1" w:styleId="RefDocuments">
    <w:name w:val="Ref Documents"/>
    <w:basedOn w:val="Para0"/>
    <w:next w:val="Annotation"/>
    <w:uiPriority w:val="6"/>
    <w:rsid w:val="004D61AD"/>
    <w:pPr>
      <w:ind w:left="7371"/>
      <w:contextualSpacing/>
      <w:jc w:val="left"/>
    </w:pPr>
  </w:style>
  <w:style w:type="paragraph" w:customStyle="1" w:styleId="Action">
    <w:name w:val="Action"/>
    <w:basedOn w:val="Para0"/>
    <w:next w:val="Titre2"/>
    <w:uiPriority w:val="4"/>
    <w:rsid w:val="004D61AD"/>
    <w:rPr>
      <w:u w:val="single"/>
    </w:rPr>
  </w:style>
  <w:style w:type="paragraph" w:customStyle="1" w:styleId="SpecialItem">
    <w:name w:val="Special Item"/>
    <w:basedOn w:val="Normal"/>
    <w:next w:val="Time"/>
    <w:uiPriority w:val="8"/>
    <w:rsid w:val="004D61AD"/>
    <w:pPr>
      <w:spacing w:before="240" w:after="240"/>
    </w:pPr>
    <w:rPr>
      <w:i/>
    </w:rPr>
  </w:style>
  <w:style w:type="paragraph" w:customStyle="1" w:styleId="ImportantInformation">
    <w:name w:val="Important Information"/>
    <w:basedOn w:val="Para0"/>
    <w:uiPriority w:val="2"/>
    <w:rsid w:val="004D61AD"/>
    <w:pPr>
      <w:spacing w:after="480"/>
      <w:contextualSpacing/>
      <w:jc w:val="center"/>
    </w:pPr>
  </w:style>
  <w:style w:type="paragraph" w:customStyle="1" w:styleId="CoverTitlePublication">
    <w:name w:val="CoverTitlePublication"/>
    <w:basedOn w:val="CoverNormal"/>
    <w:rsid w:val="004D61AD"/>
    <w:pPr>
      <w:jc w:val="center"/>
    </w:pPr>
    <w:rPr>
      <w:rFonts w:ascii="Caecilia Roman" w:hAnsi="Caecilia Roman"/>
      <w:b/>
      <w:sz w:val="52"/>
    </w:rPr>
  </w:style>
  <w:style w:type="paragraph" w:customStyle="1" w:styleId="CoverSubtitlePublication">
    <w:name w:val="CoverSubtitlePublication"/>
    <w:basedOn w:val="CoverTitlePublication"/>
    <w:rsid w:val="004D61AD"/>
    <w:rPr>
      <w:b w:val="0"/>
      <w:sz w:val="40"/>
    </w:rPr>
  </w:style>
  <w:style w:type="paragraph" w:customStyle="1" w:styleId="FooterClassification">
    <w:name w:val="Footer Classification"/>
    <w:basedOn w:val="Normal"/>
    <w:rsid w:val="004D61AD"/>
    <w:pPr>
      <w:jc w:val="right"/>
    </w:pPr>
    <w:rPr>
      <w:sz w:val="16"/>
    </w:rPr>
  </w:style>
  <w:style w:type="paragraph" w:customStyle="1" w:styleId="CoverSeriesTitlePublication">
    <w:name w:val="CoverSeriesTitlePublication"/>
    <w:basedOn w:val="CoverNormal"/>
    <w:rsid w:val="004D61AD"/>
    <w:pPr>
      <w:spacing w:after="40"/>
    </w:pPr>
    <w:rPr>
      <w:rFonts w:ascii="Caecilia Roman" w:eastAsiaTheme="minorHAnsi" w:hAnsi="Caecilia Roman"/>
      <w:sz w:val="32"/>
    </w:rPr>
  </w:style>
  <w:style w:type="paragraph" w:customStyle="1" w:styleId="Annotation">
    <w:name w:val="Annotation"/>
    <w:basedOn w:val="Normal"/>
    <w:uiPriority w:val="7"/>
    <w:rsid w:val="004D61AD"/>
    <w:pPr>
      <w:numPr>
        <w:numId w:val="22"/>
      </w:numPr>
      <w:tabs>
        <w:tab w:val="clear" w:pos="850"/>
        <w:tab w:val="clear" w:pos="1191"/>
        <w:tab w:val="clear" w:pos="1531"/>
        <w:tab w:val="left" w:pos="7371"/>
      </w:tabs>
      <w:spacing w:before="120" w:after="120"/>
      <w:jc w:val="left"/>
    </w:pPr>
    <w:rPr>
      <w:sz w:val="20"/>
    </w:rPr>
  </w:style>
  <w:style w:type="paragraph" w:customStyle="1" w:styleId="Conclusion">
    <w:name w:val="Conclusion"/>
    <w:basedOn w:val="Para0"/>
    <w:next w:val="Titre1"/>
    <w:uiPriority w:val="5"/>
    <w:rsid w:val="004D61AD"/>
    <w:pPr>
      <w:spacing w:before="360" w:after="360"/>
      <w:jc w:val="center"/>
    </w:pPr>
    <w:rPr>
      <w:b/>
    </w:rPr>
  </w:style>
  <w:style w:type="paragraph" w:customStyle="1" w:styleId="ProposedAction">
    <w:name w:val="Proposed Action"/>
    <w:basedOn w:val="Para0"/>
    <w:rsid w:val="004D61AD"/>
    <w:pPr>
      <w:numPr>
        <w:numId w:val="14"/>
      </w:numPr>
      <w:spacing w:before="0" w:after="240"/>
    </w:pPr>
  </w:style>
  <w:style w:type="paragraph" w:customStyle="1" w:styleId="NL2">
    <w:name w:val="NL2"/>
    <w:basedOn w:val="Para0"/>
    <w:link w:val="NL2Char"/>
    <w:semiHidden/>
    <w:rsid w:val="004D61AD"/>
    <w:pPr>
      <w:numPr>
        <w:numId w:val="15"/>
      </w:numPr>
      <w:tabs>
        <w:tab w:val="left" w:pos="340"/>
      </w:tabs>
      <w:spacing w:before="0"/>
      <w:ind w:left="1701" w:hanging="340"/>
      <w:contextualSpacing/>
    </w:pPr>
    <w:rPr>
      <w:noProof/>
    </w:rPr>
  </w:style>
  <w:style w:type="paragraph" w:customStyle="1" w:styleId="NL3">
    <w:name w:val="NL3"/>
    <w:basedOn w:val="Para0"/>
    <w:link w:val="NL3Char"/>
    <w:semiHidden/>
    <w:rsid w:val="004D61AD"/>
    <w:pPr>
      <w:numPr>
        <w:numId w:val="16"/>
      </w:numPr>
      <w:tabs>
        <w:tab w:val="num" w:pos="360"/>
      </w:tabs>
      <w:spacing w:before="0"/>
      <w:ind w:left="1985" w:hanging="227"/>
      <w:contextualSpacing/>
    </w:pPr>
    <w:rPr>
      <w:noProof/>
    </w:rPr>
  </w:style>
  <w:style w:type="character" w:customStyle="1" w:styleId="ParaChar0">
    <w:name w:val="Para Char"/>
    <w:basedOn w:val="Policepardfaut"/>
    <w:link w:val="Para0"/>
    <w:uiPriority w:val="4"/>
    <w:rsid w:val="004D61AD"/>
    <w:rPr>
      <w:rFonts w:ascii="Times New Roman" w:eastAsia="SimSun" w:hAnsi="Times New Roman" w:cs="Times New Roman"/>
      <w:szCs w:val="20"/>
    </w:rPr>
  </w:style>
  <w:style w:type="character" w:customStyle="1" w:styleId="NL2Char">
    <w:name w:val="NL2 Char"/>
    <w:basedOn w:val="ParaChar0"/>
    <w:link w:val="NL2"/>
    <w:semiHidden/>
    <w:rsid w:val="004D61AD"/>
    <w:rPr>
      <w:rFonts w:ascii="Times New Roman" w:eastAsia="SimSun" w:hAnsi="Times New Roman" w:cs="Times New Roman"/>
      <w:noProof/>
      <w:szCs w:val="20"/>
    </w:rPr>
  </w:style>
  <w:style w:type="paragraph" w:customStyle="1" w:styleId="NL4">
    <w:name w:val="NL4"/>
    <w:basedOn w:val="Para0"/>
    <w:link w:val="NL4Char"/>
    <w:semiHidden/>
    <w:rsid w:val="004D61AD"/>
    <w:pPr>
      <w:numPr>
        <w:numId w:val="17"/>
      </w:numPr>
      <w:tabs>
        <w:tab w:val="left" w:pos="340"/>
      </w:tabs>
      <w:spacing w:before="0"/>
      <w:ind w:left="2410" w:hanging="369"/>
      <w:contextualSpacing/>
    </w:pPr>
    <w:rPr>
      <w:noProof/>
    </w:rPr>
  </w:style>
  <w:style w:type="character" w:customStyle="1" w:styleId="NL3Char">
    <w:name w:val="NL3 Char"/>
    <w:basedOn w:val="ParaChar0"/>
    <w:link w:val="NL3"/>
    <w:semiHidden/>
    <w:rsid w:val="004D61AD"/>
    <w:rPr>
      <w:rFonts w:ascii="Times New Roman" w:eastAsia="SimSun" w:hAnsi="Times New Roman" w:cs="Times New Roman"/>
      <w:noProof/>
      <w:szCs w:val="20"/>
    </w:rPr>
  </w:style>
  <w:style w:type="character" w:customStyle="1" w:styleId="NL4Char">
    <w:name w:val="NL4 Char"/>
    <w:basedOn w:val="ParaChar0"/>
    <w:link w:val="NL4"/>
    <w:semiHidden/>
    <w:rsid w:val="004D61AD"/>
    <w:rPr>
      <w:rFonts w:ascii="Times New Roman" w:eastAsia="SimSun" w:hAnsi="Times New Roman" w:cs="Times New Roman"/>
      <w:noProof/>
      <w:szCs w:val="20"/>
    </w:rPr>
  </w:style>
  <w:style w:type="paragraph" w:customStyle="1" w:styleId="BL2">
    <w:name w:val="BL2"/>
    <w:basedOn w:val="Para0"/>
    <w:link w:val="BL2Char"/>
    <w:semiHidden/>
    <w:rsid w:val="004D61AD"/>
    <w:pPr>
      <w:numPr>
        <w:numId w:val="18"/>
      </w:numPr>
      <w:spacing w:before="0"/>
      <w:ind w:left="1701" w:hanging="340"/>
      <w:contextualSpacing/>
    </w:pPr>
  </w:style>
  <w:style w:type="paragraph" w:customStyle="1" w:styleId="BL3">
    <w:name w:val="BL3"/>
    <w:basedOn w:val="Para0"/>
    <w:link w:val="BL3Char"/>
    <w:semiHidden/>
    <w:rsid w:val="004D61AD"/>
    <w:pPr>
      <w:numPr>
        <w:numId w:val="20"/>
      </w:numPr>
      <w:spacing w:before="0"/>
      <w:ind w:left="2058" w:hanging="357"/>
      <w:contextualSpacing/>
    </w:pPr>
    <w:rPr>
      <w:noProof/>
    </w:rPr>
  </w:style>
  <w:style w:type="character" w:customStyle="1" w:styleId="BL2Char">
    <w:name w:val="BL2 Char"/>
    <w:basedOn w:val="ParaChar0"/>
    <w:link w:val="BL2"/>
    <w:semiHidden/>
    <w:rsid w:val="004D61AD"/>
    <w:rPr>
      <w:rFonts w:ascii="Times New Roman" w:eastAsia="SimSun" w:hAnsi="Times New Roman" w:cs="Times New Roman"/>
      <w:szCs w:val="20"/>
    </w:rPr>
  </w:style>
  <w:style w:type="paragraph" w:customStyle="1" w:styleId="BL4">
    <w:name w:val="BL4"/>
    <w:basedOn w:val="Para0"/>
    <w:link w:val="BL4Char"/>
    <w:semiHidden/>
    <w:rsid w:val="004D61AD"/>
    <w:pPr>
      <w:numPr>
        <w:ilvl w:val="1"/>
        <w:numId w:val="19"/>
      </w:numPr>
      <w:spacing w:before="0"/>
      <w:ind w:left="2381" w:hanging="340"/>
      <w:contextualSpacing/>
    </w:pPr>
  </w:style>
  <w:style w:type="character" w:customStyle="1" w:styleId="BL3Char">
    <w:name w:val="BL3 Char"/>
    <w:basedOn w:val="ParaChar0"/>
    <w:link w:val="BL3"/>
    <w:semiHidden/>
    <w:rsid w:val="004D61AD"/>
    <w:rPr>
      <w:rFonts w:ascii="Times New Roman" w:eastAsia="SimSun" w:hAnsi="Times New Roman" w:cs="Times New Roman"/>
      <w:noProof/>
      <w:szCs w:val="20"/>
    </w:rPr>
  </w:style>
  <w:style w:type="character" w:customStyle="1" w:styleId="BL4Char">
    <w:name w:val="BL4 Char"/>
    <w:basedOn w:val="ParaChar0"/>
    <w:link w:val="BL4"/>
    <w:semiHidden/>
    <w:rsid w:val="004D61AD"/>
    <w:rPr>
      <w:rFonts w:ascii="Times New Roman" w:eastAsia="SimSun" w:hAnsi="Times New Roman" w:cs="Times New Roman"/>
      <w:szCs w:val="20"/>
    </w:rPr>
  </w:style>
  <w:style w:type="paragraph" w:customStyle="1" w:styleId="Notes">
    <w:name w:val="Notes"/>
    <w:basedOn w:val="Normal"/>
    <w:rsid w:val="004D61AD"/>
    <w:pPr>
      <w:keepNext/>
      <w:keepLines/>
      <w:tabs>
        <w:tab w:val="clear" w:pos="850"/>
        <w:tab w:val="clear" w:pos="1191"/>
        <w:tab w:val="clear" w:pos="1531"/>
      </w:tabs>
      <w:spacing w:before="120"/>
      <w:ind w:left="680" w:right="680"/>
      <w:contextualSpacing/>
    </w:pPr>
    <w:rPr>
      <w:rFonts w:eastAsia="SimSun" w:cs="Arial"/>
      <w:sz w:val="18"/>
      <w:szCs w:val="18"/>
    </w:rPr>
  </w:style>
  <w:style w:type="paragraph" w:customStyle="1" w:styleId="Source">
    <w:name w:val="Source"/>
    <w:basedOn w:val="Normal"/>
    <w:rsid w:val="004D61AD"/>
    <w:pPr>
      <w:keepNext/>
      <w:keepLines/>
      <w:tabs>
        <w:tab w:val="clear" w:pos="850"/>
        <w:tab w:val="clear" w:pos="1191"/>
        <w:tab w:val="clear" w:pos="1531"/>
      </w:tabs>
      <w:spacing w:after="240"/>
      <w:ind w:left="680" w:right="680"/>
      <w:contextualSpacing/>
    </w:pPr>
    <w:rPr>
      <w:rFonts w:eastAsia="SimSun" w:cs="Arial"/>
      <w:sz w:val="18"/>
      <w:szCs w:val="18"/>
    </w:rPr>
  </w:style>
  <w:style w:type="paragraph" w:customStyle="1" w:styleId="15CEAF76EE11422DB380C0CFFC55BBA7">
    <w:name w:val="15CEAF76EE11422DB380C0CFFC55BBA7"/>
    <w:rsid w:val="004D61AD"/>
    <w:rPr>
      <w:rFonts w:eastAsiaTheme="minorEastAsia"/>
      <w:lang w:val="en-US"/>
    </w:rPr>
  </w:style>
  <w:style w:type="character" w:customStyle="1" w:styleId="authors">
    <w:name w:val="authors"/>
    <w:basedOn w:val="Policepardfaut"/>
    <w:rsid w:val="00332D46"/>
  </w:style>
  <w:style w:type="character" w:customStyle="1" w:styleId="Date1">
    <w:name w:val="Date1"/>
    <w:basedOn w:val="Policepardfaut"/>
    <w:rsid w:val="00332D46"/>
  </w:style>
  <w:style w:type="character" w:customStyle="1" w:styleId="arttitle">
    <w:name w:val="art_title"/>
    <w:basedOn w:val="Policepardfaut"/>
    <w:rsid w:val="00332D46"/>
  </w:style>
  <w:style w:type="character" w:customStyle="1" w:styleId="serialtitle">
    <w:name w:val="serial_title"/>
    <w:basedOn w:val="Policepardfaut"/>
    <w:rsid w:val="00332D46"/>
  </w:style>
  <w:style w:type="character" w:customStyle="1" w:styleId="volumeissue">
    <w:name w:val="volume_issue"/>
    <w:basedOn w:val="Policepardfaut"/>
    <w:rsid w:val="00332D46"/>
  </w:style>
  <w:style w:type="character" w:customStyle="1" w:styleId="pagerange">
    <w:name w:val="page_range"/>
    <w:basedOn w:val="Policepardfaut"/>
    <w:rsid w:val="00332D46"/>
  </w:style>
  <w:style w:type="character" w:customStyle="1" w:styleId="doilink">
    <w:name w:val="doi_link"/>
    <w:basedOn w:val="Policepardfaut"/>
    <w:rsid w:val="0033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9813">
      <w:bodyDiv w:val="1"/>
      <w:marLeft w:val="0"/>
      <w:marRight w:val="0"/>
      <w:marTop w:val="0"/>
      <w:marBottom w:val="0"/>
      <w:divBdr>
        <w:top w:val="none" w:sz="0" w:space="0" w:color="auto"/>
        <w:left w:val="none" w:sz="0" w:space="0" w:color="auto"/>
        <w:bottom w:val="none" w:sz="0" w:space="0" w:color="auto"/>
        <w:right w:val="none" w:sz="0" w:space="0" w:color="auto"/>
      </w:divBdr>
    </w:div>
    <w:div w:id="108478827">
      <w:bodyDiv w:val="1"/>
      <w:marLeft w:val="0"/>
      <w:marRight w:val="0"/>
      <w:marTop w:val="0"/>
      <w:marBottom w:val="0"/>
      <w:divBdr>
        <w:top w:val="none" w:sz="0" w:space="0" w:color="auto"/>
        <w:left w:val="none" w:sz="0" w:space="0" w:color="auto"/>
        <w:bottom w:val="none" w:sz="0" w:space="0" w:color="auto"/>
        <w:right w:val="none" w:sz="0" w:space="0" w:color="auto"/>
      </w:divBdr>
    </w:div>
    <w:div w:id="148719699">
      <w:bodyDiv w:val="1"/>
      <w:marLeft w:val="0"/>
      <w:marRight w:val="0"/>
      <w:marTop w:val="0"/>
      <w:marBottom w:val="0"/>
      <w:divBdr>
        <w:top w:val="none" w:sz="0" w:space="0" w:color="auto"/>
        <w:left w:val="none" w:sz="0" w:space="0" w:color="auto"/>
        <w:bottom w:val="none" w:sz="0" w:space="0" w:color="auto"/>
        <w:right w:val="none" w:sz="0" w:space="0" w:color="auto"/>
      </w:divBdr>
    </w:div>
    <w:div w:id="228349185">
      <w:bodyDiv w:val="1"/>
      <w:marLeft w:val="0"/>
      <w:marRight w:val="0"/>
      <w:marTop w:val="0"/>
      <w:marBottom w:val="0"/>
      <w:divBdr>
        <w:top w:val="none" w:sz="0" w:space="0" w:color="auto"/>
        <w:left w:val="none" w:sz="0" w:space="0" w:color="auto"/>
        <w:bottom w:val="none" w:sz="0" w:space="0" w:color="auto"/>
        <w:right w:val="none" w:sz="0" w:space="0" w:color="auto"/>
      </w:divBdr>
    </w:div>
    <w:div w:id="426732968">
      <w:bodyDiv w:val="1"/>
      <w:marLeft w:val="0"/>
      <w:marRight w:val="0"/>
      <w:marTop w:val="0"/>
      <w:marBottom w:val="0"/>
      <w:divBdr>
        <w:top w:val="none" w:sz="0" w:space="0" w:color="auto"/>
        <w:left w:val="none" w:sz="0" w:space="0" w:color="auto"/>
        <w:bottom w:val="none" w:sz="0" w:space="0" w:color="auto"/>
        <w:right w:val="none" w:sz="0" w:space="0" w:color="auto"/>
      </w:divBdr>
    </w:div>
    <w:div w:id="520125068">
      <w:bodyDiv w:val="1"/>
      <w:marLeft w:val="0"/>
      <w:marRight w:val="0"/>
      <w:marTop w:val="0"/>
      <w:marBottom w:val="0"/>
      <w:divBdr>
        <w:top w:val="none" w:sz="0" w:space="0" w:color="auto"/>
        <w:left w:val="none" w:sz="0" w:space="0" w:color="auto"/>
        <w:bottom w:val="none" w:sz="0" w:space="0" w:color="auto"/>
        <w:right w:val="none" w:sz="0" w:space="0" w:color="auto"/>
      </w:divBdr>
    </w:div>
    <w:div w:id="525022808">
      <w:bodyDiv w:val="1"/>
      <w:marLeft w:val="0"/>
      <w:marRight w:val="0"/>
      <w:marTop w:val="0"/>
      <w:marBottom w:val="0"/>
      <w:divBdr>
        <w:top w:val="none" w:sz="0" w:space="0" w:color="auto"/>
        <w:left w:val="none" w:sz="0" w:space="0" w:color="auto"/>
        <w:bottom w:val="none" w:sz="0" w:space="0" w:color="auto"/>
        <w:right w:val="none" w:sz="0" w:space="0" w:color="auto"/>
      </w:divBdr>
    </w:div>
    <w:div w:id="781803078">
      <w:bodyDiv w:val="1"/>
      <w:marLeft w:val="0"/>
      <w:marRight w:val="0"/>
      <w:marTop w:val="0"/>
      <w:marBottom w:val="0"/>
      <w:divBdr>
        <w:top w:val="none" w:sz="0" w:space="0" w:color="auto"/>
        <w:left w:val="none" w:sz="0" w:space="0" w:color="auto"/>
        <w:bottom w:val="none" w:sz="0" w:space="0" w:color="auto"/>
        <w:right w:val="none" w:sz="0" w:space="0" w:color="auto"/>
      </w:divBdr>
    </w:div>
    <w:div w:id="793214516">
      <w:bodyDiv w:val="1"/>
      <w:marLeft w:val="0"/>
      <w:marRight w:val="0"/>
      <w:marTop w:val="0"/>
      <w:marBottom w:val="0"/>
      <w:divBdr>
        <w:top w:val="none" w:sz="0" w:space="0" w:color="auto"/>
        <w:left w:val="none" w:sz="0" w:space="0" w:color="auto"/>
        <w:bottom w:val="none" w:sz="0" w:space="0" w:color="auto"/>
        <w:right w:val="none" w:sz="0" w:space="0" w:color="auto"/>
      </w:divBdr>
    </w:div>
    <w:div w:id="974798344">
      <w:bodyDiv w:val="1"/>
      <w:marLeft w:val="0"/>
      <w:marRight w:val="0"/>
      <w:marTop w:val="0"/>
      <w:marBottom w:val="0"/>
      <w:divBdr>
        <w:top w:val="none" w:sz="0" w:space="0" w:color="auto"/>
        <w:left w:val="none" w:sz="0" w:space="0" w:color="auto"/>
        <w:bottom w:val="none" w:sz="0" w:space="0" w:color="auto"/>
        <w:right w:val="none" w:sz="0" w:space="0" w:color="auto"/>
      </w:divBdr>
    </w:div>
    <w:div w:id="1107119513">
      <w:bodyDiv w:val="1"/>
      <w:marLeft w:val="0"/>
      <w:marRight w:val="0"/>
      <w:marTop w:val="0"/>
      <w:marBottom w:val="0"/>
      <w:divBdr>
        <w:top w:val="none" w:sz="0" w:space="0" w:color="auto"/>
        <w:left w:val="none" w:sz="0" w:space="0" w:color="auto"/>
        <w:bottom w:val="none" w:sz="0" w:space="0" w:color="auto"/>
        <w:right w:val="none" w:sz="0" w:space="0" w:color="auto"/>
      </w:divBdr>
    </w:div>
    <w:div w:id="1117213230">
      <w:bodyDiv w:val="1"/>
      <w:marLeft w:val="0"/>
      <w:marRight w:val="0"/>
      <w:marTop w:val="0"/>
      <w:marBottom w:val="0"/>
      <w:divBdr>
        <w:top w:val="none" w:sz="0" w:space="0" w:color="auto"/>
        <w:left w:val="none" w:sz="0" w:space="0" w:color="auto"/>
        <w:bottom w:val="none" w:sz="0" w:space="0" w:color="auto"/>
        <w:right w:val="none" w:sz="0" w:space="0" w:color="auto"/>
      </w:divBdr>
    </w:div>
    <w:div w:id="1120998936">
      <w:bodyDiv w:val="1"/>
      <w:marLeft w:val="0"/>
      <w:marRight w:val="0"/>
      <w:marTop w:val="0"/>
      <w:marBottom w:val="0"/>
      <w:divBdr>
        <w:top w:val="none" w:sz="0" w:space="0" w:color="auto"/>
        <w:left w:val="none" w:sz="0" w:space="0" w:color="auto"/>
        <w:bottom w:val="none" w:sz="0" w:space="0" w:color="auto"/>
        <w:right w:val="none" w:sz="0" w:space="0" w:color="auto"/>
      </w:divBdr>
    </w:div>
    <w:div w:id="1139763172">
      <w:bodyDiv w:val="1"/>
      <w:marLeft w:val="0"/>
      <w:marRight w:val="0"/>
      <w:marTop w:val="0"/>
      <w:marBottom w:val="0"/>
      <w:divBdr>
        <w:top w:val="none" w:sz="0" w:space="0" w:color="auto"/>
        <w:left w:val="none" w:sz="0" w:space="0" w:color="auto"/>
        <w:bottom w:val="none" w:sz="0" w:space="0" w:color="auto"/>
        <w:right w:val="none" w:sz="0" w:space="0" w:color="auto"/>
      </w:divBdr>
    </w:div>
    <w:div w:id="1204319731">
      <w:bodyDiv w:val="1"/>
      <w:marLeft w:val="0"/>
      <w:marRight w:val="0"/>
      <w:marTop w:val="0"/>
      <w:marBottom w:val="0"/>
      <w:divBdr>
        <w:top w:val="none" w:sz="0" w:space="0" w:color="auto"/>
        <w:left w:val="none" w:sz="0" w:space="0" w:color="auto"/>
        <w:bottom w:val="none" w:sz="0" w:space="0" w:color="auto"/>
        <w:right w:val="none" w:sz="0" w:space="0" w:color="auto"/>
      </w:divBdr>
    </w:div>
    <w:div w:id="1214150788">
      <w:bodyDiv w:val="1"/>
      <w:marLeft w:val="0"/>
      <w:marRight w:val="0"/>
      <w:marTop w:val="0"/>
      <w:marBottom w:val="0"/>
      <w:divBdr>
        <w:top w:val="none" w:sz="0" w:space="0" w:color="auto"/>
        <w:left w:val="none" w:sz="0" w:space="0" w:color="auto"/>
        <w:bottom w:val="none" w:sz="0" w:space="0" w:color="auto"/>
        <w:right w:val="none" w:sz="0" w:space="0" w:color="auto"/>
      </w:divBdr>
    </w:div>
    <w:div w:id="1306810122">
      <w:bodyDiv w:val="1"/>
      <w:marLeft w:val="0"/>
      <w:marRight w:val="0"/>
      <w:marTop w:val="0"/>
      <w:marBottom w:val="0"/>
      <w:divBdr>
        <w:top w:val="none" w:sz="0" w:space="0" w:color="auto"/>
        <w:left w:val="none" w:sz="0" w:space="0" w:color="auto"/>
        <w:bottom w:val="none" w:sz="0" w:space="0" w:color="auto"/>
        <w:right w:val="none" w:sz="0" w:space="0" w:color="auto"/>
      </w:divBdr>
    </w:div>
    <w:div w:id="1482387924">
      <w:bodyDiv w:val="1"/>
      <w:marLeft w:val="0"/>
      <w:marRight w:val="0"/>
      <w:marTop w:val="0"/>
      <w:marBottom w:val="0"/>
      <w:divBdr>
        <w:top w:val="none" w:sz="0" w:space="0" w:color="auto"/>
        <w:left w:val="none" w:sz="0" w:space="0" w:color="auto"/>
        <w:bottom w:val="none" w:sz="0" w:space="0" w:color="auto"/>
        <w:right w:val="none" w:sz="0" w:space="0" w:color="auto"/>
      </w:divBdr>
    </w:div>
    <w:div w:id="1494296024">
      <w:bodyDiv w:val="1"/>
      <w:marLeft w:val="0"/>
      <w:marRight w:val="0"/>
      <w:marTop w:val="0"/>
      <w:marBottom w:val="0"/>
      <w:divBdr>
        <w:top w:val="none" w:sz="0" w:space="0" w:color="auto"/>
        <w:left w:val="none" w:sz="0" w:space="0" w:color="auto"/>
        <w:bottom w:val="none" w:sz="0" w:space="0" w:color="auto"/>
        <w:right w:val="none" w:sz="0" w:space="0" w:color="auto"/>
      </w:divBdr>
    </w:div>
    <w:div w:id="1577007972">
      <w:bodyDiv w:val="1"/>
      <w:marLeft w:val="0"/>
      <w:marRight w:val="0"/>
      <w:marTop w:val="0"/>
      <w:marBottom w:val="0"/>
      <w:divBdr>
        <w:top w:val="none" w:sz="0" w:space="0" w:color="auto"/>
        <w:left w:val="none" w:sz="0" w:space="0" w:color="auto"/>
        <w:bottom w:val="none" w:sz="0" w:space="0" w:color="auto"/>
        <w:right w:val="none" w:sz="0" w:space="0" w:color="auto"/>
      </w:divBdr>
    </w:div>
    <w:div w:id="1587152357">
      <w:bodyDiv w:val="1"/>
      <w:marLeft w:val="0"/>
      <w:marRight w:val="0"/>
      <w:marTop w:val="0"/>
      <w:marBottom w:val="0"/>
      <w:divBdr>
        <w:top w:val="none" w:sz="0" w:space="0" w:color="auto"/>
        <w:left w:val="none" w:sz="0" w:space="0" w:color="auto"/>
        <w:bottom w:val="none" w:sz="0" w:space="0" w:color="auto"/>
        <w:right w:val="none" w:sz="0" w:space="0" w:color="auto"/>
      </w:divBdr>
    </w:div>
    <w:div w:id="1773938068">
      <w:bodyDiv w:val="1"/>
      <w:marLeft w:val="0"/>
      <w:marRight w:val="0"/>
      <w:marTop w:val="0"/>
      <w:marBottom w:val="0"/>
      <w:divBdr>
        <w:top w:val="none" w:sz="0" w:space="0" w:color="auto"/>
        <w:left w:val="none" w:sz="0" w:space="0" w:color="auto"/>
        <w:bottom w:val="none" w:sz="0" w:space="0" w:color="auto"/>
        <w:right w:val="none" w:sz="0" w:space="0" w:color="auto"/>
      </w:divBdr>
    </w:div>
    <w:div w:id="1921793220">
      <w:bodyDiv w:val="1"/>
      <w:marLeft w:val="0"/>
      <w:marRight w:val="0"/>
      <w:marTop w:val="0"/>
      <w:marBottom w:val="0"/>
      <w:divBdr>
        <w:top w:val="none" w:sz="0" w:space="0" w:color="auto"/>
        <w:left w:val="none" w:sz="0" w:space="0" w:color="auto"/>
        <w:bottom w:val="none" w:sz="0" w:space="0" w:color="auto"/>
        <w:right w:val="none" w:sz="0" w:space="0" w:color="auto"/>
      </w:divBdr>
    </w:div>
    <w:div w:id="1956019118">
      <w:bodyDiv w:val="1"/>
      <w:marLeft w:val="0"/>
      <w:marRight w:val="0"/>
      <w:marTop w:val="0"/>
      <w:marBottom w:val="0"/>
      <w:divBdr>
        <w:top w:val="none" w:sz="0" w:space="0" w:color="auto"/>
        <w:left w:val="none" w:sz="0" w:space="0" w:color="auto"/>
        <w:bottom w:val="none" w:sz="0" w:space="0" w:color="auto"/>
        <w:right w:val="none" w:sz="0" w:space="0" w:color="auto"/>
      </w:divBdr>
    </w:div>
    <w:div w:id="2015910960">
      <w:bodyDiv w:val="1"/>
      <w:marLeft w:val="0"/>
      <w:marRight w:val="0"/>
      <w:marTop w:val="0"/>
      <w:marBottom w:val="0"/>
      <w:divBdr>
        <w:top w:val="none" w:sz="0" w:space="0" w:color="auto"/>
        <w:left w:val="none" w:sz="0" w:space="0" w:color="auto"/>
        <w:bottom w:val="none" w:sz="0" w:space="0" w:color="auto"/>
        <w:right w:val="none" w:sz="0" w:space="0" w:color="auto"/>
      </w:divBdr>
    </w:div>
    <w:div w:id="20410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hyperlink" Target="https://doi.org/10.1017/S1355770X17000250"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yperlink" Target="https://doi.org/10.1787/058ca239-en"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doi.org/10.1787/f79a75ab-en"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D6712DEE41081B4DBBA433D0B03F813E" ma:contentTypeVersion="194" ma:contentTypeDescription="" ma:contentTypeScope="" ma:versionID="df98214cff47e272742fec03c8fc3ad0">
  <xsd:schema xmlns:xsd="http://www.w3.org/2001/XMLSchema" xmlns:xs="http://www.w3.org/2001/XMLSchema" xmlns:p="http://schemas.microsoft.com/office/2006/metadata/properties" xmlns:ns1="http://schemas.microsoft.com/sharepoint/v3" xmlns:ns2="54c4cd27-f286-408f-9ce0-33c1e0f3ab39" xmlns:ns3="e36e4070-fdd8-494c-ae17-1a8cf14e7707" xmlns:ns4="ca82dde9-3436-4d3d-bddd-d31447390034" xmlns:ns5="7348197b-4e95-41c6-b270-341eaa4cbbb2" xmlns:ns6="c9f238dd-bb73-4aef-a7a5-d644ad823e52" xmlns:ns7="http://schemas.microsoft.com/sharepoint/v4" targetNamespace="http://schemas.microsoft.com/office/2006/metadata/properties" ma:root="true" ma:fieldsID="1c4691378bc955129995c1675e126a92" ns1:_="" ns2:_="" ns3:_="" ns4:_="" ns5:_="" ns6:_="" ns7:_="">
    <xsd:import namespace="http://schemas.microsoft.com/sharepoint/v3"/>
    <xsd:import namespace="54c4cd27-f286-408f-9ce0-33c1e0f3ab39"/>
    <xsd:import namespace="e36e4070-fdd8-494c-ae17-1a8cf14e7707"/>
    <xsd:import namespace="ca82dde9-3436-4d3d-bddd-d31447390034"/>
    <xsd:import namespace="7348197b-4e95-41c6-b270-341eaa4cbbb2"/>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Project_x003a_Project_x0020_status" minOccurs="0"/>
                <xsd:element ref="ns3:_dlc_DocIdPersistId" minOccurs="0"/>
                <xsd:element ref="ns2:OECDKimBussinessContext" minOccurs="0"/>
                <xsd:element ref="ns4:TaxCatchAll" minOccurs="0"/>
                <xsd:element ref="ns2:OECDKimProvenance" minOccurs="0"/>
                <xsd:element ref="ns3:_dlc_DocId" minOccurs="0"/>
                <xsd:element ref="ns7:IconOverlay" minOccurs="0"/>
                <xsd:element ref="ns5:n8655da54a064da182923cf6cbb46907" minOccurs="0"/>
                <xsd:element ref="ns4:TaxCatchAllLabel" minOccurs="0"/>
                <xsd:element ref="ns3:g1cb84c392954f02b97ef964d7fd5f94" minOccurs="0"/>
                <xsd:element ref="ns5:a5c695ec21c747a0bdb8a6375755520a" minOccurs="0"/>
                <xsd:element ref="ns1:DocumentSetDescription"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2: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KimStatus" ma:index="16"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BussinessContext" ma:index="30" nillable="true" ma:displayName="Kim business context" ma:description="" ma:hidden="true" ma:internalName="OECDKimBussinessContext">
      <xsd:simpleType>
        <xsd:restriction base="dms:Text"/>
      </xsd:simpleType>
    </xsd:element>
    <xsd:element name="OECDKimProvenance" ma:index="32" nillable="true" ma:displayName="Kim provenance" ma:description="" ma:hidden="true" ma:internalName="OECDKimProvenance">
      <xsd:simpleType>
        <xsd:restriction base="dms:Text">
          <xsd:maxLength value="255"/>
        </xsd:restriction>
      </xsd:simpleType>
    </xsd:element>
    <xsd:element name="OECDYear" ma:index="50"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e4070-fdd8-494c-ae17-1a8cf14e7707"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3" nillable="true" ma:displayName="Document ID" ma:description="" ma:hidden="true" ma:internalName="_dlc_DocId" ma:readOnly="true">
      <xsd:simpleType>
        <xsd:restriction base="dms:Text"/>
      </xsd:simpleType>
    </xsd:element>
    <xsd:element name="g1cb84c392954f02b97ef964d7fd5f94" ma:index="38" nillable="true" ma:taxonomy="true" ma:internalName="g1cb84c392954f02b97ef964d7fd5f94" ma:taxonomyFieldName="OECDHorizontalProjects" ma:displayName="Horizontal project" ma:readOnly="false" ma:default="" ma:fieldId="{01cb84c3-9295-4f02-b97e-f964d7fd5f94}"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5" nillable="true" ma:displayName="OECDHorizontalProjects_0" ma:description="" ma:hidden="true" ma:internalName="eShareHorizProjTaxHTField0">
      <xsd:simpleType>
        <xsd:restriction base="dms:Note"/>
      </xsd:simpleType>
    </xsd:element>
    <xsd:element name="OECDAllRelatedUsers" ma:index="48"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1" nillable="true" ma:displayName="Taxonomy Catch All Column" ma:hidden="true" ma:list="{e92eb940-6ce3-49f1-938f-e905cf32b7e4}" ma:internalName="TaxCatchAll" ma:showField="CatchAllData" ma:web="e36e4070-fdd8-494c-ae17-1a8cf14e7707">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e92eb940-6ce3-49f1-938f-e905cf32b7e4}" ma:internalName="TaxCatchAllLabel" ma:readOnly="true" ma:showField="CatchAllDataLabel" ma:web="e36e4070-fdd8-494c-ae17-1a8cf14e77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48197b-4e95-41c6-b270-341eaa4cbbb2"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79d7b38c-e11d-4327-b506-f1b1b5675f7d" ma:internalName="OECDProjectLookup" ma:readOnly="false" ma:showField="OECDShortProjectName" ma:web="7348197b-4e95-41c6-b270-341eaa4cbbb2">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79d7b38c-e11d-4327-b506-f1b1b5675f7d"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Project_x003a_Project_x0020_status" ma:index="25" nillable="true" ma:displayName="Project:Project status" ma:hidden="true" ma:list="79d7b38c-e11d-4327-b506-f1b1b5675f7d" ma:internalName="Project_x003A_Project_x0020_status" ma:readOnly="true" ma:showField="OECDProjectStatus" ma:web="7348197b-4e95-41c6-b270-341eaa4cbbb2">
      <xsd:simpleType>
        <xsd:restriction base="dms:Lookup"/>
      </xsd:simpleType>
    </xsd:element>
    <xsd:element name="n8655da54a064da182923cf6cbb46907" ma:index="35" nillable="true" ma:displayName="Deliverable partners_0" ma:hidden="true" ma:internalName="n8655da54a064da182923cf6cbb46907">
      <xsd:simpleType>
        <xsd:restriction base="dms:Note"/>
      </xsd:simpleType>
    </xsd:element>
    <xsd:element name="a5c695ec21c747a0bdb8a6375755520a" ma:index="39" nillable="true" ma:taxonomy="true" ma:internalName="a5c695ec21c747a0bdb8a6375755520a" ma:taxonomyFieldName="OECDProjectOwnerStructure" ma:displayName="Project owner" ma:readOnly="false" ma:default="" ma:fieldId="a5c695ec-21c7-47a0-bdb8-a6375755520a"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2" nillable="true" ma:displayName="O.N.E Document Sharing Status" ma:description="" ma:hidden="true" ma:internalName="OECDSharingStatus">
      <xsd:simpleType>
        <xsd:restriction base="dms:Text"/>
      </xsd:simpleType>
    </xsd:element>
    <xsd:element name="OECDCommunityDocumentURL" ma:index="43" nillable="true" ma:displayName="O.N.E Community Document URL" ma:description="" ma:hidden="true" ma:internalName="OECDCommunityDocumentURL">
      <xsd:simpleType>
        <xsd:restriction base="dms:Text"/>
      </xsd:simpleType>
    </xsd:element>
    <xsd:element name="OECDCommunityDocumentID" ma:index="44" nillable="true" ma:displayName="O.N.E Community Document ID" ma:decimals="0" ma:description="" ma:hidden="true" ma:internalName="OECDCommunityDocumentID">
      <xsd:simpleType>
        <xsd:restriction base="dms:Number"/>
      </xsd:simpleType>
    </xsd:element>
    <xsd:element name="SharedWithUsers" ma:index="4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oecd-en.xsl" StyleName="OECD English" Version="20180227">
  <b:Source>
    <b:Tag>Mendeley_mb0Dx3AzFjKiyJmxb3c_FQ</b:Tag>
    <b:SourceType>JournalArticle</b:SourceType>
    <b:Guid>{C703BD99-3370-3216-A2C8-99B16F773F15}</b:Guid>
    <b:Title>Concepts of national competitiveness</b:Title>
    <b:Year>2008</b:Year>
    <b:Author>
      <b:Author>
        <b:NameList>
          <b:Person>
            <b:Last>Berger</b:Last>
            <b:First>Thomas</b:First>
          </b:Person>
        </b:NameList>
      </b:Author>
    </b:Author>
    <b:Volume>9</b:Volume>
    <b:BookTitle>Journal of International Business and Economy</b:BookTitle>
    <b:Pages>91-111</b:Pages>
    <b:JournalName>Journal of International Business and Economy</b:JournalName>
    <b:URL>http://www.i-jibe.org/achive/2008spring/5-Berger.pdf</b:URL>
    <b:Issue>1</b:Issue>
    <b:LCID>en-US</b:LCID>
    <b:Version>Mendeley</b:Version>
    <b:RefOrder>1</b:RefOrder>
  </b:Source>
  <b:Source>
    <b:Tag>Mendeley_Xc___SJmveT2F6Czo5oI2QQ</b:Tag>
    <b:SourceType>JournalArticle</b:SourceType>
    <b:Guid>{48FECF5D-AF99-3D79-85E8-2CE8E6823641}</b:Guid>
    <b:Title>Dynamic Climate Policy Under Firm Relocation: The Implications of Phasing Out Free Allowances</b:Title>
    <b:Year>2019</b:Year>
    <b:Publisher>Springer Netherlands</b:Publisher>
    <b:Author>
      <b:Author>
        <b:NameList>
          <b:Person>
            <b:Last>Nachtigall</b:Last>
            <b:First>Daniel</b:First>
          </b:Person>
        </b:NameList>
      </b:Author>
    </b:Author>
    <b:BookTitle>Environmental and Resource Economics</b:BookTitle>
    <b:Pages>1-31</b:Pages>
    <b:JournalName>Environmental and Resource Economics</b:JournalName>
    <b:DOI>10.1007/s10640-019-00326-x</b:DOI>
    <b:LCID>en-US</b:LCID>
    <b:Version>Mendeley</b:Version>
    <b:RefOrder>2</b:RefOrder>
  </b:Source>
  <b:Source>
    <b:Tag>Mendeley_7Xh12puN8DqXkt_2UBjYgQ</b:Tag>
    <b:SourceType>Book</b:SourceType>
    <b:Guid>{DA7578ED-8D9B-3AF0-9792-DFF65018D881}</b:Guid>
    <b:Title>Effective carbon rates: Pricing CO2 through Taxes and Emissions Trading Systems.</b:Title>
    <b:Year>2018</b:Year>
    <b:Publisher>OECD Publishing, Paris</b:Publisher>
    <b:Author>
      <b:Author>
        <b:NameList>
          <b:Person>
            <b:Last>OECD</b:Last>
          </b:Person>
        </b:NameList>
      </b:Author>
    </b:Author>
    <b:YearAccessed>2018</b:YearAccessed>
    <b:MonthAccessed>08</b:MonthAccessed>
    <b:DayAccessed>03</b:DayAccessed>
    <b:LCID>en-US</b:LCID>
    <b:Version>Mendeley</b:Version>
    <b:RefOrder>3</b:RefOrder>
  </b:Source>
  <b:Source>
    <b:Tag>Mendeley___4Mk_HJgqD__dNDGvrXR5aA</b:Tag>
    <b:SourceType>Book</b:SourceType>
    <b:Guid>{FC2483FB-6072-3FA8-9D34-31AFAD747968}</b:Guid>
    <b:Title>State and Trends of Carbon Pricing 2018</b:Title>
    <b:Year>2018</b:Year>
    <b:Publisher>Washington, DC: World Bank</b:Publisher>
    <b:Author>
      <b:Author>
        <b:NameList>
          <b:Person>
            <b:Last>World Bank</b:Last>
          </b:Person>
          <b:Person>
            <b:Last>Ecofys</b:Last>
          </b:Person>
        </b:NameList>
      </b:Author>
    </b:Author>
    <b:StandardNumber>978-1-4648-1292-7</b:StandardNumber>
    <b:DOI>10.1596/978-1-4648-1292-7</b:DOI>
    <b:LCID>en-US</b:LCID>
    <b:Version>Mendeley</b:Version>
    <b:RefOrder>6</b:RefOrder>
  </b:Source>
  <b:Source>
    <b:Tag>Mendeley_G1cnAeAtyzeXF51lUNiV1Q</b:Tag>
    <b:SourceType>JournalArticle</b:SourceType>
    <b:Guid>{0127571B-2DE0-37CB-9717-9D6550D895D5}</b:Guid>
    <b:Title>The impacts of environmental regulations on competitiveness</b:Title>
    <b:Year>2017</b:Year>
    <b:Author>
      <b:Author>
        <b:NameList>
          <b:Person>
            <b:Last>Dechezleprêtre</b:Last>
            <b:First>Antoine</b:First>
          </b:Person>
          <b:Person>
            <b:Last>Sato</b:Last>
            <b:First>Misato</b:First>
          </b:Person>
        </b:NameList>
      </b:Author>
    </b:Author>
    <b:BookTitle>Review of Environmental Economics and Policy</b:BookTitle>
    <b:StandardNumber>00223808</b:StandardNumber>
    <b:JournalName>Review of Environmental Economics and Policy</b:JournalName>
    <b:DOI>10.1093/reep/rex013</b:DOI>
    <b:LCID>en-US</b:LCID>
    <b:Version>Mendeley</b:Version>
    <b:RefOrder>4</b:RefOrder>
  </b:Source>
  <b:Source>
    <b:Tag>Mendeley_HqRXfOqvujGtu6qAGFxScw</b:Tag>
    <b:SourceType>JournalArticle</b:SourceType>
    <b:Guid>{7C57A41E-AFEA-31BA-ADBB-AA80185C5273}</b:Guid>
    <b:Title>The Problem of Social Cost</b:Title>
    <b:Year>1960</b:Year>
    <b:Publisher>The University of Chicago PressThe Booth School of Business, University of ChicagoThe University of Chicago Law School</b:Publisher>
    <b:Author>
      <b:Author>
        <b:NameList>
          <b:Person>
            <b:Last>Coase</b:Last>
            <b:First>R. H.</b:First>
          </b:Person>
        </b:NameList>
      </b:Author>
    </b:Author>
    <b:Volume>3</b:Volume>
    <b:BookTitle>The Journal of Law &amp; Economics</b:BookTitle>
    <b:Pages>1-44</b:Pages>
    <b:JournalName>The Journal of Law &amp; Economics</b:JournalName>
    <b:DOI>10.2307/724810</b:DOI>
    <b:LCID>en-US</b:LCID>
    <b:Version>Mendeley</b:Version>
    <b:RefOrder>8</b:RefOrder>
  </b:Source>
  <b:Source>
    <b:Tag>Mendeley_6tGL8GKqET6HvRy0LVsZyg</b:Tag>
    <b:SourceType>JournalArticle</b:SourceType>
    <b:Guid>{F08BD1EA-AA62-3E11-87BD-1CB42D5B19CA}</b:Guid>
    <b:Title>The effect of allocation above emissions and price uncertainty on abatement investments under the EU ETS</b:Title>
    <b:Year>2016</b:Year>
    <b:Publisher>Elsevier Ltd</b:Publisher>
    <b:Author>
      <b:Author>
        <b:NameList>
          <b:Person>
            <b:Last>Venmans</b:Last>
            <b:First>Frank Maarten Jan</b:First>
          </b:Person>
        </b:NameList>
      </b:Author>
    </b:Author>
    <b:Volume>126</b:Volume>
    <b:BookTitle>Journal of Cleaner Production</b:BookTitle>
    <b:Pages>595-606</b:Pages>
    <b:JournalName>Journal of Cleaner Production</b:JournalName>
    <b:DOI>10.1016/j.jclepro.2016.02.108</b:DOI>
    <b:LCID>en-US</b:LCID>
    <b:Version>Mendeley</b:Version>
    <b:RefOrder>9</b:RefOrder>
  </b:Source>
  <b:Source>
    <b:Tag>Mendeley_qpZILlOZeTGPcwR6MNtgQw</b:Tag>
    <b:SourceType>JournalArticle</b:SourceType>
    <b:Guid>{2E4896AA-9953-3179-8F73-047A30DB6043}</b:Guid>
    <b:Title>The impact of the European Union emissions trading scheme on regulated firms: What is the evidence after ten years?</b:Title>
    <b:Year>2016</b:Year>
    <b:Author>
      <b:Author>
        <b:NameList>
          <b:Person>
            <b:Last>Martin</b:Last>
            <b:First>Ralf</b:First>
          </b:Person>
          <b:Person>
            <b:Last>Muûls</b:Last>
            <b:First>Mirabelle</b:First>
          </b:Person>
          <b:Person>
            <b:Last>Wagner</b:Last>
            <b:First>Ulrich J.</b:First>
          </b:Person>
        </b:NameList>
      </b:Author>
    </b:Author>
    <b:BookTitle>Review of Environmental Economics and Policy</b:BookTitle>
    <b:JournalName>Review of Environmental Economics and Policy</b:JournalName>
    <b:DOI>10.1093/reep/rev016</b:DOI>
    <b:LCID>en-US</b:LCID>
    <b:Version>Mendeley</b:Version>
    <b:RefOrder>7</b:RefOrder>
  </b:Source>
  <b:Source>
    <b:Tag>Mendeley_M6MUMUy7TD6N_WMl7qb36Q</b:Tag>
    <b:SourceType>Book</b:SourceType>
    <b:Guid>{3114A333-BB4C-3E4C-8DFD-6325EEA6F7E9}</b:Guid>
    <b:Title>2011/278/EU: Commission Decision of 27 April 2011 determining transitional Union-wide rules for harmonised free allocation of emission allowances pursuant to Article 10a of Directive 2003/87/EC of the European Parliament and of the Council</b:Title>
    <b:Year>2011</b:Year>
    <b:Author>
      <b:Author>
        <b:NameList>
          <b:Person>
            <b:Last>European Commission</b:Last>
          </b:Person>
        </b:NameList>
      </b:Author>
    </b:Author>
    <b:URL>https://publications.europa.eu/en/publication-detail/-/publication/25d79153-02b6-4370-974c-2a45baf79167</b:URL>
    <b:LCID>en-US</b:LCID>
    <b:Version>Mendeley</b:Version>
    <b:RefOrder>10</b:RefOrder>
  </b:Source>
  <b:Source>
    <b:Tag>Mendeley_PhxJv0RTdDuokk2ZaPE4gA</b:Tag>
    <b:SourceType>JournalArticle</b:SourceType>
    <b:Guid>{BF491C3E-5344-3B74-A892-4D9968F13880}</b:Guid>
    <b:Title>The impact of the EU ETS on electricity prices - Final report to DG Environment of the European Commission</b:Title>
    <b:Year>2008</b:Year>
    <b:Author>
      <b:Author>
        <b:NameList>
          <b:Person>
            <b:Last>Sijm</b:Last>
            <b:First>Jos</b:First>
          </b:Person>
          <b:Person>
            <b:Last>Hers</b:Last>
            <b:First>S J</b:First>
          </b:Person>
          <b:Person>
            <b:Last>Lise</b:Last>
            <b:First>W</b:First>
          </b:Person>
          <b:Person>
            <b:Last>Wetzelaer</b:Last>
            <b:First>B.J.H.W.</b:First>
          </b:Person>
        </b:NameList>
      </b:Author>
    </b:Author>
    <b:BookTitle>Energy Research Centre of the Netherlands</b:BookTitle>
    <b:JournalName>Energy Research Centre of the Netherlands</b:JournalName>
    <b:LCID>en-US</b:LCID>
    <b:Version>Mendeley</b:Version>
    <b:RefOrder>11</b:RefOrder>
  </b:Source>
  <b:Source>
    <b:Tag>Mendeley_VhdEsz7YoTexVSgvb0aLoQ</b:Tag>
    <b:SourceType>Book</b:SourceType>
    <b:Guid>{B3441756-D83E-37A1-B155-282F6F468BA1}</b:Guid>
    <b:Title>Guidelines on certain State aid measures in the context of the greenhouse gas emission allowance trading scheme post-2012</b:Title>
    <b:Year>2012</b:Year>
    <b:Author>
      <b:Author>
        <b:NameList>
          <b:Person>
            <b:Last>European Commission</b:Last>
          </b:Person>
        </b:NameList>
      </b:Author>
    </b:Author>
    <b:LCID>en-US</b:LCID>
    <b:Version>Mendeley</b:Version>
    <b:RefOrder>12</b:RefOrder>
  </b:Source>
  <b:Source>
    <b:Tag>Mendeley_j_KlOnHvcz2dejTTlV5y9w</b:Tag>
    <b:SourceType>Book</b:SourceType>
    <b:Guid>{3AA5F28F-EF71-3D73-9D7A-34D3955E72F7}</b:Guid>
    <b:Title>Report on the functioning of the European carbon market</b:Title>
    <b:Year>2018</b:Year>
    <b:Author>
      <b:Author>
        <b:NameList>
          <b:Person>
            <b:Last>European Commission</b:Last>
          </b:Person>
        </b:NameList>
      </b:Author>
    </b:Author>
    <b:LCID>en-US</b:LCID>
    <b:Version>Mendeley</b:Version>
    <b:RefOrder>13</b:RefOrder>
  </b:Source>
  <b:Source>
    <b:Tag>Mendeley_Fzftmm7FojaO0Pc8oup__tQ</b:Tag>
    <b:SourceType>JournalArticle</b:SourceType>
    <b:Guid>{9AED3717-C56E-36A2-8ED0-F73CA2EA7EB5}</b:Guid>
    <b:Title>Grandfathering, auctioning and Carbon Leakage: Assessing the inconsistencies of the new ETS Directive</b:Title>
    <b:Year>2010</b:Year>
    <b:Author>
      <b:Author>
        <b:NameList>
          <b:Person>
            <b:Last>Clò</b:Last>
            <b:First>Stefano</b:First>
          </b:Person>
        </b:NameList>
      </b:Author>
    </b:Author>
    <b:Volume>38</b:Volume>
    <b:BookTitle>Energy Policy</b:BookTitle>
    <b:Pages>2420-2430</b:Pages>
    <b:JournalName>Energy Policy</b:JournalName>
    <b:DOI>10.1016/j.enpol.2009.12.035</b:DOI>
    <b:Issue>5</b:Issue>
    <b:LCID>en-US</b:LCID>
    <b:Version>Mendeley</b:Version>
    <b:RefOrder>14</b:RefOrder>
  </b:Source>
  <b:Source>
    <b:Tag>Mendeley_BXIxQRUMfT2pk5kOhX8tEg</b:Tag>
    <b:SourceType>JournalArticle</b:SourceType>
    <b:Guid>{41317205-0C15-3D7D-A993-990E857F2D12}</b:Guid>
    <b:Title>The Porter Hypothesis at 20: Can Environmental Regulation Enhance Innovation and Competitiveness?</b:Title>
    <b:Year>2013</b:Year>
    <b:Author>
      <b:Author>
        <b:NameList>
          <b:Person>
            <b:Last>Ambec</b:Last>
            <b:First>Stefan</b:First>
          </b:Person>
          <b:Person>
            <b:Last>Cohen</b:Last>
            <b:First>Mark A</b:First>
          </b:Person>
          <b:Person>
            <b:Last>Elgie</b:Last>
            <b:First>Stewart</b:First>
          </b:Person>
        </b:NameList>
      </b:Author>
    </b:Author>
    <b:Volume>7</b:Volume>
    <b:BookTitle>Review of Environmental Economics and Policy</b:BookTitle>
    <b:Pages>104-115</b:Pages>
    <b:JournalName>Review of Environmental Economics and Policy</b:JournalName>
    <b:Issue>1</b:Issue>
    <b:LCID>en-US</b:LCID>
    <b:Version>Mendeley</b:Version>
    <b:RefOrder>15</b:RefOrder>
  </b:Source>
  <b:Source>
    <b:Tag>Mendeley_IcCvQtfRZjOfUvM__dEhutA</b:Tag>
    <b:SourceType>JournalArticle</b:SourceType>
    <b:Guid>{42AFC021-D1D7-3366-9F52-F33E74486EB4}</b:Guid>
    <b:Title>Toward a new conception of the environment-competitiveness relationship</b:Title>
    <b:Year>1995</b:Year>
    <b:Author>
      <b:Author>
        <b:NameList>
          <b:Person>
            <b:Last>Porter</b:Last>
            <b:First>Michael E</b:First>
          </b:Person>
          <b:Person>
            <b:Last>van der Linde</b:Last>
            <b:First>Claas</b:First>
          </b:Person>
        </b:NameList>
      </b:Author>
    </b:Author>
    <b:Volume>9</b:Volume>
    <b:BookTitle>Journal of Economic perspectives</b:BookTitle>
    <b:Pages>97-118</b:Pages>
    <b:JournalName>Journal of Economic perspectives</b:JournalName>
    <b:Issue>4</b:Issue>
    <b:LCID>en-US</b:LCID>
    <b:Version>Mendeley</b:Version>
    <b:RefOrder>16</b:RefOrder>
  </b:Source>
  <b:Source>
    <b:Tag>Mendeley_t3CJ1ActWjKc3m5NJVXYjw</b:Tag>
    <b:SourceType>JournalArticle</b:SourceType>
    <b:Guid>{D48970B7-2D07-325A-9CDE-6E4D2555D88F}</b:Guid>
    <b:Title>The Impact of Environmental Regulation on Firm and Country Competitiveness: A Meta-Analysis of the Porter Hypothesis</b:Title>
    <b:Year>2018</b:Year>
    <b:Author>
      <b:Author>
        <b:NameList>
          <b:Person>
            <b:Last>Cohen</b:Last>
            <b:First>Mark A</b:First>
          </b:Person>
          <b:Person>
            <b:Last>Tubb</b:Last>
            <b:First>Adeline</b:First>
          </b:Person>
        </b:NameList>
      </b:Author>
    </b:Author>
    <b:Volume>5</b:Volume>
    <b:BookTitle>Journal of the Association of Environmental and Resource Economists</b:BookTitle>
    <b:Pages>371-399</b:Pages>
    <b:JournalName>Journal of the Association of Environmental and Resource Economists</b:JournalName>
    <b:DOI>10.2139/ssrn.2692919</b:DOI>
    <b:Issue>2</b:Issue>
    <b:LCID>en-US</b:LCID>
    <b:Version>Mendeley</b:Version>
    <b:RefOrder>17</b:RefOrder>
  </b:Source>
  <b:Source>
    <b:Tag>Mendeley_HH__ez7ZuajOOs_OmTiHYTA</b:Tag>
    <b:SourceType>JournalArticle</b:SourceType>
    <b:Guid>{CF9E7F1C-6EB6-336A-8EB3-F3A64E21D84C}</b:Guid>
    <b:Title>The Impacts of Unilateral Climate Policy on Competitiveness: Evidence From Computable General Equilibrium Models</b:Title>
    <b:Year>2017</b:Year>
    <b:Publisher>Narnia</b:Publisher>
    <b:Author>
      <b:Author>
        <b:NameList>
          <b:Person>
            <b:Last>Carbone</b:Last>
            <b:First>Jared C.</b:First>
          </b:Person>
          <b:Person>
            <b:Last>Rivers</b:Last>
            <b:First>Nicholas</b:First>
          </b:Person>
        </b:NameList>
      </b:Author>
    </b:Author>
    <b:Volume>11</b:Volume>
    <b:BookTitle>Review of Environmental Economics and Policy</b:BookTitle>
    <b:Pages>24-42</b:Pages>
    <b:JournalName>Review of Environmental Economics and Policy</b:JournalName>
    <b:DOI>10.1093/reep/rew025</b:DOI>
    <b:Issue>1</b:Issue>
    <b:LCID>en-US</b:LCID>
    <b:Version>Mendeley</b:Version>
    <b:RefOrder>18</b:RefOrder>
  </b:Source>
  <b:Source>
    <b:Tag>Mendeley_80fUdhh8kDep8qG__NnoAFg</b:Tag>
    <b:SourceType>JournalArticle</b:SourceType>
    <b:Guid>{76D447F3-7C18-3790-A9F2-A1BE367A0016}</b:Guid>
    <b:Title>Does the EU ETS cause carbon leakage in European manufacturing?</b:Title>
    <b:Year>2019</b:Year>
    <b:Publisher>Elsevier Inc.</b:Publisher>
    <b:Author>
      <b:Author>
        <b:NameList>
          <b:Person>
            <b:Last>Naegele</b:Last>
            <b:First>Helene</b:First>
          </b:Person>
          <b:Person>
            <b:Last>Zaklan</b:Last>
            <b:First>Aleksandar</b:First>
          </b:Person>
        </b:NameList>
      </b:Author>
    </b:Author>
    <b:Volume>93</b:Volume>
    <b:BookTitle>Journal of Environmental Economics and Management</b:BookTitle>
    <b:Pages>125-147</b:Pages>
    <b:JournalName>Journal of Environmental Economics and Management</b:JournalName>
    <b:DOI>10.1016/j.jeem.2018.11.004</b:DOI>
    <b:LCID>en-US</b:LCID>
    <b:Version>Mendeley</b:Version>
    <b:RefOrder>19</b:RefOrder>
  </b:Source>
  <b:Source>
    <b:Tag>Mendeley_VhVfd5CIzzWLIFiDe_sRSw</b:Tag>
    <b:SourceType>JournalArticle</b:SourceType>
    <b:Guid>{775F1556-8890-35CF-8B20-58837BFB114B}</b:Guid>
    <b:Title>Searching for carbon leaks in multinational companies</b:Title>
    <b:Year>2014</b:Year>
    <b:Author>
      <b:Author>
        <b:NameList>
          <b:Person>
            <b:Last>Dechezleprêtre</b:Last>
            <b:First>Antoine</b:First>
          </b:Person>
          <b:Person>
            <b:Last>Gennaioli</b:Last>
            <b:First>Caterina</b:First>
          </b:Person>
          <b:Person>
            <b:Last>Martin</b:Last>
            <b:First>Ralf</b:First>
          </b:Person>
          <b:Person>
            <b:Last>Muûls</b:Last>
            <b:First>Mirabelle</b:First>
          </b:Person>
          <b:Person>
            <b:Last>Dechezleprˆ</b:Last>
            <b:First>Antoine</b:First>
          </b:Person>
          <b:Person>
            <b:Last>Gennaioli</b:Last>
            <b:First>Caterina</b:First>
          </b:Person>
          <b:Person>
            <b:Last>Martin</b:Last>
            <b:First>Ralf</b:First>
          </b:Person>
        </b:NameList>
      </b:Author>
    </b:Author>
    <b:BookTitle>Working Paper 165, Grantham Research Institute on Climate Change and the Environment.</b:BookTitle>
    <b:JournalName>Working Paper 165, Grantham Research Institute on Climate Change and the Environment.</b:JournalName>
    <b:LCID>en-US</b:LCID>
    <b:Version>Mendeley</b:Version>
    <b:RefOrder>20</b:RefOrder>
  </b:Source>
  <b:Source>
    <b:Tag>Mendeley_LiDQ0IagRT22f7vjt5_aLQ</b:Tag>
    <b:SourceType>JournalArticle</b:SourceType>
    <b:Guid>{D0D0202E-A086-3D45-B67F-BBE3B79FDA2D}</b:Guid>
    <b:Title>Climate policy and carbon leakage, Impacts of the European Emissions Trading Scheme on aluminium</b:Title>
    <b:Year>2008</b:Year>
    <b:Author>
      <b:Author>
        <b:NameList>
          <b:Person>
            <b:Last>Reinaud</b:Last>
            <b:First>Julia</b:First>
          </b:Person>
        </b:NameList>
      </b:Author>
    </b:Author>
    <b:BookTitle>IEA Information paper</b:BookTitle>
    <b:JournalName>IEA Information paper</b:JournalName>
    <b:LCID>en-US</b:LCID>
    <b:Version>Mendeley</b:Version>
    <b:RefOrder>21</b:RefOrder>
  </b:Source>
  <b:Source>
    <b:Tag>Mendeley_fMp3bnzK5jOBnJRtlFcdxg</b:Tag>
    <b:SourceType>JournalArticle</b:SourceType>
    <b:Guid>{6E77CA7C-CA7C-33E6-819C-946D94571DC6}</b:Guid>
    <b:Title>Carbon Leakage in the Primary Aluminium Sector: What evidence after 6 ½ years of the EU ETS?</b:Title>
    <b:Year>2012</b:Year>
    <b:Author>
      <b:Author>
        <b:NameList>
          <b:Person>
            <b:Last>Sartor</b:Last>
            <b:First>Olivier</b:First>
          </b:Person>
        </b:NameList>
      </b:Author>
    </b:Author>
    <b:BookTitle>CDC Climat Research Working Paper 2012-12, CDC Climat Reserach</b:BookTitle>
    <b:Pages>1-20</b:Pages>
    <b:JournalName>CDC Climat Research Working Paper 2012-12, CDC Climat Reserach</b:JournalName>
    <b:LCID>en-US</b:LCID>
    <b:Version>Mendeley</b:Version>
    <b:RefOrder>22</b:RefOrder>
  </b:Source>
  <b:Source>
    <b:Tag>Mendeley_NPZPiNvTjjmz_BqIeedt7Q</b:Tag>
    <b:SourceType>JournalArticle</b:SourceType>
    <b:Guid>{884FF634-D3DB-398E-B3FC-1A8879E76DED}</b:Guid>
    <b:Title>Analysis of Carbon Leakage under Phase III of the EU Emissions Trading System : Trading Patterns in the Cement and Aluminium sectors</b:Title>
    <b:Year>2018</b:Year>
    <b:Author>
      <b:Author>
        <b:NameList>
          <b:Person>
            <b:Last>Healy</b:Last>
            <b:First>Sean</b:First>
          </b:Person>
          <b:Person>
            <b:Last>Schumacher</b:Last>
            <b:First>Katja</b:First>
          </b:Person>
          <b:Person>
            <b:Last>Eichhammer</b:Last>
            <b:First>Wolfgang</b:First>
          </b:Person>
        </b:NameList>
      </b:Author>
    </b:Author>
    <b:Volume>11</b:Volume>
    <b:BookTitle>Energies</b:BookTitle>
    <b:JournalName>Energies</b:JournalName>
    <b:DOI>10.3390/en11051231</b:DOI>
    <b:Issue>1231</b:Issue>
    <b:LCID>en-US</b:LCID>
    <b:Version>Mendeley</b:Version>
    <b:RefOrder>23</b:RefOrder>
  </b:Source>
  <b:Source>
    <b:Tag>Mendeley_RxmCagTEWDS9mg4fnbMrCg</b:Tag>
    <b:SourceType>JournalArticle</b:SourceType>
    <b:Guid>{6A821947-C404-3458-BD9A-0E1F9DB32B0A}</b:Guid>
    <b:Title>Carbon leakage and competitiveness of cement and steel industries under the EU ETS : much ado about nothing T</b:Title>
    <b:Year>2014</b:Year>
    <b:Author>
      <b:Author>
        <b:NameList>
          <b:Person>
            <b:Last>Branger</b:Last>
            <b:First>Frédéric</b:First>
          </b:Person>
          <b:Person>
            <b:Last>Quirion</b:Last>
            <b:First>Philippe</b:First>
          </b:Person>
          <b:Person>
            <b:Last>Chevallier</b:Last>
            <b:First>Julien</b:First>
          </b:Person>
        </b:NameList>
      </b:Author>
    </b:Author>
    <b:Volume>37</b:Volume>
    <b:BookTitle>The Energy Journal</b:BookTitle>
    <b:Pages>109-135</b:Pages>
    <b:JournalName>The Energy Journal</b:JournalName>
    <b:Issue>3</b:Issue>
    <b:LCID>en-US</b:LCID>
    <b:Version>Mendeley</b:Version>
    <b:RefOrder>24</b:RefOrder>
  </b:Source>
  <b:Source>
    <b:Tag>Mendeley_z8fcql39LDW5VGKOhCU64w</b:Tag>
    <b:SourceType>JournalArticle</b:SourceType>
    <b:Guid>{AADCC7CF-FD5D-352C-B954-628E84253AE3}</b:Guid>
    <b:Title>The impact of carbon trading on industry: Evidence from German manufacturing firms</b:Title>
    <b:Year>2014</b:Year>
    <b:Author>
      <b:Author>
        <b:NameList>
          <b:Person>
            <b:Last>Petrick</b:Last>
            <b:First>Sebastian</b:First>
          </b:Person>
          <b:Person>
            <b:Last>Wagner</b:Last>
            <b:First>Ulrich J</b:First>
          </b:Person>
        </b:NameList>
      </b:Author>
    </b:Author>
    <b:BookTitle>Kiel Working Paper, No. 1912</b:BookTitle>
    <b:JournalName>Kiel Working Paper, No. 1912</b:JournalName>
    <b:LCID>en-US</b:LCID>
    <b:Version>Mendeley</b:Version>
    <b:RefOrder>25</b:RefOrder>
  </b:Source>
  <b:Source>
    <b:Tag>Mendeley_W6n9V4K7hD29obMqVcLQxQ</b:Tag>
    <b:SourceType>JournalArticle</b:SourceType>
    <b:Guid>{57FDA95B-BB82-3D84-BDA1-B32A55C2D0C5}</b:Guid>
    <b:Title>EU Emissions Trading Scheme , competitiveness and carbon leakage : new evidence from cement and steel industries</b:Title>
    <b:Year>2017</b:Year>
    <b:Publisher>Springer US</b:Publisher>
    <b:Author>
      <b:Author>
        <b:NameList>
          <b:Person>
            <b:Last>Boutabba</b:Last>
            <b:First>Mohamed Amine</b:First>
          </b:Person>
          <b:Person>
            <b:Last>Lardic</b:Last>
            <b:First>Sandrine</b:First>
          </b:Person>
        </b:NameList>
      </b:Author>
    </b:Author>
    <b:Volume>255</b:Volume>
    <b:BookTitle>Annals of Operations Research</b:BookTitle>
    <b:Pages>47-61</b:Pages>
    <b:JournalName>Annals of Operations Research</b:JournalName>
    <b:DOI>10.1007/s10479-016-2246-9</b:DOI>
    <b:Issue>1</b:Issue>
    <b:LCID>en-US</b:LCID>
    <b:Version>Mendeley</b:Version>
    <b:RefOrder>26</b:RefOrder>
  </b:Source>
  <b:Source>
    <b:Tag>Mendeley_0wvl0baW2T63cRp7TtgL6w</b:Tag>
    <b:SourceType>JournalArticle</b:SourceType>
    <b:Guid>{D1E50BD3-96B6-3ED9-B771-1A7B4ED80BEB}</b:Guid>
    <b:Title>The Competitiveness Impacts of Climate Change Mitigation Policies</b:Title>
    <b:Year>2015</b:Year>
    <b:Author>
      <b:Author>
        <b:NameList>
          <b:Person>
            <b:Last>Aldy</b:Last>
            <b:First>Joseph E</b:First>
          </b:Person>
          <b:Person>
            <b:Last>Pizer</b:Last>
            <b:First>William A</b:First>
          </b:Person>
        </b:NameList>
      </b:Author>
    </b:Author>
    <b:Volume>2</b:Volume>
    <b:BookTitle>Journal of the Association of Environmental and Resource Economists</b:BookTitle>
    <b:Pages>565-595</b:Pages>
    <b:JournalName>Journal of the Association of Environmental and Resource Economists</b:JournalName>
    <b:URL>http://www.nber.org/papers/w17705</b:URL>
    <b:Issue>4</b:Issue>
    <b:LCID>en-US</b:LCID>
    <b:Version>Mendeley</b:Version>
    <b:RefOrder>27</b:RefOrder>
  </b:Source>
  <b:Source>
    <b:Tag>Mendeley_l0ZASEkFmjqABMUx6P3_EA</b:Tag>
    <b:SourceType>JournalArticle</b:SourceType>
    <b:Guid>{48404697-0549-3A9A-8004-C531E8FDFF10}</b:Guid>
    <b:Title>Outward Foreign Direct Investments Patterns of Italian Firms in the EU ETS</b:Title>
    <b:Year>2018</b:Year>
    <b:Author>
      <b:Author>
        <b:NameList>
          <b:Person>
            <b:Last>Borghesi</b:Last>
            <b:First>Simone</b:First>
          </b:Person>
          <b:Person>
            <b:Last>Franco</b:Last>
            <b:First>Chiara</b:First>
          </b:Person>
          <b:Person>
            <b:Last>Marin</b:Last>
            <b:First>Giovanni</b:First>
          </b:Person>
        </b:NameList>
      </b:Author>
    </b:Author>
    <b:Volume>in press</b:Volume>
    <b:BookTitle>The Scandinavian Journal of Economics</b:BookTitle>
    <b:JournalName>The Scandinavian Journal of Economics</b:JournalName>
    <b:DOI>10.1111/sjoe.12323</b:DOI>
    <b:LCID>en-US</b:LCID>
    <b:Version>Mendeley</b:Version>
    <b:RefOrder>28</b:RefOrder>
  </b:Source>
  <b:Source>
    <b:Tag>Mendeley_pxEbO9nRLzeHQBgVIwD2TQ</b:Tag>
    <b:SourceType>JournalArticle</b:SourceType>
    <b:Guid>{3B1B11A7-D1D9-372F-8740-18152300F64D}</b:Guid>
    <b:Title>European climate policy and industrial relocation: Evidence from German multinational firms</b:Title>
    <b:Year>2016</b:Year>
    <b:Author>
      <b:Author>
        <b:NameList>
          <b:Person>
            <b:Last>Koch</b:Last>
            <b:First>Nicolas</b:First>
          </b:Person>
          <b:Person>
            <b:Last>Basse Mama</b:Last>
            <b:First>Houdou</b:First>
          </b:Person>
        </b:NameList>
      </b:Author>
    </b:Author>
    <b:BookTitle>SSRN working paper</b:BookTitle>
    <b:JournalName>SSRN working paper</b:JournalName>
    <b:URL>https://papers.ssrn.com/sol3/papers.cfm?abstract_id=2868283</b:URL>
    <b:LCID>en-US</b:LCID>
    <b:Version>Mendeley</b:Version>
    <b:RefOrder>29</b:RefOrder>
  </b:Source>
  <b:Source>
    <b:Tag>Mendeley_YdPDUzQCjz__Rl0pJiBvZXQ</b:Tag>
    <b:SourceType>BookSection</b:SourceType>
    <b:Guid>{53C3D361-0234-3F8F-9197-4A49881BD95D}</b:Guid>
    <b:Title>Energy prices, environmental policies and investment - evidence from listed firms</b:Title>
    <b:Year>2017</b:Year>
    <b:Publisher>OECD, Paris</b:Publisher>
    <b:Author>
      <b:Author>
        <b:NameList>
          <b:Person>
            <b:Last>Dlugosch</b:Last>
            <b:First>Dennis</b:First>
          </b:Person>
          <b:Person>
            <b:Last>Kozluk</b:Last>
            <b:First>Tomasz</b:First>
          </b:Person>
        </b:NameList>
      </b:Author>
    </b:Author>
    <b:ChapterNumber>ECO/WKP(2017)10</b:ChapterNumber>
    <b:BookTitle>Economics Department Working Papers</b:BookTitle>
    <b:Medium>Working Paper</b:Medium>
    <b:LCID>en-US</b:LCID>
    <b:Version>Mendeley</b:Version>
    <b:RefOrder>30</b:RefOrder>
  </b:Source>
  <b:Source>
    <b:Tag>Mendeley_hC_VcrzvVTKj0Ju7SH11yA</b:Tag>
    <b:SourceType>BookSection</b:SourceType>
    <b:Guid>{72D52F84-EFBC-3255-A3D0-9BBB487D75C8}</b:Guid>
    <b:Title>Foreign Direct Investment and The Pollution Haven Hypothesis - Evidence from Listed Firms</b:Title>
    <b:Year>2017</b:Year>
    <b:Publisher>OECD, Paris</b:Publisher>
    <b:Author>
      <b:Author>
        <b:NameList>
          <b:Person>
            <b:Last>Garsous</b:Last>
            <b:First>Gregoire</b:First>
          </b:Person>
          <b:Person>
            <b:Last>Kozluk</b:Last>
            <b:First>Tomasz</b:First>
          </b:Person>
        </b:NameList>
      </b:Author>
    </b:Author>
    <b:ChapterNumber>ECO/WKP(2017)11</b:ChapterNumber>
    <b:BookTitle>Economics Department Working Papers</b:BookTitle>
    <b:Medium>Working Paper</b:Medium>
    <b:LCID>en-US</b:LCID>
    <b:Version>Mendeley</b:Version>
    <b:RefOrder>31</b:RefOrder>
  </b:Source>
  <b:Source>
    <b:Tag>Mendeley_l4PxfcKecT__tAyJTbnrvuw</b:Tag>
    <b:SourceType>JournalArticle</b:SourceType>
    <b:Guid>{7DF18397-9EC2-3F71-AD03-22536E7AEFBB}</b:Guid>
    <b:Title>The Impact of the European Emission Trading Scheme on Multiple Measures of Economic Performance</b:Title>
    <b:Year>2018</b:Year>
    <b:Author>
      <b:Author>
        <b:NameList>
          <b:Person>
            <b:Last>Marin</b:Last>
            <b:First>Giovanni</b:First>
          </b:Person>
          <b:Person>
            <b:Last>Marino</b:Last>
            <b:First>Marianna</b:First>
          </b:Person>
          <b:Person>
            <b:Last>Pellegrin</b:Last>
            <b:First>Claudia</b:First>
          </b:Person>
        </b:NameList>
      </b:Author>
    </b:Author>
    <b:Volume>71</b:Volume>
    <b:BookTitle>Environmental and Resource Economics</b:BookTitle>
    <b:Pages>551-582</b:Pages>
    <b:JournalName>Environmental and Resource Economics</b:JournalName>
    <b:DOI>10.1007/s10640-017-0173-0</b:DOI>
    <b:Issue>2</b:Issue>
    <b:LCID>en-US</b:LCID>
    <b:Version>Mendeley</b:Version>
    <b:RefOrder>32</b:RefOrder>
  </b:Source>
  <b:Source>
    <b:Tag>Mendeley_r7GOPnjkvzKwzRClONFBng</b:Tag>
    <b:SourceType>JournalArticle</b:SourceType>
    <b:Guid>{3E8EB1AF-E478-32BF-B0CD-10A538D1419E}</b:Guid>
    <b:Title>Climate Policy &amp; Corporate Behavior</b:Title>
    <b:Year>2011</b:Year>
    <b:Author>
      <b:Author>
        <b:NameList>
          <b:Person>
            <b:Last>Commins</b:Last>
            <b:First>Nicola</b:First>
          </b:Person>
          <b:Person>
            <b:Last>Lyons</b:Last>
            <b:First>Seán</b:First>
          </b:Person>
          <b:Person>
            <b:Last>Schiffbauer</b:Last>
            <b:First>Marc</b:First>
          </b:Person>
          <b:Person>
            <b:Last>Tol</b:Last>
            <b:First>Richard S J</b:First>
          </b:Person>
        </b:NameList>
      </b:Author>
    </b:Author>
    <b:Volume>32</b:Volume>
    <b:BookTitle>The Energy Journal</b:BookTitle>
    <b:Pages>51-68</b:Pages>
    <b:JournalName>The Energy Journal</b:JournalName>
    <b:DOI>10.5547/ISSN0195-6574-EJ-Vol32-No4-3</b:DOI>
    <b:Issue>4</b:Issue>
    <b:LCID>en-US</b:LCID>
    <b:Version>Mendeley</b:Version>
    <b:RefOrder>33</b:RefOrder>
  </b:Source>
  <b:Source>
    <b:Tag>Mendeley_aPpZX2DYRDun9GYGsp__JOQ</b:Tag>
    <b:SourceType>JournalArticle</b:SourceType>
    <b:Guid>{5F59FA68-D860-3B44-A7F4-6606B29F8939}</b:Guid>
    <b:Title>The Impact of European Carbon Market on Firm Productivity: Evidences from Italian Manufacturing Firms</b:Title>
    <b:Year>2018</b:Year>
    <b:Author>
      <b:Author>
        <b:NameList>
          <b:Person>
            <b:Last>Calligaris</b:Last>
            <b:First>Sara</b:First>
          </b:Person>
          <b:Person>
            <b:Last>Arcangelo</b:Last>
            <b:First>Filippo Maria D</b:First>
          </b:Person>
          <b:Person>
            <b:Last>Pavan</b:Last>
            <b:First>Giulia</b:First>
          </b:Person>
        </b:NameList>
      </b:Author>
    </b:Author>
    <b:BookTitle>Working paper</b:BookTitle>
    <b:JournalName>Working paper</b:JournalName>
    <b:LCID>en-US</b:LCID>
    <b:Version>Mendeley</b:Version>
    <b:RefOrder>34</b:RefOrder>
  </b:Source>
  <b:Source>
    <b:Tag>Mendeley_1x2JAbY8wTiUXYPAynkEjA</b:Tag>
    <b:SourceType>JournalArticle</b:SourceType>
    <b:Guid>{01891DD7-3CB6-38C1-945D-83C0CA79048C}</b:Guid>
    <b:Title>The impacts of the EU ETS on efficiency and economic performance – An empirical analyses for German manufacturing firms</b:Title>
    <b:Year>2018</b:Year>
    <b:Publisher>Elsevier B.V.</b:Publisher>
    <b:Author>
      <b:Author>
        <b:NameList>
          <b:Person>
            <b:Last>Löschel</b:Last>
            <b:First>Andreas</b:First>
          </b:Person>
          <b:Person>
            <b:Last>Lutz</b:Last>
            <b:First>Benjamin Johannes B J</b:First>
          </b:Person>
          <b:Person>
            <b:Last>Managi</b:Last>
            <b:First>Shunsuke</b:First>
          </b:Person>
        </b:NameList>
      </b:Author>
    </b:Author>
    <b:BookTitle>Resource and Energy Economics</b:BookTitle>
    <b:JournalName>Resource and Energy Economics</b:JournalName>
    <b:DOI>10.1016/j.reseneeco.2018.03.001</b:DOI>
    <b:LCID>en-US</b:LCID>
    <b:Version>Mendeley</b:Version>
    <b:RefOrder>35</b:RefOrder>
  </b:Source>
  <b:Source>
    <b:Tag>Mendeley_8twsVU8s3zWpVJtDGAg7qA</b:Tag>
    <b:SourceType>JournalArticle</b:SourceType>
    <b:Guid>{552CDCF2-2C4F-35DF-A954-9B4318083BA8}</b:Guid>
    <b:Title>The impacts of the EU ETS on Norwegian plants' environmental and economic performance</b:Title>
    <b:Year>2016</b:Year>
    <b:Author>
      <b:Author>
        <b:NameList>
          <b:Person>
            <b:Last>Klemetsen</b:Last>
            <b:First>M E</b:First>
          </b:Person>
          <b:Person>
            <b:Last>Rosendahl</b:Last>
            <b:First>K E</b:First>
          </b:Person>
          <b:Person>
            <b:Last>Jakobsen</b:Last>
            <b:First>A L</b:First>
          </b:Person>
        </b:NameList>
      </b:Author>
    </b:Author>
    <b:BookTitle>Discussion Papers No. 833, Statistics Norway, Research Department</b:BookTitle>
    <b:JournalName>Discussion Papers No. 833, Statistics Norway, Research Department</b:JournalName>
    <b:URL>https://brage.bibsys.no/xmlui/handle/11250/2570307</b:URL>
    <b:LCID>en-US</b:LCID>
    <b:Version>Mendeley</b:Version>
    <b:RefOrder>36</b:RefOrder>
  </b:Source>
  <b:Source>
    <b:Tag>Mendeley_p__SxY2xu3zOOJjK4oYriCg</b:Tag>
    <b:SourceType>JournalArticle</b:SourceType>
    <b:Guid>{63B1E4A7-6E6C-33DF-8E26-32B8A18AE20A}</b:Guid>
    <b:Title>Ex-post investigation of cost pass-through in the EU ETS, An analysis for six sectors</b:Title>
    <b:Year>2015</b:Year>
    <b:Author>
      <b:Author>
        <b:NameList>
          <b:Person>
            <b:Last>de Bruyn</b:Last>
            <b:First>S M</b:First>
          </b:Person>
          <b:Person>
            <b:Last>Vergeer</b:Last>
            <b:First>R</b:First>
          </b:Person>
          <b:Person>
            <b:Last>Schep</b:Last>
            <b:First>E</b:First>
          </b:Person>
          <b:Person>
            <b:Last>'t Hoen</b:Last>
            <b:First>M</b:First>
          </b:Person>
          <b:Person>
            <b:Last>Korteland</b:Last>
            <b:First>M</b:First>
          </b:Person>
          <b:Person>
            <b:Last>Cludius</b:Last>
            <b:First>J</b:First>
          </b:Person>
          <b:Person>
            <b:Last>Schumacher</b:Last>
            <b:First>K</b:First>
          </b:Person>
          <b:Person>
            <b:Last>Zell-Ziegler</b:Last>
            <b:First>C</b:First>
          </b:Person>
          <b:Person>
            <b:Last>Healy</b:Last>
            <b:First>S</b:First>
          </b:Person>
        </b:NameList>
      </b:Author>
    </b:Author>
    <b:BookTitle>Report to the European Union</b:BookTitle>
    <b:StandardNumber>9789279534034</b:StandardNumber>
    <b:JournalName>Report to the European Union</b:JournalName>
    <b:DOI>10.2834/612494</b:DOI>
    <b:LCID>en-US</b:LCID>
    <b:Version>Mendeley</b:Version>
    <b:RefOrder>37</b:RefOrder>
  </b:Source>
  <b:Source>
    <b:Tag>Mendeley_34QeFJr7TzC9fp7E9_XdpA</b:Tag>
    <b:SourceType>JournalArticle</b:SourceType>
    <b:Guid>{141E84DF-FB9A-304F-BD7E-9EC4F7F5DDA4}</b:Guid>
    <b:Title>Cost pass-through of the EU emissions allowances: Examining the European petroleum markets</b:Title>
    <b:Year>2011</b:Year>
    <b:Publisher>North-Holland</b:Publisher>
    <b:Author>
      <b:Author>
        <b:NameList>
          <b:Person>
            <b:Last>Alexeeva-Talebi</b:Last>
            <b:First>Victoria</b:First>
          </b:Person>
        </b:NameList>
      </b:Author>
    </b:Author>
    <b:Volume>33</b:Volume>
    <b:BookTitle>Energy Economics</b:BookTitle>
    <b:Pages>S75-S83</b:Pages>
    <b:JournalName>Energy Economics</b:JournalName>
    <b:DOI>10.1016/J.ENECO.2011.07.029</b:DOI>
    <b:LCID>en-US</b:LCID>
    <b:Version>Mendeley</b:Version>
    <b:RefOrder>38</b:RefOrder>
  </b:Source>
  <b:Source>
    <b:Tag>Mendeley_PcY51OhmeTKXONieHpmMmw</b:Tag>
    <b:SourceType>JournalArticle</b:SourceType>
    <b:Guid>{D439C63D-66E8-3279-9738-D89E1E998C9B}</b:Guid>
    <b:Title>The joint impact of the European Union emissions trading system on carbon emissions and economic performance</b:Title>
    <b:Year>2018</b:Year>
    <b:Author>
      <b:Author>
        <b:NameList>
          <b:Person>
            <b:Last>Dechezleprêtre</b:Last>
            <b:First>Antoine</b:First>
          </b:Person>
          <b:Person>
            <b:Last>Nachtigall</b:Last>
            <b:First>Daniel</b:First>
          </b:Person>
          <b:Person>
            <b:Last>Venmans</b:Last>
            <b:First>Frank</b:First>
          </b:Person>
        </b:NameList>
      </b:Author>
    </b:Author>
    <b:Volume>1515</b:Volume>
    <b:BookTitle>OECD Economics Department Working paper</b:BookTitle>
    <b:JournalName>OECD Economics Department Working paper</b:JournalName>
    <b:DOI>10.1787/18151973</b:DOI>
    <b:LCID>en-US</b:LCID>
    <b:Version>Mendeley</b:Version>
    <b:RefOrder>39</b:RefOrder>
  </b:Source>
  <b:Source>
    <b:Tag>Mendeley_gkEQXIsNWjuzGx9BgIjzoQ</b:Tag>
    <b:SourceType>JournalArticle</b:SourceType>
    <b:Guid>{5C104182-0D8B-3B5A-B31B-1F418088F3A1}</b:Guid>
    <b:Title>Assessing the impact of the EU ETS using firm level data</b:Title>
    <b:Year>2011</b:Year>
    <b:Author>
      <b:Author>
        <b:NameList>
          <b:Person>
            <b:Last>Abrell</b:Last>
            <b:First>Jan</b:First>
          </b:Person>
          <b:Person>
            <b:Last>Ndoye Faye</b:Last>
            <b:First>Anita</b:First>
          </b:Person>
          <b:Person>
            <b:Last>Zachmann</b:Last>
            <b:First>Georg</b:First>
          </b:Person>
        </b:NameList>
      </b:Author>
    </b:Author>
    <b:BookTitle>Bruegel Working Paper, No. 2011/08</b:BookTitle>
    <b:JournalName>Bruegel Working Paper, No. 2011/08</b:JournalName>
    <b:LCID>en-US</b:LCID>
    <b:Version>Mendeley</b:Version>
    <b:RefOrder>40</b:RefOrder>
  </b:Source>
  <b:Source>
    <b:Tag>Mendeley_5d76tiI3Ijeu8w4AGbLX5w</b:Tag>
    <b:SourceType>JournalArticle</b:SourceType>
    <b:Guid>{B6FADEE5-3722-3722-AEF3-0E0019B2D7E7}</b:Guid>
    <b:Title>Environmental Policy and Directed Technological Change: Evidence from the European Carbon Market</b:Title>
    <b:Year>2016</b:Year>
    <b:Publisher> The MIT Press </b:Publisher>
    <b:Author>
      <b:Author>
        <b:NameList>
          <b:Person>
            <b:Last>Calel</b:Last>
            <b:First>Raphael</b:First>
          </b:Person>
          <b:Person>
            <b:Last>Dechezleprêtre</b:Last>
            <b:First>Antoine</b:First>
          </b:Person>
        </b:NameList>
      </b:Author>
    </b:Author>
    <b:Volume>98</b:Volume>
    <b:BookTitle>Review of Economics and Statistics</b:BookTitle>
    <b:Pages>173-191</b:Pages>
    <b:JournalName>Review of Economics and Statistics</b:JournalName>
    <b:DOI>10.1162/REST_a_00470</b:DOI>
    <b:Issue>1</b:Issue>
    <b:LCID>en-US</b:LCID>
    <b:Version>Mendeley</b:Version>
    <b:RefOrder>41</b:RefOrder>
  </b:Source>
  <b:Source>
    <b:Tag>Mendeley_jk074zum4zWzKnd1xkEqow</b:Tag>
    <b:SourceType>JournalArticle</b:SourceType>
    <b:Guid>{E33B4D8E-A63B-35E3-B32A-7775C6412AA3}</b:Guid>
    <b:Title>Carbon Pricing Induces Innovation: Evidence from China's Regional Carbon Market Pilots</b:Title>
    <b:Year>2018</b:Year>
    <b:Author>
      <b:Author>
        <b:NameList>
          <b:Person>
            <b:Last>Cui</b:Last>
            <b:First>Jingbo</b:First>
          </b:Person>
          <b:Person>
            <b:Last>Zhang</b:Last>
            <b:First>Junjie</b:First>
          </b:Person>
          <b:Person>
            <b:Last>Zheng</b:Last>
            <b:First>Yang</b:First>
          </b:Person>
        </b:NameList>
      </b:Author>
    </b:Author>
    <b:Volume>108</b:Volume>
    <b:BookTitle>AEA Papers and Proceedings</b:BookTitle>
    <b:Pages>453-457</b:Pages>
    <b:JournalName>AEA Papers and Proceedings</b:JournalName>
    <b:DOI>10.1257/pandp.20181027</b:DOI>
    <b:LCID>en-US</b:LCID>
    <b:Version>Mendeley</b:Version>
    <b:RefOrder>42</b:RefOrder>
  </b:Source>
  <b:Source>
    <b:Tag>Mendeley_uLv26aXYVjq5dVFQYJDmnA</b:Tag>
    <b:SourceType>JournalArticle</b:SourceType>
    <b:Guid>{E9F6BBB8-D8A5-3A56-B975-51506090E69C}</b:Guid>
    <b:Title>The impact of energy prices on green innovation</b:Title>
    <b:Year>2016</b:Year>
    <b:Author>
      <b:Author>
        <b:NameList>
          <b:Person>
            <b:Last>Ley</b:Last>
            <b:First>Marius</b:First>
          </b:Person>
          <b:Person>
            <b:Last>Stucki</b:Last>
            <b:First>Tobias</b:First>
          </b:Person>
          <b:Person>
            <b:Last>Woerter</b:Last>
            <b:First>Martin</b:First>
          </b:Person>
        </b:NameList>
      </b:Author>
    </b:Author>
    <b:Volume>37</b:Volume>
    <b:BookTitle>The Energy Journal</b:BookTitle>
    <b:Pages>41-75</b:Pages>
    <b:JournalName>The Energy Journal</b:JournalName>
    <b:DOI>10.2991/icemet-16.2016.77</b:DOI>
    <b:Issue>1</b:Issue>
    <b:LCID>en-US</b:LCID>
    <b:Version>Mendeley</b:Version>
    <b:RefOrder>43</b:RefOrder>
  </b:Source>
  <b:Source>
    <b:Tag>Mendeley_d7b3RFBniTuIS1wKt2PJKA</b:Tag>
    <b:SourceType>JournalArticle</b:SourceType>
    <b:Guid>{44F7B677-6750-3B89-884B-5C0AB763C928}</b:Guid>
    <b:Title>Carbon Taxes, Path Dependency and Directed Technical Change: Evidence from the Auto Industry</b:Title>
    <b:Year>2016</b:Year>
    <b:Author>
      <b:Author>
        <b:NameList>
          <b:Person>
            <b:Last>Aghion</b:Last>
            <b:First>Philippe</b:First>
          </b:Person>
          <b:Person>
            <b:Last>Dechezleprêtre</b:Last>
            <b:First>Antoine</b:First>
          </b:Person>
          <b:Person>
            <b:Last>Hémous</b:Last>
            <b:First>David</b:First>
          </b:Person>
          <b:Person>
            <b:Last>Martin</b:Last>
            <b:First>Ralf</b:First>
          </b:Person>
          <b:Person>
            <b:Last>Van Reenen</b:Last>
            <b:First>John</b:First>
          </b:Person>
        </b:NameList>
      </b:Author>
    </b:Author>
    <b:Volume>124</b:Volume>
    <b:BookTitle>Journal of Political Economy</b:BookTitle>
    <b:Pages>1-51</b:Pages>
    <b:JournalName>Journal of Political Economy</b:JournalName>
    <b:DOI>10.2139/ssrn.2202047</b:DOI>
    <b:Issue>1</b:Issue>
    <b:LCID>en-US</b:LCID>
    <b:Version>Mendeley</b:Version>
    <b:RefOrder>44</b:RefOrder>
  </b:Source>
  <b:Source>
    <b:Tag>Mendeley__YIXjtf03j6AgISvNA3BFQ</b:Tag>
    <b:SourceType>JournalArticle</b:SourceType>
    <b:Guid>{8E1782FD-F4D7-3EDE-8080-84AF340DC115}</b:Guid>
    <b:Title>Experimental Tests of the Endowmend Effect and the Coase Theorem</b:Title>
    <b:Year>1990</b:Year>
    <b:Author>
      <b:Author>
        <b:NameList>
          <b:Person>
            <b:Last>Kahneman</b:Last>
            <b:First>Daniel</b:First>
          </b:Person>
          <b:Person>
            <b:Last>Knetsch</b:Last>
            <b:First>Jack L</b:First>
          </b:Person>
          <b:Person>
            <b:Last>Thaler</b:Last>
            <b:First>Richard H</b:First>
          </b:Person>
        </b:NameList>
      </b:Author>
    </b:Author>
    <b:Volume>98</b:Volume>
    <b:BookTitle>The Journal of Political Economy</b:BookTitle>
    <b:Pages>1325-1348</b:Pages>
    <b:JournalName>The Journal of Political Economy</b:JournalName>
    <b:DOI>10.1086/261737</b:DOI>
    <b:Issue>6</b:Issue>
    <b:LCID>en-US</b:LCID>
    <b:Version>Mendeley</b:Version>
    <b:RefOrder>45</b:RefOrder>
  </b:Source>
  <b:Source>
    <b:Tag>Mendeley_9pLD__AqAGT6xBen1P4wd4Q</b:Tag>
    <b:SourceType>JournalArticle</b:SourceType>
    <b:Guid>{F8C392F6-800A-3E19-B105-E9F53F8C1DE1}</b:Guid>
    <b:Title>Leakage in regional environmental policy: The case of the regional greenhouse gas initiative</b:Title>
    <b:Year>2018</b:Year>
    <b:Publisher>Academic Press</b:Publisher>
    <b:Author>
      <b:Author>
        <b:NameList>
          <b:Person>
            <b:Last>Fell</b:Last>
            <b:First>Harrison</b:First>
          </b:Person>
          <b:Person>
            <b:Last>Maniloff</b:Last>
            <b:First>Peter</b:First>
          </b:Person>
        </b:NameList>
      </b:Author>
    </b:Author>
    <b:Volume>87</b:Volume>
    <b:BookTitle>Journal of Environmental Economics and Management</b:BookTitle>
    <b:Pages>1-23</b:Pages>
    <b:JournalName>Journal of Environmental Economics and Management</b:JournalName>
    <b:DOI>10.1016/J.JEEM.2017.10.007</b:DOI>
    <b:LCID>en-US</b:LCID>
    <b:Version>Mendeley</b:Version>
    <b:RefOrder>46</b:RefOrder>
  </b:Source>
  <b:Source>
    <b:Tag>Mendeley_kUKY8szrETiYRGPyi1V24A</b:Tag>
    <b:SourceType>JournalArticle</b:SourceType>
    <b:Guid>{F2984291-EBCC-3811-9844-63F28B5576E0}</b:Guid>
    <b:Title>Capital market response to emission allowance prices: a multivariate GARCH approach</b:Title>
    <b:Year>2015</b:Year>
    <b:Author>
      <b:Author>
        <b:NameList>
          <b:Person>
            <b:Last>Venmans</b:Last>
            <b:First>F</b:First>
          </b:Person>
        </b:NameList>
      </b:Author>
    </b:Author>
    <b:Volume>17</b:Volume>
    <b:BookTitle>Environmental Economics and Policy Studies</b:BookTitle>
    <b:StandardNumber>1432847X</b:StandardNumber>
    <b:JournalName>Environmental Economics and Policy Studies</b:JournalName>
    <b:DOI>10.1007/s10018-015-0105-6</b:DOI>
    <b:Issue>4</b:Issue>
    <b:LCID>en-US</b:LCID>
    <b:Version>Mendeley</b:Version>
    <b:RefOrder>47</b:RefOrder>
  </b:Source>
  <b:Source>
    <b:Tag>Mendeley_Y5sXgZ0UDzasvPW0MOaXPg</b:Tag>
    <b:SourceType>JournalArticle</b:SourceType>
    <b:Guid>{81179B63-149D-360F-ACBC-F5B430E6973E}</b:Guid>
    <b:Title>Firm-specific impacts of CO2 prices on the stock market value of the Spanish power industry</b:Title>
    <b:Year>2016</b:Year>
    <b:Publisher>Elsevier</b:Publisher>
    <b:Author>
      <b:Author>
        <b:NameList>
          <b:Person>
            <b:Last>Pereira da Silva</b:Last>
            <b:First>Patricia</b:First>
          </b:Person>
          <b:Person>
            <b:Last>Moreno</b:Last>
            <b:First>Blanca</b:First>
          </b:Person>
          <b:Person>
            <b:Last>Carvalho</b:Last>
            <b:First>Nuno</b:First>
          </b:Person>
        </b:NameList>
      </b:Author>
    </b:Author>
    <b:Volume>94</b:Volume>
    <b:BookTitle>Energy Policy</b:BookTitle>
    <b:Pages>492-501</b:Pages>
    <b:JournalName>Energy Policy</b:JournalName>
    <b:DOI>10.1016/j.enpol.2016.01.005</b:DOI>
    <b:LCID>en-US</b:LCID>
    <b:Version>Mendeley</b:Version>
    <b:RefOrder>48</b:RefOrder>
  </b:Source>
  <b:Source>
    <b:Tag>Mendeley_tEZWIjs8EDOZwUeZuGmfrw</b:Tag>
    <b:SourceType>JournalArticle</b:SourceType>
    <b:Guid>{225646B4-3C3B-3310-99C1-4799B8699FAF}</b:Guid>
    <b:Title>How do Spanish polluting sectors ' stock market returns react to European Union allowances prices ? A panel data approach</b:Title>
    <b:Year>2016</b:Year>
    <b:Publisher>Elsevier Ltd</b:Publisher>
    <b:Author>
      <b:Author>
        <b:NameList>
          <b:Person>
            <b:Last>Moreno</b:Last>
            <b:First>Blanca</b:First>
          </b:Person>
          <b:Person>
            <b:Last>Pereira da Silva</b:Last>
            <b:First>Patrícia</b:First>
          </b:Person>
        </b:NameList>
      </b:Author>
    </b:Author>
    <b:Volume>103</b:Volume>
    <b:BookTitle>Energy</b:BookTitle>
    <b:Pages>240-250</b:Pages>
    <b:JournalName>Energy</b:JournalName>
    <b:DOI>10.1016/j.energy.2016.02.094</b:DOI>
    <b:LCID>en-US</b:LCID>
    <b:Version>Mendeley</b:Version>
    <b:RefOrder>49</b:RefOrder>
  </b:Source>
  <b:Source>
    <b:Tag>Mendeley_NY9XtGd6sT__rVRG6wiqFlg</b:Tag>
    <b:SourceType>JournalArticle</b:SourceType>
    <b:Guid>{B4578F35-7A67-3FB1-AB55-11BAC22A8596}</b:Guid>
    <b:Title>EU Emission Allowances and the stock market : Evidence from the electricity industry</b:Title>
    <b:Year>2008</b:Year>
    <b:Publisher>Elsevier B.V.</b:Publisher>
    <b:Author>
      <b:Author>
        <b:NameList>
          <b:Person>
            <b:Last>Oberndorfer</b:Last>
            <b:First>Ulrich</b:First>
          </b:Person>
        </b:NameList>
      </b:Author>
    </b:Author>
    <b:Volume>68</b:Volume>
    <b:BookTitle>Ecological Economics</b:BookTitle>
    <b:Pages>1116-1126</b:Pages>
    <b:JournalName>Ecological Economics</b:JournalName>
    <b:DOI>10.1016/j.ecolecon.2008.07.026</b:DOI>
    <b:Issue>4</b:Issue>
    <b:LCID>en-US</b:LCID>
    <b:Version>Mendeley</b:Version>
    <b:RefOrder>50</b:RefOrder>
  </b:Source>
  <b:Source>
    <b:Tag>Mendeley_SprOAv3XhjSxM7dvhWBIaw</b:Tag>
    <b:SourceType>JournalArticle</b:SourceType>
    <b:Guid>{02CE9A4A-D7FD-3486-B133-B76F8560486B}</b:Guid>
    <b:Title>Capital market response to emission rights returns : Evidence from the European power sector</b:Title>
    <b:Year>2009</b:Year>
    <b:Publisher>Elsevier B.V.</b:Publisher>
    <b:Author>
      <b:Author>
        <b:NameList>
          <b:Person>
            <b:Last>Veith</b:Last>
            <b:First>Stefan</b:First>
          </b:Person>
          <b:Person>
            <b:Last>Werner</b:Last>
            <b:First>Jörg R</b:First>
          </b:Person>
          <b:Person>
            <b:Last>Zimmermann</b:Last>
            <b:First>Jochen</b:First>
          </b:Person>
        </b:NameList>
      </b:Author>
    </b:Author>
    <b:Volume>31</b:Volume>
    <b:BookTitle>Energy Economics</b:BookTitle>
    <b:Pages>605-613</b:Pages>
    <b:JournalName>Energy Economics</b:JournalName>
    <b:DOI>10.1016/j.eneco.2009.01.004</b:DOI>
    <b:Issue>4</b:Issue>
    <b:LCID>en-US</b:LCID>
    <b:Version>Mendeley</b:Version>
    <b:RefOrder>51</b:RefOrder>
  </b:Source>
  <b:Source>
    <b:Tag>Mendeley_c4YIxuyT3TOnC97ZI7vDwQ</b:Tag>
    <b:SourceType>JournalArticle</b:SourceType>
    <b:Guid>{C6088673-93EC-33DD-A70B-DED923BBC3C1}</b:Guid>
    <b:Title>The impact of the EU ETS on the corporate value of European electricity corporations</b:Title>
    <b:Year>2012</b:Year>
    <b:Author>
      <b:Author>
        <b:NameList>
          <b:Person>
            <b:Last>Mo</b:Last>
            <b:First>J L</b:First>
          </b:Person>
          <b:Person>
            <b:Last>Zhu</b:Last>
            <b:First>L</b:First>
          </b:Person>
          <b:Person>
            <b:Last>Fan</b:Last>
            <b:First>Y</b:First>
          </b:Person>
        </b:NameList>
      </b:Author>
    </b:Author>
    <b:Volume>45</b:Volume>
    <b:BookTitle>Energy</b:BookTitle>
    <b:Pages>3-11</b:Pages>
    <b:JournalName>Energy</b:JournalName>
    <b:URL>https://www.sciencedirect.com/science/article/pii/S0360544212001326</b:URL>
    <b:LCID>en-US</b:LCID>
    <b:Version>Mendeley</b:Version>
    <b:RefOrder>52</b:RefOrder>
  </b:Source>
  <b:Source>
    <b:Tag>Mendeley_t5Axx1lNeDy8GTVveWWG8A</b:Tag>
    <b:SourceType>JournalArticle</b:SourceType>
    <b:Guid>{C73190B7-4D59-3C78-BC19-356F796586F0}</b:Guid>
    <b:Title>Does the carbon market help or hurt the stock price of electricity companies? Further evidence from the European context</b:Title>
    <b:Year>2016</b:Year>
    <b:Author>
      <b:Author>
        <b:NameList>
          <b:Person>
            <b:Last>Tian</b:Last>
            <b:First>Y</b:First>
          </b:Person>
          <b:Person>
            <b:Last>Akimov</b:Last>
            <b:First>A</b:First>
          </b:Person>
          <b:Person>
            <b:Last>Roca</b:Last>
            <b:First>E</b:First>
          </b:Person>
          <b:Person>
            <b:Last>Wong</b:Last>
            <b:First>V</b:First>
          </b:Person>
        </b:NameList>
      </b:Author>
    </b:Author>
    <b:Volume>112</b:Volume>
    <b:BookTitle>Journal of Cleaner Production</b:BookTitle>
    <b:Pages>1619-1626</b:Pages>
    <b:JournalName>Journal of Cleaner Production</b:JournalName>
    <b:URL>https://www.sciencedirect.com/science/article/pii/S0959652615009087</b:URL>
    <b:LCID>en-US</b:LCID>
    <b:Version>Mendeley</b:Version>
    <b:RefOrder>53</b:RefOrder>
  </b:Source>
  <b:Source>
    <b:Tag>Mendeley_Ba4QhhC9DD__vAtMNzoGDpg</b:Tag>
    <b:SourceType>JournalArticle</b:SourceType>
    <b:Guid>{8610AE05-BD10-3F0C-AF02-D30DCE8183A6}</b:Guid>
    <b:Title>The financial performance of firms participating in the EU emissions trading scheme</b:Title>
    <b:Year>2019</b:Year>
    <b:Publisher>Elsevier Ltd</b:Publisher>
    <b:Author>
      <b:Author>
        <b:NameList>
          <b:Person>
            <b:Last>Makridou</b:Last>
            <b:First>Georgia</b:First>
          </b:Person>
          <b:Person>
            <b:Last>Doumpos</b:Last>
            <b:First>Michalis</b:First>
          </b:Person>
          <b:Person>
            <b:Last>Galariotis</b:Last>
            <b:First>Emilios</b:First>
          </b:Person>
        </b:NameList>
      </b:Author>
    </b:Author>
    <b:Volume>129</b:Volume>
    <b:BookTitle>Energy Policy</b:BookTitle>
    <b:Pages>250-259</b:Pages>
    <b:Comments>A larger ratio of allocation of allowances to verified emissions (AF) is associated with lower profitability.
Energy efficiency can lead to higher profit</b:Comments>
    <b:JournalName>Energy Policy</b:JournalName>
    <b:DOI>10.1016/j.enpol.2019.02.026</b:DOI>
    <b:Issue>August 2018</b:Issue>
    <b:LCID>en-US</b:LCID>
    <b:Version>Mendeley</b:Version>
    <b:RefOrder>54</b:RefOrder>
  </b:Source>
  <b:Source>
    <b:Tag>Mendeley___CoBYj3bzDyu65atdKlt2Q</b:Tag>
    <b:SourceType>JournalArticle</b:SourceType>
    <b:Guid>{62012AF8-DB3D-3CCC-AEEB-96AD74A96DD9}</b:Guid>
    <b:Title>Can a carbon emission trading scheme generate the Porter effect ? Evidence from pilot areas in China</b:Title>
    <b:Year>2019</b:Year>
    <b:Publisher>Elsevier B.V.</b:Publisher>
    <b:Author>
      <b:Author>
        <b:NameList>
          <b:Person>
            <b:Last>Dong</b:Last>
            <b:First>Feng</b:First>
          </b:Person>
          <b:Person>
            <b:Last>Dai</b:Last>
            <b:First>Yuanju</b:First>
          </b:Person>
          <b:Person>
            <b:Last>Zhang</b:Last>
            <b:First>Shengnan</b:First>
          </b:Person>
          <b:Person>
            <b:Last>Zhang</b:Last>
            <b:First>Xiaoyun</b:First>
          </b:Person>
          <b:Person>
            <b:Last>Long</b:Last>
            <b:First>Ruyin</b:First>
          </b:Person>
        </b:NameList>
      </b:Author>
    </b:Author>
    <b:Volume>653</b:Volume>
    <b:BookTitle>Science of the Total Environment</b:BookTitle>
    <b:Pages>565-577</b:Pages>
    <b:JournalName>Science of the Total Environment</b:JournalName>
    <b:DOI>10.1016/j.scitotenv.2018.10.395</b:DOI>
    <b:LCID>en-US</b:LCID>
    <b:Version>Mendeley</b:Version>
    <b:RefOrder>55</b:RefOrder>
  </b:Source>
  <b:Source>
    <b:Tag>Mendeley_dvgaMzIrwDC2Nyxr__IO24g</b:Tag>
    <b:SourceType>JournalArticle</b:SourceType>
    <b:Guid>{331AF876-2B32-30C0-B637-2C6BF883B6E2}</b:Guid>
    <b:Title>Jobs and climate policy: Evidence from British Columbia's revenue-neutral carbon tax</b:Title>
    <b:Year>2017</b:Year>
    <b:Publisher>Elsevier Inc.</b:Publisher>
    <b:Author>
      <b:Author>
        <b:NameList>
          <b:Person>
            <b:Last>Yamazaki</b:Last>
            <b:First>Akio</b:First>
          </b:Person>
        </b:NameList>
      </b:Author>
    </b:Author>
    <b:Volume>83</b:Volume>
    <b:BookTitle>Journal of Environmental Economics and Management</b:BookTitle>
    <b:Pages>197-216</b:Pages>
    <b:JournalName>Journal of Environmental Economics and Management</b:JournalName>
    <b:DOI>10.1016/j.jeem.2017.03.003</b:DOI>
    <b:LCID>en-US</b:LCID>
    <b:Version>Mendeley</b:Version>
    <b:RefOrder>56</b:RefOrder>
  </b:Source>
  <b:Source>
    <b:Tag>Mendeley_01VFbBemODaLbyvayHEZ9A</b:Tag>
    <b:SourceType>JournalArticle</b:SourceType>
    <b:Guid>{6C4555D3-A617-3638-8B6F-2BDAC87119F4}</b:Guid>
    <b:Title>Emissions trading and productivity: Firm-level evidence from German manufacturing</b:Title>
    <b:Year>1016</b:Year>
    <b:Author>
      <b:Author>
        <b:NameList>
          <b:Person>
            <b:Last>Lutz</b:Last>
            <b:First>B</b:First>
          </b:Person>
        </b:NameList>
      </b:Author>
    </b:Author>
    <b:BookTitle>Discussion Paper 16-067, Centre for European Economic Research</b:BookTitle>
    <b:JournalName>Discussion Paper 16-067, Centre for European Economic Research</b:JournalName>
    <b:URL>https://papers.ssrn.com/sol3/papers.cfm?abstract_id=2850541</b:URL>
    <b:LCID>en-US</b:LCID>
    <b:Version>Mendeley</b:Version>
    <b:RefOrder>57</b:RefOrder>
  </b:Source>
  <b:Source>
    <b:Tag>Mendeley_SsmtbuMLwDOXsphhGGGSyA</b:Tag>
    <b:SourceType>JournalArticle</b:SourceType>
    <b:Guid>{6EADC94A-0BE3-33C0-97B2-9861186192C8}</b:Guid>
    <b:Title>Did the EU ETS make a difference? An empirical assessment using Lithuanian firm-level data</b:Title>
    <b:Year>2016</b:Year>
    <b:Author>
      <b:Author>
        <b:NameList>
          <b:Person>
            <b:Last>Jaraite</b:Last>
            <b:First>J</b:First>
          </b:Person>
          <b:Person>
            <b:Last>Di Maria</b:Last>
            <b:First>C</b:First>
          </b:Person>
        </b:NameList>
      </b:Author>
    </b:Author>
    <b:Volume>37</b:Volume>
    <b:BookTitle>The Energy Journal</b:BookTitle>
    <b:Pages>1-23</b:Pages>
    <b:JournalName>The Energy Journal</b:JournalName>
    <b:URL>https://papers.ssrn.com/sol3/papers.cfm?abstract_id=2382663</b:URL>
    <b:Issue>1</b:Issue>
    <b:LCID>en-US</b:LCID>
    <b:Version>Mendeley</b:Version>
    <b:RefOrder>58</b:RefOrder>
  </b:Source>
  <b:Source>
    <b:Tag>Mendeley_hin__TAL3MD__r4aCtfB3Esw</b:Tag>
    <b:SourceType>JournalArticle</b:SourceType>
    <b:Guid>{4CFE2986-F702-3F30-ABE1-A0AD7C1DC4B3}</b:Guid>
    <b:Title>Carbon prices and incentives for technological development</b:Title>
    <b:Year>2015</b:Year>
    <b:Author>
      <b:Author>
        <b:NameList>
          <b:Person>
            <b:Last>Lundgren</b:Last>
            <b:First>T</b:First>
          </b:Person>
          <b:Person>
            <b:Last>Marklund</b:Last>
            <b:First>P O</b:First>
          </b:Person>
          <b:Person>
            <b:Last>…</b:Last>
            <b:First>E Samakovlis</b:First>
          </b:Person>
        </b:NameList>
      </b:Author>
    </b:Author>
    <b:Volume>150</b:Volume>
    <b:BookTitle>Journal of Environmental Management</b:BookTitle>
    <b:Pages>393-403</b:Pages>
    <b:JournalName>Journal of Environmental Management</b:JournalName>
    <b:URL>https://www.sciencedirect.com/science/article/pii/S0301479714005921</b:URL>
    <b:LCID>en-US</b:LCID>
    <b:Version>Mendeley</b:Version>
    <b:RefOrder>59</b:RefOrder>
  </b:Source>
  <b:Source>
    <b:Tag>Mendeley_XR_MSqCP__zS3itixM7ecEQ</b:Tag>
    <b:SourceType>JournalArticle</b:SourceType>
    <b:Guid>{4ACC1F5D-8FA0-34FB-B78A-D8B133B79C11}</b:Guid>
    <b:Title>The Causal Effects of the European Union Emissions Trading Scheme : Evidence from French Manufacturing Plants</b:Title>
    <b:Year>2014</b:Year>
    <b:Author>
      <b:Author>
        <b:NameList>
          <b:Person>
            <b:Last>Wagner</b:Last>
            <b:First>Ulrich</b:First>
          </b:Person>
          <b:Person>
            <b:Last>Muûls</b:Last>
            <b:First>Mirabelle</b:First>
          </b:Person>
          <b:Person>
            <b:Last>Martin</b:Last>
            <b:First>Ralf</b:First>
          </b:Person>
          <b:Person>
            <b:Last>Colmer</b:Last>
            <b:First>Jonathan</b:First>
          </b:Person>
        </b:NameList>
      </b:Author>
    </b:Author>
    <b:LCID>en-US</b:LCID>
    <b:Version>Mendeley</b:Version>
    <b:RefOrder>60</b:RefOrder>
  </b:Source>
  <b:Source>
    <b:Tag>Mendeley_axrYHwL2aTeVk93BVzggYg</b:Tag>
    <b:SourceType>JournalArticle</b:SourceType>
    <b:Guid>{1FD81A6B-F602-3769-9593-DDC157382062}</b:Guid>
    <b:Title>The Impact of the EU ETS on Regulated Firms : What is the Evidence After Ten Years ?</b:Title>
    <b:Year>2016</b:Year>
    <b:Author>
      <b:Author>
        <b:NameList>
          <b:Person>
            <b:Last>Martin</b:Last>
            <b:First>Ralf</b:First>
          </b:Person>
          <b:Person>
            <b:Last>Muûls</b:Last>
            <b:First>Mirabelle</b:First>
          </b:Person>
          <b:Person>
            <b:Last>Wagner</b:Last>
            <b:First>Ulrich J</b:First>
          </b:Person>
        </b:NameList>
      </b:Author>
    </b:Author>
    <b:Volume>10</b:Volume>
    <b:BookTitle>Review of Environmental Economics and Policy</b:BookTitle>
    <b:Pages>129-148</b:Pages>
    <b:JournalName>Review of Environmental Economics and Policy</b:JournalName>
    <b:Issue>1</b:Issue>
    <b:LCID>en-US</b:LCID>
    <b:Version>Mendeley</b:Version>
    <b:RefOrder>5</b:RefOrder>
  </b:Source>
  <b:Source>
    <b:Tag>Mendeley_8PNZwmOL7DCkqE_y52CDoA</b:Tag>
    <b:SourceType>JournalArticle</b:SourceType>
    <b:Guid>{C259F3F0-8B63-30EC-A4A8-4FF2E76083A0}</b:Guid>
    <b:Title>Empirical evidence on the effects of environmental policy stringency on productivity growth</b:Title>
    <b:Year>2014</b:Year>
    <b:Author>
      <b:Author>
        <b:NameList>
          <b:Person>
            <b:Last>Albrizio</b:Last>
            <b:First>Silvia</b:First>
          </b:Person>
          <b:Person>
            <b:Last>Koźluk</b:Last>
            <b:First>Tomasz</b:First>
          </b:Person>
          <b:Person>
            <b:Last>Zipperer</b:Last>
            <b:First>Vera</b:First>
          </b:Person>
        </b:NameList>
      </b:Author>
    </b:Author>
    <b:BookTitle>OECD Economics Deparment Working Papers No. 1179</b:BookTitle>
    <b:JournalName>OECD Economics Deparment Working Papers No. 1179</b:JournalName>
    <b:LCID>en-US</b:LCID>
    <b:Version>Mendeley</b:Version>
    <b:RefOrder>61</b:RefOrder>
  </b:Source>
  <b:Source>
    <b:Tag>Mendeley_UJ2Ttd7OnzClSb5wCMYoCQ</b:Tag>
    <b:SourceType>JournalArticle</b:SourceType>
    <b:Guid>{B5939D50-CEDE-309F-A549-BE7008C62809}</b:Guid>
    <b:Title>Firm Competitiveness and the European Union Emissions Trading Scheme</b:Title>
    <b:Year>2013</b:Year>
    <b:Author>
      <b:Author>
        <b:NameList>
          <b:Person>
            <b:Last>Chan</b:Last>
            <b:First>Hei Sing (Ron)</b:First>
          </b:Person>
          <b:Person>
            <b:Last>Li</b:Last>
            <b:First>Shanjun</b:First>
          </b:Person>
          <b:Person>
            <b:Last>Zhang</b:Last>
            <b:First>Fan</b:First>
          </b:Person>
        </b:NameList>
      </b:Author>
    </b:Author>
    <b:Volume>63</b:Volume>
    <b:BookTitle>Energy Policy</b:BookTitle>
    <b:Pages>1056-1064</b:Pages>
    <b:JournalName>Energy Policy</b:JournalName>
    <b:LCID>en-US</b:LCID>
    <b:Version>Mendeley</b:Version>
    <b:RefOrder>62</b:RefOrder>
  </b:Source>
  <b:Source>
    <b:Tag>Mendeley_fAZwqIi__8jKwn5xLLbOoBQ</b:Tag>
    <b:SourceType>JournalArticle</b:SourceType>
    <b:Guid>{A870067C-BE88-32F2-B09F-9C4B2DB3A805}</b:Guid>
    <b:Title>Firm performance and employment in the EU emissions trading scheme : An empirical assessment for Germany</b:Title>
    <b:Year>2008</b:Year>
    <b:Author>
      <b:Author>
        <b:NameList>
          <b:Person>
            <b:Last>Anger</b:Last>
            <b:First>Niels</b:First>
          </b:Person>
          <b:Person>
            <b:Last>Oberndorfer</b:Last>
            <b:First>Ulrich</b:First>
          </b:Person>
        </b:NameList>
      </b:Author>
    </b:Author>
    <b:Volume>36</b:Volume>
    <b:BookTitle>Energy Policy</b:BookTitle>
    <b:Pages>12-22</b:Pages>
    <b:JournalName>Energy Policy</b:JournalName>
    <b:DOI>10.1016/j.enpol.2007.09.007</b:DOI>
    <b:Issue>36</b:Issue>
    <b:LCID>en-US</b:LCID>
    <b:Version>Mendeley</b:Version>
    <b:RefOrder>63</b:RefOrder>
  </b:Source>
  <b:Source>
    <b:Tag>Mendeley_E__hxBltBXz2eXKI2_cm3lw</b:Tag>
    <b:SourceType>JournalArticle</b:SourceType>
    <b:Guid>{0671E813-415B-3D5F-9E5C-A236FDC9B797}</b:Guid>
    <b:Title>The EU ETS and firm profits : an ex-post analysis for Swedish energy firms</b:Title>
    <b:Year>2013</b:Year>
    <b:Author>
      <b:Author>
        <b:NameList>
          <b:Person>
            <b:Last>Yu</b:Last>
            <b:First>Haishan</b:First>
          </b:Person>
        </b:NameList>
      </b:Author>
    </b:Author>
    <b:BookTitle>Environmental Economics</b:BookTitle>
    <b:JournalName>Environmental Economics</b:JournalName>
    <b:LCID>en-US</b:LCID>
    <b:Version>Mendeley</b:Version>
    <b:RefOrder>64</b:RefOrder>
  </b:Source>
  <b:Source>
    <b:Tag>CrossRef_oE0052prgEKr5yBpM6_PwA</b:Tag>
    <b:SourceType>JournalArticle</b:SourceType>
    <b:Title>Dynamic Climate Policy Under Firm Relocation: The Implications of Phasing Out Free Allowances</b:Title>
    <b:Year>2019</b:Year>
    <b:Publisher>Springer Science and Business Media LLC</b:Publisher>
    <b:Author>
      <b:Author>
        <b:NameList>
          <b:Person>
            <b:Last>Nachtigall</b:Last>
            <b:First>Daniel</b:First>
          </b:Person>
        </b:NameList>
      </b:Author>
    </b:Author>
    <b:Volume>74</b:Volume>
    <b:Pages>473-503</b:Pages>
    <b:JournalName>Environmental and Resource Economics</b:JournalName>
    <b:DOI>10.1007/s10640-019-00326-x</b:DOI>
    <b:Issue>1</b:Issue>
    <b:LCID>en-US</b:LCID>
    <b:Version>CrossRef</b:Version>
    <b:RefOrder>65</b:RefOrder>
  </b:Source>
</b:Sources>
</file>

<file path=customXml/item3.xml><?xml version="1.0" encoding="utf-8"?>
<?mso-contentType ?>
<spe:Receivers xmlns:spe="http://schemas.microsoft.com/sharepoint/events"/>
</file>

<file path=customXml/item4.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5.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6.xml><?xml version="1.0" encoding="utf-8"?>
<p:properties xmlns:p="http://schemas.microsoft.com/office/2006/metadata/properties" xmlns:xsi="http://www.w3.org/2001/XMLSchema-instance" xmlns:pc="http://schemas.microsoft.com/office/infopath/2007/PartnerControls">
  <documentManagement>
    <OECDTagsCache xmlns="7348197b-4e95-41c6-b270-341eaa4cbbb2" xsi:nil="true"/>
    <OECDProjectManager xmlns="7348197b-4e95-41c6-b270-341eaa4cbbb2">
      <UserInfo>
        <DisplayName/>
        <AccountId>257</AccountId>
        <AccountType/>
      </UserInfo>
    </OECDProjectManager>
    <OECDAllRelatedUsers xmlns="e36e4070-fdd8-494c-ae17-1a8cf14e7707">
      <UserInfo>
        <DisplayName/>
        <AccountId xsi:nil="true"/>
        <AccountType/>
      </UserInfo>
    </OECDAllRelatedUsers>
    <OECDKimBussinessContext xmlns="54c4cd27-f286-408f-9ce0-33c1e0f3ab39" xsi:nil="true"/>
    <g1cb84c392954f02b97ef964d7fd5f94 xmlns="e36e4070-fdd8-494c-ae17-1a8cf14e7707">
      <Terms xmlns="http://schemas.microsoft.com/office/infopath/2007/PartnerControls"/>
    </g1cb84c392954f02b97ef964d7fd5f94>
    <OECDCommunityDocumentID xmlns="7348197b-4e95-41c6-b270-341eaa4cbbb2" xsi:nil="true"/>
    <OECDlanguage xmlns="ca82dde9-3436-4d3d-bddd-d31447390034">English</OECDlanguage>
    <eSharePWBTaxHTField0 xmlns="c9f238dd-bb73-4aef-a7a5-d644ad823e52">
      <Terms xmlns="http://schemas.microsoft.com/office/infopath/2007/PartnerControls">
        <TermInfo xmlns="http://schemas.microsoft.com/office/infopath/2007/PartnerControls">
          <TermName xmlns="http://schemas.microsoft.com/office/infopath/2007/PartnerControls">2.3.2.2.1 Navigating the low-emissions transition: toolkit and underpinning analysis (1-3 reports, 1 workshop)</TermName>
          <TermId xmlns="http://schemas.microsoft.com/office/infopath/2007/PartnerControls">9fedc197-6c42-4d06-9fe4-9e868279e82f</TermId>
        </TermInfo>
      </Terms>
    </eSharePWBTaxHTField0>
    <IconOverlay xmlns="http://schemas.microsoft.com/sharepoint/v4" xsi:nil="true"/>
    <OECDCommunityDocumentURL xmlns="7348197b-4e95-41c6-b270-341eaa4cbbb2" xsi:nil="true"/>
    <DocumentSetDescription xmlns="http://schemas.microsoft.com/sharepoint/v3" xsi:nil="true"/>
    <OECDExpirationDate xmlns="e36e4070-fdd8-494c-ae17-1a8cf14e7707" xsi:nil="true"/>
    <a5c695ec21c747a0bdb8a6375755520a xmlns="7348197b-4e95-41c6-b270-341eaa4cbbb2">
      <Terms xmlns="http://schemas.microsoft.com/office/infopath/2007/PartnerControls">
        <TermInfo xmlns="http://schemas.microsoft.com/office/infopath/2007/PartnerControls">
          <TermName xmlns="http://schemas.microsoft.com/office/infopath/2007/PartnerControls">ENV/CBW</TermName>
          <TermId xmlns="http://schemas.microsoft.com/office/infopath/2007/PartnerControls">6b929306-03f6-40b2-a4ef-c1cf38aa4c46</TermId>
        </TermInfo>
      </Terms>
    </a5c695ec21c747a0bdb8a6375755520a>
    <OECDProjectLookup xmlns="7348197b-4e95-41c6-b270-341eaa4cbbb2">175</OECDProjectLookup>
    <OECDMeetingDate xmlns="54c4cd27-f286-408f-9ce0-33c1e0f3ab39" xsi:nil="true"/>
    <OECDPinnedBy xmlns="7348197b-4e95-41c6-b270-341eaa4cbbb2">
      <UserInfo>
        <DisplayName/>
        <AccountId xsi:nil="true"/>
        <AccountType/>
      </UserInfo>
    </OECDPinnedBy>
    <eShareCommitteeTaxHTField0 xmlns="c9f238dd-bb73-4aef-a7a5-d644ad823e52">
      <Terms xmlns="http://schemas.microsoft.com/office/infopath/2007/PartnerControls">
        <TermInfo xmlns="http://schemas.microsoft.com/office/infopath/2007/PartnerControls">
          <TermName xmlns="http://schemas.microsoft.com/office/infopath/2007/PartnerControls">Working Party on Climate, Investment and Development</TermName>
          <TermId xmlns="http://schemas.microsoft.com/office/infopath/2007/PartnerControls">3cf4792b-5f45-431a-9039-f8be7621c891</TermId>
        </TermInfo>
      </Terms>
    </eShareCommitteeTaxHTField0>
    <OECDYear xmlns="54c4cd27-f286-408f-9ce0-33c1e0f3ab39" xsi:nil="true"/>
    <OECDMainProject xmlns="7348197b-4e95-41c6-b270-341eaa4cbbb2">57</OECDMainProject>
    <OECDKimProvenance xmlns="54c4cd27-f286-408f-9ce0-33c1e0f3ab39" xsi:nil="true"/>
    <n8655da54a064da182923cf6cbb46907 xmlns="7348197b-4e95-41c6-b270-341eaa4cbbb2"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Carbon markets</TermName>
          <TermId xmlns="http://schemas.microsoft.com/office/infopath/2007/PartnerControls">a1dca6c6-b10d-477c-96c3-1ad9e6fb98dd</TermId>
        </TermInfo>
      </Terms>
    </eShareTopicTaxHTField0>
    <eShareKeywordsTaxHTField0 xmlns="c9f238dd-bb73-4aef-a7a5-d644ad823e52">
      <Terms xmlns="http://schemas.microsoft.com/office/infopath/2007/PartnerControls"/>
    </eShareKeywordsTaxHTField0>
    <eShareHorizProjTaxHTField0 xmlns="e36e4070-fdd8-494c-ae17-1a8cf14e7707" xsi:nil="true"/>
    <TaxCatchAll xmlns="ca82dde9-3436-4d3d-bddd-d31447390034">
      <Value>139</Value>
      <Value>780</Value>
      <Value>1436</Value>
      <Value>1960</Value>
    </TaxCatchAll>
    <OECDProjectMembers xmlns="7348197b-4e95-41c6-b270-341eaa4cbbb2">
      <UserInfo>
        <DisplayName>NACHTIGALL Daniel, ENV/CBW</DisplayName>
        <AccountId>1987</AccountId>
        <AccountType/>
      </UserInfo>
    </OECDProjectMembers>
    <OECDSharingStatus xmlns="7348197b-4e95-41c6-b270-341eaa4cbbb2" xsi:nil="true"/>
  </documentManagement>
</p:properties>
</file>

<file path=customXml/item7.xml><?xml version="1.0" encoding="utf-8"?>
<?mso-contentType ?>
<FormTemplates xmlns="http://schemas.microsoft.com/sharepoint/v3/contenttype/forms">
  <Display>OECDListFormCollapsible</Display>
  <Edit>OECDListFormCollapsible</Edit>
  <New>OECDListFormCollapsible</New>
</FormTemplates>
</file>

<file path=customXml/itemProps1.xml><?xml version="1.0" encoding="utf-8"?>
<ds:datastoreItem xmlns:ds="http://schemas.openxmlformats.org/officeDocument/2006/customXml" ds:itemID="{9F80D47E-01E6-4C8F-A707-AC8A70999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c4cd27-f286-408f-9ce0-33c1e0f3ab39"/>
    <ds:schemaRef ds:uri="e36e4070-fdd8-494c-ae17-1a8cf14e7707"/>
    <ds:schemaRef ds:uri="ca82dde9-3436-4d3d-bddd-d31447390034"/>
    <ds:schemaRef ds:uri="7348197b-4e95-41c6-b270-341eaa4cbbb2"/>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E899D-C6C6-4A08-9CBC-E6EB74DC940B}">
  <ds:schemaRefs>
    <ds:schemaRef ds:uri="http://schemas.openxmlformats.org/officeDocument/2006/bibliography"/>
  </ds:schemaRefs>
</ds:datastoreItem>
</file>

<file path=customXml/itemProps3.xml><?xml version="1.0" encoding="utf-8"?>
<ds:datastoreItem xmlns:ds="http://schemas.openxmlformats.org/officeDocument/2006/customXml" ds:itemID="{2430669A-3258-4713-B420-5D3B8585A5AA}">
  <ds:schemaRefs>
    <ds:schemaRef ds:uri="http://schemas.microsoft.com/sharepoint/events"/>
  </ds:schemaRefs>
</ds:datastoreItem>
</file>

<file path=customXml/itemProps4.xml><?xml version="1.0" encoding="utf-8"?>
<ds:datastoreItem xmlns:ds="http://schemas.openxmlformats.org/officeDocument/2006/customXml" ds:itemID="{8D198D83-ABAD-42A1-9F01-C596BA5E0575}">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6FECA845-2A15-4FBC-B7EB-D60CB09CF19B}">
  <ds:schemaRefs>
    <ds:schemaRef ds:uri="Microsoft.SharePoint.Taxonomy.ContentTypeSync"/>
  </ds:schemaRefs>
</ds:datastoreItem>
</file>

<file path=customXml/itemProps6.xml><?xml version="1.0" encoding="utf-8"?>
<ds:datastoreItem xmlns:ds="http://schemas.openxmlformats.org/officeDocument/2006/customXml" ds:itemID="{BCAC8639-E8B7-4B42-83B5-47592A4292C7}">
  <ds:schemaRefs>
    <ds:schemaRef ds:uri="http://schemas.microsoft.com/office/2006/metadata/properties"/>
    <ds:schemaRef ds:uri="http://schemas.microsoft.com/office/infopath/2007/PartnerControls"/>
    <ds:schemaRef ds:uri="7348197b-4e95-41c6-b270-341eaa4cbbb2"/>
    <ds:schemaRef ds:uri="e36e4070-fdd8-494c-ae17-1a8cf14e7707"/>
    <ds:schemaRef ds:uri="54c4cd27-f286-408f-9ce0-33c1e0f3ab39"/>
    <ds:schemaRef ds:uri="ca82dde9-3436-4d3d-bddd-d31447390034"/>
    <ds:schemaRef ds:uri="c9f238dd-bb73-4aef-a7a5-d644ad823e52"/>
    <ds:schemaRef ds:uri="http://schemas.microsoft.com/sharepoint/v4"/>
    <ds:schemaRef ds:uri="http://schemas.microsoft.com/sharepoint/v3"/>
  </ds:schemaRefs>
</ds:datastoreItem>
</file>

<file path=customXml/itemProps7.xml><?xml version="1.0" encoding="utf-8"?>
<ds:datastoreItem xmlns:ds="http://schemas.openxmlformats.org/officeDocument/2006/customXml" ds:itemID="{6BF54324-9839-4C8C-BF25-7720AADCE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10442</Words>
  <Characters>59520</Characters>
  <Application>Microsoft Office Word</Application>
  <DocSecurity>0</DocSecurity>
  <Lines>496</Lines>
  <Paragraphs>139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2020-08-05T10:55:00Z</dcterms:created>
  <dcterms:modified xsi:type="dcterms:W3CDTF">2020-08-05T10:55:00Z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0x0101008B4DD370EC31429186F3AD49F0D3098F00D44DBCB9EB4F45278CB5C9765BE5299500A4858B360C6A491AA753F8BCA47AA91000D6712DEE41081B4DBBA433D0B03F813E</vt:lpwstr>
  </property>
  <property fmtid="{D5CDD505-2E9C-101B-9397-08002B2CF9AE}" pid="3" name="OECDCountry">
    <vt:lpwstr/>
  </property>
  <property fmtid="{D5CDD505-2E9C-101B-9397-08002B2CF9AE}" pid="4" name="OECDTopic">
    <vt:lpwstr>139;#Carbon markets|a1dca6c6-b10d-477c-96c3-1ad9e6fb98dd</vt:lpwstr>
  </property>
  <property fmtid="{D5CDD505-2E9C-101B-9397-08002B2CF9AE}" pid="5" name="OECDCommittee">
    <vt:lpwstr>1436;#Working Party on Climate, Investment and Development|3cf4792b-5f45-431a-9039-f8be7621c891</vt:lpwstr>
  </property>
  <property fmtid="{D5CDD505-2E9C-101B-9397-08002B2CF9AE}" pid="6" name="OECDPWB">
    <vt:lpwstr>1960;#2.3.2.2.1 Navigating the low-emissions transition: toolkit and underpinning analysis (1-3 reports, 1 workshop)|9fedc197-6c42-4d06-9fe4-9e868279e82f</vt:lpwstr>
  </property>
  <property fmtid="{D5CDD505-2E9C-101B-9397-08002B2CF9AE}" pid="7" name="OECDDeliverablePartnersStructure">
    <vt:lpwstr/>
  </property>
  <property fmtid="{D5CDD505-2E9C-101B-9397-08002B2CF9AE}" pid="8" name="OECDKeywords">
    <vt:lpwstr/>
  </property>
  <property fmtid="{D5CDD505-2E9C-101B-9397-08002B2CF9AE}" pid="9" name="OECDHorizontalProjects">
    <vt:lpwstr/>
  </property>
  <property fmtid="{D5CDD505-2E9C-101B-9397-08002B2CF9AE}" pid="10" name="OECDProjectOwnerStructure">
    <vt:lpwstr>780;#ENV/CBW|6b929306-03f6-40b2-a4ef-c1cf38aa4c46</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