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CEA0B" w14:textId="79AD348C" w:rsidR="00E14C35" w:rsidRDefault="00AA5EF8">
      <w:pPr>
        <w:rPr>
          <w:lang w:val="en-GB"/>
        </w:rPr>
      </w:pPr>
      <w:r>
        <w:rPr>
          <w:lang w:val="en-GB"/>
        </w:rPr>
        <w:t xml:space="preserve">Exploration of </w:t>
      </w:r>
      <w:proofErr w:type="spellStart"/>
      <w:r>
        <w:rPr>
          <w:lang w:val="en-GB"/>
        </w:rPr>
        <w:t>bioindustrial</w:t>
      </w:r>
      <w:proofErr w:type="spellEnd"/>
      <w:r>
        <w:rPr>
          <w:lang w:val="en-GB"/>
        </w:rPr>
        <w:t xml:space="preserve"> potential of pure and mixed cultures of purple non sulphur bacteria under photoheterotrophic bacteria</w:t>
      </w:r>
    </w:p>
    <w:p w14:paraId="745F1CD1" w14:textId="30A82D4F" w:rsidR="000819F2" w:rsidRDefault="000819F2">
      <w:pPr>
        <w:rPr>
          <w:lang w:val="en-GB"/>
        </w:rPr>
      </w:pPr>
      <w:r>
        <w:rPr>
          <w:lang w:val="en-GB"/>
        </w:rPr>
        <w:t xml:space="preserve">Name: Guillaume </w:t>
      </w:r>
      <w:proofErr w:type="spellStart"/>
      <w:r>
        <w:rPr>
          <w:lang w:val="en-GB"/>
        </w:rPr>
        <w:t>Bayon-Vicente</w:t>
      </w:r>
      <w:proofErr w:type="spellEnd"/>
      <w:r w:rsidR="00274C9B">
        <w:rPr>
          <w:lang w:val="en-GB"/>
        </w:rPr>
        <w:t>*</w:t>
      </w:r>
      <w:r>
        <w:rPr>
          <w:lang w:val="en-GB"/>
        </w:rPr>
        <w:t>, Manon Gilson</w:t>
      </w:r>
      <w:r w:rsidR="00274C9B">
        <w:rPr>
          <w:lang w:val="en-GB"/>
        </w:rPr>
        <w:t>*</w:t>
      </w:r>
      <w:r>
        <w:rPr>
          <w:lang w:val="en-GB"/>
        </w:rPr>
        <w:t xml:space="preserve">, Ruddy </w:t>
      </w:r>
      <w:proofErr w:type="spellStart"/>
      <w:r>
        <w:rPr>
          <w:lang w:val="en-GB"/>
        </w:rPr>
        <w:t>Wattiez</w:t>
      </w:r>
      <w:proofErr w:type="spellEnd"/>
      <w:r>
        <w:rPr>
          <w:lang w:val="en-GB"/>
        </w:rPr>
        <w:t xml:space="preserve"> and Baptiste Leroy.</w:t>
      </w:r>
    </w:p>
    <w:p w14:paraId="0B221FF7" w14:textId="00062D64" w:rsidR="00274C9B" w:rsidRDefault="00274C9B">
      <w:pPr>
        <w:rPr>
          <w:lang w:val="en-GB"/>
        </w:rPr>
      </w:pPr>
      <w:r>
        <w:rPr>
          <w:lang w:val="en-GB"/>
        </w:rPr>
        <w:t>*Authors contributed equally to this work.</w:t>
      </w:r>
    </w:p>
    <w:p w14:paraId="3EEBB31E" w14:textId="782004F1" w:rsidR="000819F2" w:rsidRDefault="000819F2">
      <w:pPr>
        <w:rPr>
          <w:lang w:val="en-GB"/>
        </w:rPr>
      </w:pPr>
      <w:r>
        <w:rPr>
          <w:lang w:val="en-GB"/>
        </w:rPr>
        <w:t>Affiliation: University of Mons</w:t>
      </w:r>
    </w:p>
    <w:p w14:paraId="3A1514B8" w14:textId="2E0524A0" w:rsidR="00E62551" w:rsidRDefault="000819F2" w:rsidP="000819F2">
      <w:pPr>
        <w:jc w:val="both"/>
        <w:rPr>
          <w:lang w:val="en-GB"/>
        </w:rPr>
      </w:pPr>
      <w:r>
        <w:rPr>
          <w:lang w:val="en-GB"/>
        </w:rPr>
        <w:t>Purple non-</w:t>
      </w:r>
      <w:proofErr w:type="spellStart"/>
      <w:r>
        <w:rPr>
          <w:lang w:val="en-GB"/>
        </w:rPr>
        <w:t>sulfur</w:t>
      </w:r>
      <w:proofErr w:type="spellEnd"/>
      <w:r>
        <w:rPr>
          <w:lang w:val="en-GB"/>
        </w:rPr>
        <w:t xml:space="preserve"> bacteria are well known for their metabolic versatility as they can grow under both auto-and heterotrophic conditions</w:t>
      </w:r>
      <w:r w:rsidR="00DD37C2">
        <w:rPr>
          <w:lang w:val="en-GB"/>
        </w:rPr>
        <w:t xml:space="preserve">, </w:t>
      </w:r>
      <w:proofErr w:type="spellStart"/>
      <w:r w:rsidR="00DD37C2">
        <w:rPr>
          <w:lang w:val="en-GB"/>
        </w:rPr>
        <w:t>phototrophically</w:t>
      </w:r>
      <w:proofErr w:type="spellEnd"/>
      <w:r w:rsidR="00DD37C2">
        <w:rPr>
          <w:lang w:val="en-GB"/>
        </w:rPr>
        <w:t xml:space="preserve"> or not</w:t>
      </w:r>
      <w:r>
        <w:rPr>
          <w:lang w:val="en-GB"/>
        </w:rPr>
        <w:t xml:space="preserve">. Moreover, they </w:t>
      </w:r>
      <w:proofErr w:type="gramStart"/>
      <w:r>
        <w:rPr>
          <w:lang w:val="en-GB"/>
        </w:rPr>
        <w:t>are able to</w:t>
      </w:r>
      <w:proofErr w:type="gramEnd"/>
      <w:r>
        <w:rPr>
          <w:lang w:val="en-GB"/>
        </w:rPr>
        <w:t xml:space="preserve"> assimilate a broad range of carbon sources </w:t>
      </w:r>
      <w:r w:rsidR="00DD37C2">
        <w:rPr>
          <w:lang w:val="en-GB"/>
        </w:rPr>
        <w:t xml:space="preserve">notably </w:t>
      </w:r>
      <w:r>
        <w:rPr>
          <w:lang w:val="en-GB"/>
        </w:rPr>
        <w:t xml:space="preserve">volatile fatty acids (VFAs, C1-C5) but also sugars. </w:t>
      </w:r>
      <w:r w:rsidR="00E62551">
        <w:rPr>
          <w:lang w:val="en-GB"/>
        </w:rPr>
        <w:t>The PROTMIC lab (UM</w:t>
      </w:r>
      <w:r w:rsidR="00E74719">
        <w:rPr>
          <w:lang w:val="en-GB"/>
        </w:rPr>
        <w:t>ONS</w:t>
      </w:r>
      <w:r w:rsidR="00E62551">
        <w:rPr>
          <w:lang w:val="en-GB"/>
        </w:rPr>
        <w:t xml:space="preserve">) developed </w:t>
      </w:r>
      <w:r w:rsidR="00215605">
        <w:rPr>
          <w:lang w:val="en-GB"/>
        </w:rPr>
        <w:t xml:space="preserve">a </w:t>
      </w:r>
      <w:r w:rsidR="00E62551">
        <w:rPr>
          <w:lang w:val="en-GB"/>
        </w:rPr>
        <w:t xml:space="preserve">tremendous expertise in the understanding of metabolic pathways used by PNSB, and more precisely </w:t>
      </w:r>
      <w:r w:rsidR="00E62551">
        <w:rPr>
          <w:i/>
          <w:iCs/>
          <w:lang w:val="en-GB"/>
        </w:rPr>
        <w:t>Rhodospirillum rubrum</w:t>
      </w:r>
      <w:r w:rsidR="00E62551">
        <w:rPr>
          <w:lang w:val="en-GB"/>
        </w:rPr>
        <w:t xml:space="preserve">, to assimilate VFAs either pure (one source of carbon) or in mix (several source of carbon). </w:t>
      </w:r>
      <w:r w:rsidR="00AA5EF8">
        <w:rPr>
          <w:lang w:val="en-GB"/>
        </w:rPr>
        <w:t>This expertise allowed us to decipher</w:t>
      </w:r>
      <w:r w:rsidR="00AA5EF8">
        <w:rPr>
          <w:i/>
          <w:iCs/>
          <w:lang w:val="en-GB"/>
        </w:rPr>
        <w:t xml:space="preserve"> </w:t>
      </w:r>
      <w:r w:rsidR="00AA5EF8">
        <w:rPr>
          <w:lang w:val="en-GB"/>
        </w:rPr>
        <w:t xml:space="preserve">the photoheterotrophic assimilation of different VFAs such as acetic acid, butyric acid or valeric acid. </w:t>
      </w:r>
    </w:p>
    <w:p w14:paraId="681526B6" w14:textId="0266174E" w:rsidR="000819F2" w:rsidRDefault="00AA5EF8" w:rsidP="000819F2">
      <w:pPr>
        <w:jc w:val="both"/>
        <w:rPr>
          <w:lang w:val="en-GB"/>
        </w:rPr>
      </w:pPr>
      <w:r>
        <w:rPr>
          <w:lang w:val="en-GB"/>
        </w:rPr>
        <w:t>In that context, our lab investigated the production of polyhydroxyalkanoate</w:t>
      </w:r>
      <w:r w:rsidR="00D207A4">
        <w:rPr>
          <w:lang w:val="en-GB"/>
        </w:rPr>
        <w:t xml:space="preserve"> by pure culture of </w:t>
      </w:r>
      <w:r w:rsidR="00D207A4">
        <w:rPr>
          <w:i/>
          <w:iCs/>
          <w:lang w:val="en-GB"/>
        </w:rPr>
        <w:t>Rhodospirillum rubrum</w:t>
      </w:r>
      <w:r w:rsidR="00D207A4">
        <w:rPr>
          <w:lang w:val="en-GB"/>
        </w:rPr>
        <w:t xml:space="preserve"> cultivated under photoheterotrophic conditions using acetic acid or valeric acid as source of carbon. More precisely we studied the photoheterotrophic metabolism of </w:t>
      </w:r>
      <w:r w:rsidR="00D207A4">
        <w:rPr>
          <w:i/>
          <w:iCs/>
          <w:lang w:val="en-GB"/>
        </w:rPr>
        <w:t xml:space="preserve">Rs. rubrum </w:t>
      </w:r>
      <w:r w:rsidR="00D207A4">
        <w:rPr>
          <w:lang w:val="en-GB"/>
        </w:rPr>
        <w:t xml:space="preserve">in the here above-mentioned conditions </w:t>
      </w:r>
      <w:proofErr w:type="gramStart"/>
      <w:r w:rsidR="00D207A4">
        <w:rPr>
          <w:lang w:val="en-GB"/>
        </w:rPr>
        <w:t>in order to</w:t>
      </w:r>
      <w:proofErr w:type="gramEnd"/>
      <w:r w:rsidR="00D207A4">
        <w:rPr>
          <w:lang w:val="en-GB"/>
        </w:rPr>
        <w:t xml:space="preserve"> find some tracks for PHA production optimization. </w:t>
      </w:r>
      <w:r>
        <w:rPr>
          <w:lang w:val="en-GB"/>
        </w:rPr>
        <w:t xml:space="preserve"> </w:t>
      </w:r>
    </w:p>
    <w:p w14:paraId="102E93A4" w14:textId="1A601855" w:rsidR="00AA5EF8" w:rsidRDefault="00AA5EF8" w:rsidP="000819F2">
      <w:pPr>
        <w:jc w:val="both"/>
        <w:rPr>
          <w:lang w:val="en-GB"/>
        </w:rPr>
      </w:pPr>
      <w:r>
        <w:rPr>
          <w:lang w:val="en-GB"/>
        </w:rPr>
        <w:t>More recently,</w:t>
      </w:r>
      <w:r w:rsidR="00D207A4">
        <w:rPr>
          <w:lang w:val="en-GB"/>
        </w:rPr>
        <w:t xml:space="preserve"> our lab </w:t>
      </w:r>
      <w:r w:rsidR="00DD37C2">
        <w:rPr>
          <w:lang w:val="en-GB"/>
        </w:rPr>
        <w:t>started analysing the production of</w:t>
      </w:r>
      <w:r w:rsidR="005E0498">
        <w:rPr>
          <w:lang w:val="en-GB"/>
        </w:rPr>
        <w:t xml:space="preserve"> protein-rich purple bacteria biomass using </w:t>
      </w:r>
      <w:proofErr w:type="spellStart"/>
      <w:r w:rsidR="005E0498">
        <w:rPr>
          <w:lang w:val="en-GB"/>
        </w:rPr>
        <w:t>bioindustrial</w:t>
      </w:r>
      <w:proofErr w:type="spellEnd"/>
      <w:r w:rsidR="005E0498">
        <w:rPr>
          <w:lang w:val="en-GB"/>
        </w:rPr>
        <w:t xml:space="preserve"> co-products as source of carbon. </w:t>
      </w:r>
      <w:r w:rsidR="00DD37C2">
        <w:rPr>
          <w:lang w:val="en-GB"/>
        </w:rPr>
        <w:t>We investigate, currently,</w:t>
      </w:r>
      <w:r w:rsidR="005E0498">
        <w:rPr>
          <w:lang w:val="en-GB"/>
        </w:rPr>
        <w:t xml:space="preserve"> at the fundamental (</w:t>
      </w:r>
      <w:r w:rsidR="005E0498">
        <w:rPr>
          <w:i/>
          <w:iCs/>
          <w:lang w:val="en-GB"/>
        </w:rPr>
        <w:t xml:space="preserve">e.g. </w:t>
      </w:r>
      <w:r w:rsidR="005E0498">
        <w:rPr>
          <w:lang w:val="en-GB"/>
        </w:rPr>
        <w:t xml:space="preserve">metabolic pathway, </w:t>
      </w:r>
      <w:proofErr w:type="gramStart"/>
      <w:r w:rsidR="005E0498">
        <w:rPr>
          <w:lang w:val="en-GB"/>
        </w:rPr>
        <w:t>interaction,…</w:t>
      </w:r>
      <w:proofErr w:type="gramEnd"/>
      <w:r w:rsidR="005E0498">
        <w:rPr>
          <w:lang w:val="en-GB"/>
        </w:rPr>
        <w:t>) and applied (</w:t>
      </w:r>
      <w:r w:rsidR="005E0498">
        <w:rPr>
          <w:i/>
          <w:iCs/>
          <w:lang w:val="en-GB"/>
        </w:rPr>
        <w:t>e.g.</w:t>
      </w:r>
      <w:r w:rsidR="005E0498">
        <w:rPr>
          <w:lang w:val="en-GB"/>
        </w:rPr>
        <w:t xml:space="preserve"> protein content, protein quality, productivity,…) point of view the assimilation of molasses by either pure or mix culture of purple bacteria and the impact of different consortia on productivity.</w:t>
      </w:r>
    </w:p>
    <w:p w14:paraId="63558BC5" w14:textId="3CD1845D" w:rsidR="009D72DC" w:rsidRDefault="00DD37C2" w:rsidP="009D72DC">
      <w:pPr>
        <w:jc w:val="both"/>
        <w:rPr>
          <w:lang w:val="en-GB"/>
        </w:rPr>
      </w:pPr>
      <w:r>
        <w:rPr>
          <w:lang w:val="en-GB"/>
        </w:rPr>
        <w:t>Since</w:t>
      </w:r>
      <w:r w:rsidR="009D72DC">
        <w:rPr>
          <w:lang w:val="en-GB"/>
        </w:rPr>
        <w:t xml:space="preserve"> more than ten years, PNSB are extensively studied for their </w:t>
      </w:r>
      <w:proofErr w:type="spellStart"/>
      <w:r w:rsidR="009D72DC">
        <w:rPr>
          <w:lang w:val="en-GB"/>
        </w:rPr>
        <w:t>bioindustrial</w:t>
      </w:r>
      <w:proofErr w:type="spellEnd"/>
      <w:r w:rsidR="009D72DC">
        <w:rPr>
          <w:lang w:val="en-GB"/>
        </w:rPr>
        <w:t xml:space="preserve"> applications (</w:t>
      </w:r>
      <w:r w:rsidR="009D72DC">
        <w:rPr>
          <w:i/>
          <w:iCs/>
          <w:lang w:val="en-GB"/>
        </w:rPr>
        <w:t xml:space="preserve">e.g. </w:t>
      </w:r>
      <w:r w:rsidR="009D72DC">
        <w:rPr>
          <w:lang w:val="en-GB"/>
        </w:rPr>
        <w:t xml:space="preserve">Pigment, PHAs, hydrogen, protein-rich edible biomass, wastewater treatment, …). However, </w:t>
      </w:r>
      <w:proofErr w:type="gramStart"/>
      <w:r w:rsidR="009D72DC">
        <w:rPr>
          <w:lang w:val="en-GB"/>
        </w:rPr>
        <w:t>in order for</w:t>
      </w:r>
      <w:proofErr w:type="gramEnd"/>
      <w:r w:rsidR="009D72DC">
        <w:rPr>
          <w:lang w:val="en-GB"/>
        </w:rPr>
        <w:t xml:space="preserve"> </w:t>
      </w:r>
      <w:r>
        <w:rPr>
          <w:lang w:val="en-GB"/>
        </w:rPr>
        <w:t>the different bio</w:t>
      </w:r>
      <w:r w:rsidR="009D72DC">
        <w:rPr>
          <w:lang w:val="en-GB"/>
        </w:rPr>
        <w:t xml:space="preserve">processes to be economically feasible, major optimization </w:t>
      </w:r>
      <w:r>
        <w:rPr>
          <w:lang w:val="en-GB"/>
        </w:rPr>
        <w:t>are still needed</w:t>
      </w:r>
      <w:r w:rsidR="009D72DC">
        <w:rPr>
          <w:lang w:val="en-GB"/>
        </w:rPr>
        <w:t>. In that context, two schools of thought</w:t>
      </w:r>
      <w:r>
        <w:rPr>
          <w:lang w:val="en-GB"/>
        </w:rPr>
        <w:t xml:space="preserve"> are commonly found in the literature</w:t>
      </w:r>
      <w:r w:rsidR="009D72DC">
        <w:rPr>
          <w:lang w:val="en-GB"/>
        </w:rPr>
        <w:t xml:space="preserve">, the first one stating that the use of pure culture </w:t>
      </w:r>
      <w:r>
        <w:rPr>
          <w:lang w:val="en-GB"/>
        </w:rPr>
        <w:t xml:space="preserve">allows higher </w:t>
      </w:r>
      <w:r w:rsidR="009D72DC">
        <w:rPr>
          <w:lang w:val="en-GB"/>
        </w:rPr>
        <w:t>process optimization</w:t>
      </w:r>
      <w:r>
        <w:rPr>
          <w:lang w:val="en-GB"/>
        </w:rPr>
        <w:t xml:space="preserve"> thanks to a better understanding while</w:t>
      </w:r>
      <w:r w:rsidR="009D72DC">
        <w:rPr>
          <w:lang w:val="en-GB"/>
        </w:rPr>
        <w:t>d the second one arguing that the use of mix culture brings synergic effects that are a key parameter in process improvement.</w:t>
      </w:r>
    </w:p>
    <w:p w14:paraId="280311C9" w14:textId="0F3BD5AD" w:rsidR="005E0498" w:rsidRPr="00215605" w:rsidRDefault="00AA5EF8" w:rsidP="000819F2">
      <w:pPr>
        <w:jc w:val="both"/>
        <w:rPr>
          <w:lang w:val="en-GB"/>
        </w:rPr>
      </w:pPr>
      <w:r>
        <w:rPr>
          <w:lang w:val="en-GB"/>
        </w:rPr>
        <w:t xml:space="preserve">Here, we </w:t>
      </w:r>
      <w:r w:rsidR="005E0498">
        <w:rPr>
          <w:lang w:val="en-GB"/>
        </w:rPr>
        <w:t xml:space="preserve">present </w:t>
      </w:r>
      <w:r w:rsidR="00ED4E5E">
        <w:rPr>
          <w:lang w:val="en-GB"/>
        </w:rPr>
        <w:t>examples</w:t>
      </w:r>
      <w:r w:rsidR="00AA11E3">
        <w:rPr>
          <w:lang w:val="en-GB"/>
        </w:rPr>
        <w:t xml:space="preserve"> of the application of these two </w:t>
      </w:r>
      <w:r w:rsidR="005E0498">
        <w:rPr>
          <w:lang w:val="en-GB"/>
        </w:rPr>
        <w:t xml:space="preserve">different strategies to increase </w:t>
      </w:r>
      <w:proofErr w:type="spellStart"/>
      <w:r w:rsidR="005E0498">
        <w:rPr>
          <w:lang w:val="en-GB"/>
        </w:rPr>
        <w:t>bioindustrial</w:t>
      </w:r>
      <w:proofErr w:type="spellEnd"/>
      <w:r w:rsidR="005E0498">
        <w:rPr>
          <w:lang w:val="en-GB"/>
        </w:rPr>
        <w:t xml:space="preserve"> productivity </w:t>
      </w:r>
      <w:r w:rsidR="00AA11E3">
        <w:rPr>
          <w:lang w:val="en-GB"/>
        </w:rPr>
        <w:t>of PNSB based bioprocesses. First,</w:t>
      </w:r>
      <w:r w:rsidR="005E0498">
        <w:rPr>
          <w:lang w:val="en-GB"/>
        </w:rPr>
        <w:t xml:space="preserve"> using pure culture of </w:t>
      </w:r>
      <w:r w:rsidR="005E0498">
        <w:rPr>
          <w:i/>
          <w:iCs/>
          <w:lang w:val="en-GB"/>
        </w:rPr>
        <w:t>Rs. rubrum</w:t>
      </w:r>
      <w:r w:rsidR="00DD37C2">
        <w:rPr>
          <w:lang w:val="en-GB"/>
        </w:rPr>
        <w:t xml:space="preserve">, </w:t>
      </w:r>
      <w:r w:rsidR="005E0498">
        <w:rPr>
          <w:lang w:val="en-GB"/>
        </w:rPr>
        <w:t>we succeed</w:t>
      </w:r>
      <w:r w:rsidR="00215605">
        <w:rPr>
          <w:lang w:val="en-GB"/>
        </w:rPr>
        <w:t>ed in</w:t>
      </w:r>
      <w:r w:rsidR="005E0498">
        <w:rPr>
          <w:lang w:val="en-GB"/>
        </w:rPr>
        <w:t xml:space="preserve"> increasing PHA production </w:t>
      </w:r>
      <w:r w:rsidR="00215605">
        <w:rPr>
          <w:lang w:val="en-GB"/>
        </w:rPr>
        <w:t xml:space="preserve">in the presence of acetic and valeric acid thanks to a </w:t>
      </w:r>
      <w:r w:rsidR="00AA11E3">
        <w:rPr>
          <w:lang w:val="en-GB"/>
        </w:rPr>
        <w:t xml:space="preserve">fundamental </w:t>
      </w:r>
      <w:r w:rsidR="00215605">
        <w:rPr>
          <w:lang w:val="en-GB"/>
        </w:rPr>
        <w:t>knowledge-based approach (</w:t>
      </w:r>
      <w:r w:rsidR="00215605">
        <w:rPr>
          <w:i/>
          <w:iCs/>
          <w:lang w:val="en-GB"/>
        </w:rPr>
        <w:t xml:space="preserve">e.g. </w:t>
      </w:r>
      <w:r w:rsidR="00215605">
        <w:rPr>
          <w:lang w:val="en-GB"/>
        </w:rPr>
        <w:t xml:space="preserve">literature reviewing, proteomic analyses, growth under different conditions; Figures 1 and 2). Secondly, we </w:t>
      </w:r>
      <w:r w:rsidR="00AA11E3">
        <w:rPr>
          <w:lang w:val="en-GB"/>
        </w:rPr>
        <w:t>observed recently an</w:t>
      </w:r>
      <w:r w:rsidR="00215605">
        <w:rPr>
          <w:lang w:val="en-GB"/>
        </w:rPr>
        <w:t xml:space="preserve"> increase</w:t>
      </w:r>
      <w:r w:rsidR="00AA11E3">
        <w:rPr>
          <w:lang w:val="en-GB"/>
        </w:rPr>
        <w:t>d</w:t>
      </w:r>
      <w:r w:rsidR="00215605">
        <w:rPr>
          <w:lang w:val="en-GB"/>
        </w:rPr>
        <w:t xml:space="preserve"> productivity and substrate </w:t>
      </w:r>
      <w:r w:rsidR="00AA11E3">
        <w:rPr>
          <w:lang w:val="en-GB"/>
        </w:rPr>
        <w:t>assimilation</w:t>
      </w:r>
      <w:r w:rsidR="00215605">
        <w:rPr>
          <w:lang w:val="en-GB"/>
        </w:rPr>
        <w:t xml:space="preserve"> efficiency by switching from pure (</w:t>
      </w:r>
      <w:r w:rsidR="00215605">
        <w:rPr>
          <w:i/>
          <w:iCs/>
          <w:lang w:val="en-GB"/>
        </w:rPr>
        <w:t xml:space="preserve">e.g. Rs </w:t>
      </w:r>
      <w:r w:rsidR="00215605" w:rsidRPr="00215605">
        <w:rPr>
          <w:i/>
          <w:iCs/>
          <w:lang w:val="en-GB"/>
        </w:rPr>
        <w:t>rubrum</w:t>
      </w:r>
      <w:r w:rsidR="00215605">
        <w:rPr>
          <w:lang w:val="en-GB"/>
        </w:rPr>
        <w:t xml:space="preserve">) </w:t>
      </w:r>
      <w:r w:rsidR="00215605" w:rsidRPr="00215605">
        <w:rPr>
          <w:lang w:val="en-GB"/>
        </w:rPr>
        <w:t>to</w:t>
      </w:r>
      <w:r w:rsidR="00215605">
        <w:rPr>
          <w:lang w:val="en-GB"/>
        </w:rPr>
        <w:t xml:space="preserve"> mix (</w:t>
      </w:r>
      <w:proofErr w:type="spellStart"/>
      <w:proofErr w:type="gramStart"/>
      <w:r w:rsidR="00215605">
        <w:rPr>
          <w:i/>
          <w:iCs/>
          <w:lang w:val="en-GB"/>
        </w:rPr>
        <w:t>Rs.rubrum</w:t>
      </w:r>
      <w:proofErr w:type="spellEnd"/>
      <w:proofErr w:type="gramEnd"/>
      <w:r w:rsidR="00215605">
        <w:rPr>
          <w:i/>
          <w:iCs/>
          <w:lang w:val="en-GB"/>
        </w:rPr>
        <w:t xml:space="preserve"> </w:t>
      </w:r>
      <w:r w:rsidR="00215605">
        <w:rPr>
          <w:lang w:val="en-GB"/>
        </w:rPr>
        <w:t xml:space="preserve">and </w:t>
      </w:r>
      <w:r w:rsidR="00215605">
        <w:rPr>
          <w:i/>
          <w:iCs/>
          <w:lang w:val="en-GB"/>
        </w:rPr>
        <w:t xml:space="preserve">Rh. </w:t>
      </w:r>
      <w:proofErr w:type="spellStart"/>
      <w:r w:rsidR="00215605">
        <w:rPr>
          <w:i/>
          <w:iCs/>
          <w:lang w:val="en-GB"/>
        </w:rPr>
        <w:t>capsulatus</w:t>
      </w:r>
      <w:proofErr w:type="spellEnd"/>
      <w:r w:rsidR="00215605">
        <w:rPr>
          <w:lang w:val="en-GB"/>
        </w:rPr>
        <w:t>) culture</w:t>
      </w:r>
      <w:r w:rsidR="009D72DC">
        <w:rPr>
          <w:lang w:val="en-GB"/>
        </w:rPr>
        <w:t xml:space="preserve"> (Figure 3)</w:t>
      </w:r>
      <w:r w:rsidR="00215605">
        <w:rPr>
          <w:lang w:val="en-GB"/>
        </w:rPr>
        <w:t>.</w:t>
      </w:r>
    </w:p>
    <w:p w14:paraId="1843D3B5" w14:textId="77777777" w:rsidR="00296D96" w:rsidRDefault="00296D96" w:rsidP="00296D96">
      <w:pPr>
        <w:keepNext/>
        <w:jc w:val="both"/>
      </w:pPr>
      <w:r>
        <w:rPr>
          <w:noProof/>
        </w:rPr>
        <w:lastRenderedPageBreak/>
        <w:drawing>
          <wp:inline distT="0" distB="0" distL="0" distR="0" wp14:anchorId="21790198" wp14:editId="7396C621">
            <wp:extent cx="5760720" cy="6299200"/>
            <wp:effectExtent l="0" t="0" r="0" b="6350"/>
            <wp:docPr id="1318104072" name="Image 1" descr="Une image contenant diagramme, Dessin technique, Plan, croqui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104072" name="Image 1" descr="Une image contenant diagramme, Dessin technique, Plan, croquis&#10;&#10;Description générée automatiquemen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F45899" w14:textId="19749A91" w:rsidR="005E0498" w:rsidRDefault="00296D96" w:rsidP="00296D96">
      <w:pPr>
        <w:pStyle w:val="Lgende"/>
        <w:jc w:val="both"/>
        <w:rPr>
          <w:lang w:val="en-GB"/>
        </w:rPr>
      </w:pPr>
      <w:r w:rsidRPr="00296D96">
        <w:rPr>
          <w:lang w:val="en-GB"/>
        </w:rPr>
        <w:t xml:space="preserve">Figure </w:t>
      </w:r>
      <w:r>
        <w:fldChar w:fldCharType="begin"/>
      </w:r>
      <w:r w:rsidRPr="00296D96">
        <w:rPr>
          <w:lang w:val="en-GB"/>
        </w:rPr>
        <w:instrText xml:space="preserve"> SEQ Figure \* ARABIC </w:instrText>
      </w:r>
      <w:r>
        <w:fldChar w:fldCharType="separate"/>
      </w:r>
      <w:r>
        <w:rPr>
          <w:noProof/>
          <w:lang w:val="en-GB"/>
        </w:rPr>
        <w:t>1</w:t>
      </w:r>
      <w:r>
        <w:fldChar w:fldCharType="end"/>
      </w:r>
      <w:r w:rsidRPr="00296D96">
        <w:rPr>
          <w:lang w:val="en-GB"/>
        </w:rPr>
        <w:t> : Growth (full line; upper panel), acetate consumption (dotted line, upper panel) and PHA accumulation (lower panel) of Rs. rubrum for the acetate-competent strain (</w:t>
      </w:r>
      <w:proofErr w:type="gramStart"/>
      <w:r w:rsidRPr="00296D96">
        <w:rPr>
          <w:lang w:val="en-GB"/>
        </w:rPr>
        <w:t>A,B</w:t>
      </w:r>
      <w:proofErr w:type="gramEnd"/>
      <w:r w:rsidRPr="00296D96">
        <w:rPr>
          <w:lang w:val="en-GB"/>
        </w:rPr>
        <w:t>) or Wild type strain (C,D) in presence of acetate supplemented with 3 mM HCO3 − submitted (B,D) or not (A,C) to a light intensity increase from 50 to 150 µmol photons/m2 s. Vertical dotted line represents the light stress (B,D) N = 5.</w:t>
      </w:r>
    </w:p>
    <w:p w14:paraId="2FB84428" w14:textId="77777777" w:rsidR="00296D96" w:rsidRDefault="00296D96" w:rsidP="00296D96">
      <w:pPr>
        <w:keepNext/>
      </w:pPr>
      <w:r>
        <w:rPr>
          <w:noProof/>
          <w:lang w:val="en-GB"/>
        </w:rPr>
        <w:lastRenderedPageBreak/>
        <w:drawing>
          <wp:inline distT="0" distB="0" distL="0" distR="0" wp14:anchorId="13B7281C" wp14:editId="110731BC">
            <wp:extent cx="5445122" cy="3282199"/>
            <wp:effectExtent l="0" t="0" r="3810" b="0"/>
            <wp:docPr id="43151151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832" cy="3293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B8A717" w14:textId="2ECD9453" w:rsidR="00296D96" w:rsidRDefault="00296D96" w:rsidP="00296D96">
      <w:pPr>
        <w:pStyle w:val="Lgende"/>
        <w:rPr>
          <w:lang w:val="en-GB"/>
        </w:rPr>
      </w:pPr>
      <w:r w:rsidRPr="00296D96">
        <w:rPr>
          <w:lang w:val="en-GB"/>
        </w:rPr>
        <w:t xml:space="preserve">Figure </w:t>
      </w:r>
      <w:r>
        <w:fldChar w:fldCharType="begin"/>
      </w:r>
      <w:r w:rsidRPr="00296D96">
        <w:rPr>
          <w:lang w:val="en-GB"/>
        </w:rPr>
        <w:instrText xml:space="preserve"> SEQ Figure \* ARABIC </w:instrText>
      </w:r>
      <w:r>
        <w:fldChar w:fldCharType="separate"/>
      </w:r>
      <w:r w:rsidRPr="00296D96">
        <w:rPr>
          <w:noProof/>
          <w:lang w:val="en-GB"/>
        </w:rPr>
        <w:t>2</w:t>
      </w:r>
      <w:r>
        <w:fldChar w:fldCharType="end"/>
      </w:r>
      <w:r w:rsidRPr="00296D96">
        <w:rPr>
          <w:lang w:val="en-GB"/>
        </w:rPr>
        <w:t xml:space="preserve"> : R. rubrum growth (upper panels [dotted lines represent valerate consumption and solid lines represent growth]) and PHA production (lower panels) observed in the presence of valerate plus 50 mM HCO3 (A) and valerate plus progressive addition of </w:t>
      </w:r>
      <w:proofErr w:type="gramStart"/>
      <w:r w:rsidRPr="00296D96">
        <w:rPr>
          <w:lang w:val="en-GB"/>
        </w:rPr>
        <w:t>3  mM</w:t>
      </w:r>
      <w:proofErr w:type="gramEnd"/>
      <w:r w:rsidRPr="00296D96">
        <w:rPr>
          <w:lang w:val="en-GB"/>
        </w:rPr>
        <w:t xml:space="preserve"> bicarbonate ions (vertical lines) (B). 3-Hydroxybutyrate (dark </w:t>
      </w:r>
      <w:proofErr w:type="spellStart"/>
      <w:r w:rsidRPr="00296D96">
        <w:rPr>
          <w:lang w:val="en-GB"/>
        </w:rPr>
        <w:t>gray</w:t>
      </w:r>
      <w:proofErr w:type="spellEnd"/>
      <w:r w:rsidRPr="00296D96">
        <w:rPr>
          <w:lang w:val="en-GB"/>
        </w:rPr>
        <w:t xml:space="preserve">) and 3-hydroxyvalerate (light </w:t>
      </w:r>
      <w:proofErr w:type="spellStart"/>
      <w:r w:rsidRPr="00296D96">
        <w:rPr>
          <w:lang w:val="en-GB"/>
        </w:rPr>
        <w:t>gray</w:t>
      </w:r>
      <w:proofErr w:type="spellEnd"/>
      <w:r w:rsidRPr="00296D96">
        <w:rPr>
          <w:lang w:val="en-GB"/>
        </w:rPr>
        <w:t>) monomer contents were determined by GC-MS analysis (n = 5)</w:t>
      </w:r>
      <w:r>
        <w:rPr>
          <w:lang w:val="en-GB"/>
        </w:rPr>
        <w:t>.</w:t>
      </w:r>
    </w:p>
    <w:p w14:paraId="25DA1B77" w14:textId="77777777" w:rsidR="00296D96" w:rsidRDefault="00296D96" w:rsidP="00296D96">
      <w:pPr>
        <w:rPr>
          <w:lang w:val="en-GB"/>
        </w:rPr>
      </w:pPr>
    </w:p>
    <w:p w14:paraId="4EA98A66" w14:textId="77777777" w:rsidR="00274C9B" w:rsidRDefault="00274C9B" w:rsidP="00296D96">
      <w:pPr>
        <w:rPr>
          <w:lang w:val="en-GB"/>
        </w:rPr>
      </w:pPr>
    </w:p>
    <w:p w14:paraId="281B9D59" w14:textId="77777777" w:rsidR="00274C9B" w:rsidRDefault="00274C9B" w:rsidP="00296D96">
      <w:pPr>
        <w:rPr>
          <w:lang w:val="en-GB"/>
        </w:rPr>
      </w:pPr>
    </w:p>
    <w:p w14:paraId="6304B0C0" w14:textId="08490E5E" w:rsidR="00296D96" w:rsidRPr="00296D96" w:rsidRDefault="00274C9B" w:rsidP="00296D96">
      <w:pPr>
        <w:rPr>
          <w:lang w:val="en-GB"/>
        </w:rPr>
      </w:pPr>
      <w:r>
        <w:rPr>
          <w:noProof/>
          <w:lang w:val="en-GB"/>
        </w:rPr>
        <w:lastRenderedPageBreak/>
        <w:drawing>
          <wp:inline distT="0" distB="0" distL="0" distR="0" wp14:anchorId="27A4B15A" wp14:editId="0581066C">
            <wp:extent cx="5522681" cy="4154170"/>
            <wp:effectExtent l="0" t="0" r="1905" b="0"/>
            <wp:docPr id="172368717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569" cy="41585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764178" w14:textId="5CCFC40F" w:rsidR="00296D96" w:rsidRDefault="00296D96" w:rsidP="00296D96">
      <w:pPr>
        <w:pStyle w:val="Lgende"/>
        <w:rPr>
          <w:lang w:val="en-GB"/>
        </w:rPr>
      </w:pPr>
      <w:r w:rsidRPr="00296D96">
        <w:rPr>
          <w:lang w:val="en-GB"/>
        </w:rPr>
        <w:t xml:space="preserve">Figure </w:t>
      </w:r>
      <w:proofErr w:type="gramStart"/>
      <w:r w:rsidRPr="00296D96">
        <w:rPr>
          <w:lang w:val="en-GB"/>
        </w:rPr>
        <w:t>3 :</w:t>
      </w:r>
      <w:proofErr w:type="gramEnd"/>
      <w:r w:rsidRPr="00296D96">
        <w:rPr>
          <w:lang w:val="en-GB"/>
        </w:rPr>
        <w:t xml:space="preserve"> R. rubrum (</w:t>
      </w:r>
      <w:r w:rsidR="00274C9B">
        <w:rPr>
          <w:lang w:val="en-GB"/>
        </w:rPr>
        <w:t>A</w:t>
      </w:r>
      <w:r>
        <w:rPr>
          <w:lang w:val="en-GB"/>
        </w:rPr>
        <w:t>)</w:t>
      </w:r>
      <w:r w:rsidR="00274C9B">
        <w:rPr>
          <w:lang w:val="en-GB"/>
        </w:rPr>
        <w:t xml:space="preserve">, R. </w:t>
      </w:r>
      <w:proofErr w:type="spellStart"/>
      <w:r w:rsidR="00274C9B">
        <w:rPr>
          <w:lang w:val="en-GB"/>
        </w:rPr>
        <w:t>capsulatus</w:t>
      </w:r>
      <w:proofErr w:type="spellEnd"/>
      <w:r w:rsidR="00274C9B">
        <w:rPr>
          <w:lang w:val="en-GB"/>
        </w:rPr>
        <w:t xml:space="preserve"> (B)</w:t>
      </w:r>
      <w:r>
        <w:rPr>
          <w:lang w:val="en-GB"/>
        </w:rPr>
        <w:t xml:space="preserve"> </w:t>
      </w:r>
      <w:r w:rsidRPr="00296D96">
        <w:rPr>
          <w:lang w:val="en-GB"/>
        </w:rPr>
        <w:t>and</w:t>
      </w:r>
      <w:r>
        <w:rPr>
          <w:lang w:val="en-GB"/>
        </w:rPr>
        <w:t xml:space="preserve"> mix culture of R. rubrum and R. </w:t>
      </w:r>
      <w:proofErr w:type="spellStart"/>
      <w:r>
        <w:rPr>
          <w:lang w:val="en-GB"/>
        </w:rPr>
        <w:t>capsulatus</w:t>
      </w:r>
      <w:proofErr w:type="spellEnd"/>
      <w:r>
        <w:rPr>
          <w:lang w:val="en-GB"/>
        </w:rPr>
        <w:t xml:space="preserve"> (</w:t>
      </w:r>
      <w:r w:rsidR="00274C9B">
        <w:rPr>
          <w:lang w:val="en-GB"/>
        </w:rPr>
        <w:t>C and D</w:t>
      </w:r>
      <w:r>
        <w:rPr>
          <w:lang w:val="en-GB"/>
        </w:rPr>
        <w:t xml:space="preserve">) growth under photoheterotrophic </w:t>
      </w:r>
      <w:r w:rsidR="00274C9B">
        <w:rPr>
          <w:lang w:val="en-GB"/>
        </w:rPr>
        <w:t>conditions in presence of partially hydrolysed (A, B and C) or non-hydrolysed (D) sucrose. N=5.</w:t>
      </w:r>
    </w:p>
    <w:p w14:paraId="2352B00C" w14:textId="5FD788AC" w:rsidR="00AA5EF8" w:rsidRPr="000819F2" w:rsidRDefault="00AA5EF8" w:rsidP="000819F2">
      <w:pPr>
        <w:jc w:val="both"/>
        <w:rPr>
          <w:lang w:val="en-GB"/>
        </w:rPr>
      </w:pPr>
    </w:p>
    <w:sectPr w:rsidR="00AA5EF8" w:rsidRPr="00081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F2"/>
    <w:rsid w:val="000819F2"/>
    <w:rsid w:val="00215605"/>
    <w:rsid w:val="00274C9B"/>
    <w:rsid w:val="00296D96"/>
    <w:rsid w:val="00495800"/>
    <w:rsid w:val="005E0498"/>
    <w:rsid w:val="009D72DC"/>
    <w:rsid w:val="009F1EDC"/>
    <w:rsid w:val="00AA11E3"/>
    <w:rsid w:val="00AA5EF8"/>
    <w:rsid w:val="00B574A1"/>
    <w:rsid w:val="00D207A4"/>
    <w:rsid w:val="00D94D86"/>
    <w:rsid w:val="00DD37C2"/>
    <w:rsid w:val="00E14C35"/>
    <w:rsid w:val="00E62551"/>
    <w:rsid w:val="00E74719"/>
    <w:rsid w:val="00ED4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B2609"/>
  <w15:chartTrackingRefBased/>
  <w15:docId w15:val="{ECC1EB71-A4BE-486D-97AC-6A82F59C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Lgende">
    <w:name w:val="caption"/>
    <w:basedOn w:val="Normal"/>
    <w:next w:val="Normal"/>
    <w:uiPriority w:val="35"/>
    <w:unhideWhenUsed/>
    <w:qFormat/>
    <w:rsid w:val="00296D9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Rvision">
    <w:name w:val="Revision"/>
    <w:hidden/>
    <w:uiPriority w:val="99"/>
    <w:semiHidden/>
    <w:rsid w:val="00DD37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643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Guillaume BAYON-VICENTE</dc:creator>
  <cp:keywords/>
  <dc:description/>
  <cp:lastModifiedBy>Guillaume BAYON-VICENTE</cp:lastModifiedBy>
  <cp:revision>2</cp:revision>
  <dcterms:created xsi:type="dcterms:W3CDTF">2024-01-15T08:02:00Z</dcterms:created>
  <dcterms:modified xsi:type="dcterms:W3CDTF">2024-01-15T08:02:00Z</dcterms:modified>
</cp:coreProperties>
</file>