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D3A4" w14:textId="4CC14B5E" w:rsidR="008B7708" w:rsidRPr="00697F3B" w:rsidRDefault="009A428A" w:rsidP="00C2449F">
      <w:pPr>
        <w:spacing w:after="240" w:line="360" w:lineRule="auto"/>
        <w:jc w:val="center"/>
        <w:rPr>
          <w:u w:val="single"/>
        </w:rPr>
      </w:pPr>
      <w:r w:rsidRPr="00697F3B">
        <w:rPr>
          <w:u w:val="single"/>
        </w:rPr>
        <w:t>Les fonds d’investissement socialement responsables</w:t>
      </w:r>
      <w:r w:rsidR="00117006" w:rsidRPr="00697F3B">
        <w:rPr>
          <w:u w:val="single"/>
        </w:rPr>
        <w:t xml:space="preserve"> (ISR)</w:t>
      </w:r>
      <w:r w:rsidRPr="00697F3B">
        <w:rPr>
          <w:u w:val="single"/>
        </w:rPr>
        <w:t xml:space="preserve"> sont-ils vraiment responsables </w:t>
      </w:r>
      <w:r w:rsidR="00C2449F" w:rsidRPr="00697F3B">
        <w:rPr>
          <w:u w:val="single"/>
        </w:rPr>
        <w:t>com</w:t>
      </w:r>
      <w:r w:rsidRPr="00697F3B">
        <w:rPr>
          <w:u w:val="single"/>
        </w:rPr>
        <w:t xml:space="preserve">me ils le </w:t>
      </w:r>
      <w:r w:rsidRPr="00697F3B">
        <w:rPr>
          <w:color w:val="000000" w:themeColor="text1"/>
          <w:u w:val="single"/>
        </w:rPr>
        <w:t>prétendent ?</w:t>
      </w:r>
      <w:r w:rsidR="002D01FE" w:rsidRPr="00697F3B">
        <w:rPr>
          <w:color w:val="000000" w:themeColor="text1"/>
          <w:u w:val="single"/>
        </w:rPr>
        <w:t xml:space="preserve"> Le cas de la </w:t>
      </w:r>
      <w:r w:rsidR="009C0D77" w:rsidRPr="00697F3B">
        <w:rPr>
          <w:color w:val="000000" w:themeColor="text1"/>
          <w:u w:val="single"/>
        </w:rPr>
        <w:t>Belgique.</w:t>
      </w:r>
    </w:p>
    <w:p w14:paraId="282EE1F9" w14:textId="18DBDA9A" w:rsidR="008D33D0" w:rsidRPr="00697F3B" w:rsidRDefault="008D33D0" w:rsidP="003739A1">
      <w:pPr>
        <w:spacing w:after="240" w:line="360" w:lineRule="auto"/>
        <w:rPr>
          <w:i/>
          <w:iCs/>
        </w:rPr>
      </w:pPr>
      <w:r w:rsidRPr="00697F3B">
        <w:rPr>
          <w:i/>
          <w:iCs/>
        </w:rPr>
        <w:t xml:space="preserve">English version </w:t>
      </w:r>
      <w:proofErr w:type="spellStart"/>
      <w:r w:rsidRPr="00697F3B">
        <w:rPr>
          <w:i/>
          <w:iCs/>
        </w:rPr>
        <w:t>below</w:t>
      </w:r>
      <w:proofErr w:type="spellEnd"/>
    </w:p>
    <w:p w14:paraId="7BCD0B02" w14:textId="77777777" w:rsidR="00A2663C" w:rsidRPr="00697F3B" w:rsidRDefault="00A2663C" w:rsidP="00A2663C">
      <w:pPr>
        <w:spacing w:before="240" w:after="240" w:line="360" w:lineRule="auto"/>
        <w:rPr>
          <w:b/>
          <w:bCs/>
          <w:smallCaps/>
          <w:sz w:val="28"/>
          <w:szCs w:val="28"/>
        </w:rPr>
      </w:pPr>
      <w:r w:rsidRPr="00697F3B">
        <w:rPr>
          <w:b/>
          <w:bCs/>
          <w:smallCaps/>
          <w:sz w:val="28"/>
          <w:szCs w:val="28"/>
        </w:rPr>
        <w:t>Résumé</w:t>
      </w:r>
    </w:p>
    <w:p w14:paraId="5112092E" w14:textId="59413BC5" w:rsidR="00117006" w:rsidRPr="00697F3B" w:rsidRDefault="003D3714" w:rsidP="001218D2">
      <w:pPr>
        <w:spacing w:before="240" w:after="240" w:line="360" w:lineRule="auto"/>
        <w:jc w:val="both"/>
        <w:rPr>
          <w:rFonts w:eastAsiaTheme="minorHAnsi"/>
          <w:color w:val="000000" w:themeColor="text1"/>
          <w:shd w:val="clear" w:color="auto" w:fill="FFFFFF"/>
          <w:lang w:eastAsia="en-US"/>
        </w:rPr>
      </w:pPr>
      <w:r w:rsidRPr="00697F3B">
        <w:rPr>
          <w:color w:val="000000" w:themeColor="text1"/>
          <w:shd w:val="clear" w:color="auto" w:fill="FFFFFF"/>
        </w:rPr>
        <w:t xml:space="preserve">Cette </w:t>
      </w:r>
      <w:r w:rsidR="00117006" w:rsidRPr="00697F3B">
        <w:rPr>
          <w:color w:val="000000" w:themeColor="text1"/>
          <w:shd w:val="clear" w:color="auto" w:fill="FFFFFF"/>
        </w:rPr>
        <w:t>étude analyse</w:t>
      </w:r>
      <w:r w:rsidR="009B108B" w:rsidRPr="00697F3B">
        <w:rPr>
          <w:color w:val="000000" w:themeColor="text1"/>
          <w:shd w:val="clear" w:color="auto" w:fill="FFFFFF"/>
        </w:rPr>
        <w:t xml:space="preserve"> la</w:t>
      </w:r>
      <w:r w:rsidRPr="00697F3B">
        <w:rPr>
          <w:color w:val="000000" w:themeColor="text1"/>
          <w:shd w:val="clear" w:color="auto" w:fill="FFFFFF"/>
        </w:rPr>
        <w:t xml:space="preserve"> performance extra-financière de</w:t>
      </w:r>
      <w:r w:rsidR="009B108B" w:rsidRPr="00697F3B">
        <w:rPr>
          <w:color w:val="000000" w:themeColor="text1"/>
          <w:shd w:val="clear" w:color="auto" w:fill="FFFFFF"/>
        </w:rPr>
        <w:t xml:space="preserve"> 68 </w:t>
      </w:r>
      <w:r w:rsidRPr="00697F3B">
        <w:rPr>
          <w:color w:val="000000" w:themeColor="text1"/>
          <w:shd w:val="clear" w:color="auto" w:fill="FFFFFF"/>
        </w:rPr>
        <w:t xml:space="preserve">fonds </w:t>
      </w:r>
      <w:r w:rsidR="00117006" w:rsidRPr="00697F3B">
        <w:rPr>
          <w:color w:val="000000" w:themeColor="text1"/>
          <w:shd w:val="clear" w:color="auto" w:fill="FFFFFF"/>
        </w:rPr>
        <w:t xml:space="preserve">ISR </w:t>
      </w:r>
      <w:r w:rsidR="009B108B" w:rsidRPr="00697F3B">
        <w:rPr>
          <w:color w:val="000000" w:themeColor="text1"/>
          <w:shd w:val="clear" w:color="auto" w:fill="FFFFFF"/>
        </w:rPr>
        <w:t>belges</w:t>
      </w:r>
      <w:r w:rsidR="0054225F" w:rsidRPr="00697F3B">
        <w:rPr>
          <w:color w:val="000000" w:themeColor="text1"/>
          <w:shd w:val="clear" w:color="auto" w:fill="FFFFFF"/>
        </w:rPr>
        <w:t>.</w:t>
      </w:r>
      <w:r w:rsidR="00F3019B" w:rsidRPr="00697F3B">
        <w:rPr>
          <w:color w:val="000000" w:themeColor="text1"/>
          <w:shd w:val="clear" w:color="auto" w:fill="FFFFFF"/>
        </w:rPr>
        <w:t xml:space="preserve"> Elle montre qu</w:t>
      </w:r>
      <w:r w:rsidR="00117006" w:rsidRPr="00697F3B">
        <w:rPr>
          <w:color w:val="000000" w:themeColor="text1"/>
          <w:shd w:val="clear" w:color="auto" w:fill="FFFFFF"/>
        </w:rPr>
        <w:t xml:space="preserve">’ils </w:t>
      </w:r>
      <w:r w:rsidR="00D951E1" w:rsidRPr="00697F3B">
        <w:rPr>
          <w:color w:val="000000" w:themeColor="text1"/>
          <w:shd w:val="clear" w:color="auto" w:fill="FFFFFF"/>
        </w:rPr>
        <w:t>ont</w:t>
      </w:r>
      <w:r w:rsidR="0054225F" w:rsidRPr="00697F3B">
        <w:rPr>
          <w:color w:val="000000" w:themeColor="text1"/>
          <w:shd w:val="clear" w:color="auto" w:fill="FFFFFF"/>
        </w:rPr>
        <w:t xml:space="preserve"> </w:t>
      </w:r>
      <w:r w:rsidRPr="00697F3B">
        <w:rPr>
          <w:rFonts w:eastAsiaTheme="minorHAnsi"/>
          <w:color w:val="000000" w:themeColor="text1"/>
          <w:shd w:val="clear" w:color="auto" w:fill="FFFFFF"/>
          <w:lang w:eastAsia="en-US"/>
        </w:rPr>
        <w:t xml:space="preserve">une meilleure performance extra-financière que </w:t>
      </w:r>
      <w:r w:rsidR="00117006" w:rsidRPr="00697F3B">
        <w:rPr>
          <w:rFonts w:eastAsiaTheme="minorHAnsi"/>
          <w:color w:val="000000" w:themeColor="text1"/>
          <w:shd w:val="clear" w:color="auto" w:fill="FFFFFF"/>
          <w:lang w:eastAsia="en-US"/>
        </w:rPr>
        <w:t>les fonds</w:t>
      </w:r>
      <w:r w:rsidR="00F3019B" w:rsidRPr="00697F3B">
        <w:rPr>
          <w:rFonts w:eastAsiaTheme="minorHAnsi"/>
          <w:color w:val="000000" w:themeColor="text1"/>
          <w:shd w:val="clear" w:color="auto" w:fill="FFFFFF"/>
          <w:lang w:eastAsia="en-US"/>
        </w:rPr>
        <w:t xml:space="preserve"> traditionnels</w:t>
      </w:r>
      <w:r w:rsidR="000243B8">
        <w:rPr>
          <w:rFonts w:eastAsiaTheme="minorHAnsi"/>
          <w:color w:val="000000" w:themeColor="text1"/>
          <w:shd w:val="clear" w:color="auto" w:fill="FFFFFF"/>
          <w:lang w:eastAsia="en-US"/>
        </w:rPr>
        <w:t xml:space="preserve">, </w:t>
      </w:r>
      <w:r w:rsidR="00D951E1" w:rsidRPr="00697F3B">
        <w:rPr>
          <w:rFonts w:eastAsiaTheme="minorHAnsi"/>
          <w:color w:val="000000" w:themeColor="text1"/>
          <w:shd w:val="clear" w:color="auto" w:fill="FFFFFF"/>
          <w:lang w:eastAsia="en-US"/>
        </w:rPr>
        <w:t xml:space="preserve">mais </w:t>
      </w:r>
      <w:r w:rsidR="000243B8">
        <w:rPr>
          <w:rFonts w:eastAsiaTheme="minorHAnsi"/>
          <w:color w:val="000000" w:themeColor="text1"/>
          <w:shd w:val="clear" w:color="auto" w:fill="FFFFFF"/>
          <w:lang w:eastAsia="en-US"/>
        </w:rPr>
        <w:t xml:space="preserve">qu’ils </w:t>
      </w:r>
      <w:r w:rsidR="005C1F7E" w:rsidRPr="00697F3B">
        <w:rPr>
          <w:rFonts w:eastAsiaTheme="minorHAnsi"/>
          <w:color w:val="000000" w:themeColor="text1"/>
          <w:shd w:val="clear" w:color="auto" w:fill="FFFFFF"/>
          <w:lang w:eastAsia="en-US"/>
        </w:rPr>
        <w:t>présentent des risques extra-financiers</w:t>
      </w:r>
      <w:r w:rsidR="00F3019B" w:rsidRPr="00697F3B">
        <w:rPr>
          <w:rFonts w:eastAsiaTheme="minorHAnsi"/>
          <w:color w:val="000000" w:themeColor="text1"/>
          <w:shd w:val="clear" w:color="auto" w:fill="FFFFFF"/>
          <w:lang w:eastAsia="en-US"/>
        </w:rPr>
        <w:t xml:space="preserve"> et </w:t>
      </w:r>
      <w:r w:rsidR="001E0A12" w:rsidRPr="00697F3B">
        <w:rPr>
          <w:rFonts w:eastAsiaTheme="minorHAnsi"/>
          <w:color w:val="000000" w:themeColor="text1"/>
          <w:shd w:val="clear" w:color="auto" w:fill="FFFFFF"/>
          <w:lang w:eastAsia="en-US"/>
        </w:rPr>
        <w:t>investissent parfois dans des secteurs contestables</w:t>
      </w:r>
      <w:r w:rsidR="00D84E31" w:rsidRPr="00697F3B">
        <w:rPr>
          <w:rFonts w:eastAsiaTheme="minorHAnsi"/>
          <w:color w:val="000000" w:themeColor="text1"/>
          <w:shd w:val="clear" w:color="auto" w:fill="FFFFFF"/>
          <w:lang w:eastAsia="en-US"/>
        </w:rPr>
        <w:t>.</w:t>
      </w:r>
      <w:r w:rsidR="00117006" w:rsidRPr="00697F3B">
        <w:rPr>
          <w:rFonts w:eastAsiaTheme="minorHAnsi"/>
          <w:color w:val="000000" w:themeColor="text1"/>
          <w:shd w:val="clear" w:color="auto" w:fill="FFFFFF"/>
          <w:lang w:eastAsia="en-US"/>
        </w:rPr>
        <w:t xml:space="preserve"> </w:t>
      </w:r>
      <w:r w:rsidR="00D951E1" w:rsidRPr="00697F3B">
        <w:rPr>
          <w:rFonts w:eastAsiaTheme="minorHAnsi"/>
          <w:color w:val="000000" w:themeColor="text1"/>
          <w:shd w:val="clear" w:color="auto" w:fill="FFFFFF"/>
          <w:lang w:eastAsia="en-US"/>
        </w:rPr>
        <w:t>Parmi les fonds ISR, les fonds Article 9 performent parfois mieux que les fonds Article 8 (SFDR), ce qui souligne</w:t>
      </w:r>
      <w:r w:rsidR="00D951E1" w:rsidRPr="00697F3B">
        <w:rPr>
          <w:color w:val="000000" w:themeColor="text1"/>
          <w:shd w:val="clear" w:color="auto" w:fill="FFFFFF"/>
        </w:rPr>
        <w:t xml:space="preserve"> </w:t>
      </w:r>
      <w:r w:rsidR="00D951E1" w:rsidRPr="00697F3B">
        <w:rPr>
          <w:rFonts w:eastAsiaTheme="minorHAnsi"/>
          <w:color w:val="000000" w:themeColor="text1"/>
          <w:shd w:val="clear" w:color="auto" w:fill="FFFFFF"/>
          <w:lang w:eastAsia="en-US"/>
        </w:rPr>
        <w:t>un besoin de réglementations plus strictes. L’étude montre</w:t>
      </w:r>
      <w:r w:rsidR="00117006" w:rsidRPr="00697F3B">
        <w:rPr>
          <w:rFonts w:eastAsiaTheme="minorHAnsi"/>
          <w:color w:val="000000" w:themeColor="text1"/>
          <w:shd w:val="clear" w:color="auto" w:fill="FFFFFF"/>
          <w:lang w:eastAsia="en-US"/>
        </w:rPr>
        <w:t xml:space="preserve"> également que la performance extra-financière des fonds ISR ne varie pas de manière significative d’une agence de notation à l’autre. </w:t>
      </w:r>
    </w:p>
    <w:p w14:paraId="24FBCC44" w14:textId="77777777" w:rsidR="00A2663C" w:rsidRPr="00697F3B" w:rsidRDefault="00A2663C" w:rsidP="00A2663C">
      <w:pPr>
        <w:spacing w:before="240" w:after="240" w:line="360" w:lineRule="auto"/>
        <w:rPr>
          <w:b/>
          <w:bCs/>
          <w:smallCaps/>
          <w:sz w:val="28"/>
          <w:szCs w:val="28"/>
        </w:rPr>
      </w:pPr>
      <w:r w:rsidRPr="00697F3B">
        <w:rPr>
          <w:b/>
          <w:bCs/>
          <w:smallCaps/>
          <w:sz w:val="28"/>
          <w:szCs w:val="28"/>
        </w:rPr>
        <w:t>Mots-clés</w:t>
      </w:r>
    </w:p>
    <w:p w14:paraId="034C6643" w14:textId="73DC7D88" w:rsidR="00A2663C" w:rsidRPr="00697F3B" w:rsidRDefault="00A2663C" w:rsidP="00A2663C">
      <w:pPr>
        <w:spacing w:after="240" w:line="360" w:lineRule="auto"/>
      </w:pPr>
      <w:r w:rsidRPr="00697F3B">
        <w:t>Investissement socialement responsable – ISR – Fonds d’investissement – Performance extra-financière</w:t>
      </w:r>
      <w:r w:rsidR="00EE77E6" w:rsidRPr="00697F3B">
        <w:t xml:space="preserve"> - SFDR</w:t>
      </w:r>
    </w:p>
    <w:p w14:paraId="309DCFE7" w14:textId="0D715FCE" w:rsidR="00A2663C" w:rsidRPr="00697F3B" w:rsidRDefault="00A2663C" w:rsidP="00A2663C">
      <w:pPr>
        <w:spacing w:after="240" w:line="360" w:lineRule="auto"/>
        <w:jc w:val="center"/>
        <w:rPr>
          <w:u w:val="single"/>
          <w:lang w:val="en-US"/>
        </w:rPr>
      </w:pPr>
      <w:r w:rsidRPr="00697F3B">
        <w:rPr>
          <w:u w:val="single"/>
          <w:lang w:val="en-US"/>
        </w:rPr>
        <w:t>Are socially responsible investment funds</w:t>
      </w:r>
      <w:r w:rsidR="008D7B8C" w:rsidRPr="00697F3B">
        <w:rPr>
          <w:u w:val="single"/>
          <w:lang w:val="en-US"/>
        </w:rPr>
        <w:t xml:space="preserve"> (SRI)</w:t>
      </w:r>
      <w:r w:rsidRPr="00697F3B">
        <w:rPr>
          <w:u w:val="single"/>
          <w:lang w:val="en-US"/>
        </w:rPr>
        <w:t xml:space="preserve"> as profitable and responsible as they claim?</w:t>
      </w:r>
      <w:r w:rsidR="008D7B8C" w:rsidRPr="00697F3B">
        <w:rPr>
          <w:u w:val="single"/>
          <w:lang w:val="en-US"/>
        </w:rPr>
        <w:t xml:space="preserve"> The case of Belgium.</w:t>
      </w:r>
    </w:p>
    <w:p w14:paraId="313D921B" w14:textId="77777777" w:rsidR="00A2663C" w:rsidRPr="00697F3B" w:rsidRDefault="00A2663C" w:rsidP="00A2663C">
      <w:pPr>
        <w:spacing w:before="240" w:after="240" w:line="360" w:lineRule="auto"/>
        <w:rPr>
          <w:b/>
          <w:bCs/>
          <w:smallCaps/>
          <w:sz w:val="28"/>
          <w:szCs w:val="28"/>
          <w:lang w:val="en-US"/>
        </w:rPr>
      </w:pPr>
      <w:r w:rsidRPr="00697F3B">
        <w:rPr>
          <w:b/>
          <w:bCs/>
          <w:smallCaps/>
          <w:sz w:val="28"/>
          <w:szCs w:val="28"/>
          <w:lang w:val="en-US"/>
        </w:rPr>
        <w:t>ABSTRACT</w:t>
      </w:r>
    </w:p>
    <w:p w14:paraId="407416F3" w14:textId="7727B8C6" w:rsidR="00D951E1" w:rsidRPr="00697F3B" w:rsidRDefault="00D951E1" w:rsidP="00D951E1">
      <w:pPr>
        <w:spacing w:before="240" w:after="240" w:line="360" w:lineRule="auto"/>
        <w:jc w:val="both"/>
        <w:rPr>
          <w:rFonts w:eastAsiaTheme="minorHAnsi"/>
          <w:color w:val="000000" w:themeColor="text1"/>
          <w:shd w:val="clear" w:color="auto" w:fill="FFFFFF"/>
          <w:lang w:val="en-US" w:eastAsia="en-US"/>
        </w:rPr>
      </w:pPr>
      <w:r w:rsidRPr="00697F3B">
        <w:rPr>
          <w:rFonts w:eastAsiaTheme="minorHAnsi"/>
          <w:color w:val="000000" w:themeColor="text1"/>
          <w:shd w:val="clear" w:color="auto" w:fill="FFFFFF"/>
          <w:lang w:val="en-US" w:eastAsia="en-US"/>
        </w:rPr>
        <w:t xml:space="preserve">This study analyzes the extra-financial performance of 68 Belgian SRI funds. It shows that these funds outperform traditional funds in terms of extra-financial performance, but also present extra-financial risks and sometimes invest in questionable sectors. Among SRI funds, Article 9 funds sometimes perform better than Article 8 funds (SFDR), underlining the need for stricter regulations. The study also shows that the extra-financial performance of SRI funds does not vary significantly from one rating agency to another. </w:t>
      </w:r>
    </w:p>
    <w:p w14:paraId="70BF237A" w14:textId="77777777" w:rsidR="008D33D0" w:rsidRPr="00697F3B" w:rsidRDefault="008D33D0" w:rsidP="003739A1">
      <w:pPr>
        <w:spacing w:before="240" w:after="240" w:line="360" w:lineRule="auto"/>
        <w:rPr>
          <w:b/>
          <w:bCs/>
          <w:smallCaps/>
          <w:sz w:val="28"/>
          <w:szCs w:val="28"/>
          <w:lang w:val="en-US"/>
        </w:rPr>
      </w:pPr>
      <w:r w:rsidRPr="00697F3B">
        <w:rPr>
          <w:b/>
          <w:bCs/>
          <w:smallCaps/>
          <w:sz w:val="28"/>
          <w:szCs w:val="28"/>
          <w:lang w:val="en-US"/>
        </w:rPr>
        <w:t>Keywords</w:t>
      </w:r>
    </w:p>
    <w:p w14:paraId="2F7EE917" w14:textId="22731F98" w:rsidR="002D01FE" w:rsidRPr="00697F3B" w:rsidRDefault="008D33D0" w:rsidP="00185C83">
      <w:pPr>
        <w:spacing w:line="360" w:lineRule="auto"/>
        <w:rPr>
          <w:b/>
          <w:bCs/>
          <w:smallCaps/>
          <w:sz w:val="28"/>
          <w:szCs w:val="28"/>
          <w:lang w:val="en-US"/>
        </w:rPr>
      </w:pPr>
      <w:r w:rsidRPr="00697F3B">
        <w:rPr>
          <w:lang w:val="en-US"/>
        </w:rPr>
        <w:t>Socially responsible investment - SRI - Investment funds - Extra-financial performance</w:t>
      </w:r>
      <w:r w:rsidR="00EE77E6" w:rsidRPr="00697F3B">
        <w:rPr>
          <w:lang w:val="en-US"/>
        </w:rPr>
        <w:t xml:space="preserve"> - SFDR</w:t>
      </w:r>
    </w:p>
    <w:p w14:paraId="329A30D1" w14:textId="77777777" w:rsidR="005D1161" w:rsidRPr="00697F3B" w:rsidRDefault="005D1161">
      <w:pPr>
        <w:rPr>
          <w:b/>
          <w:bCs/>
          <w:smallCaps/>
          <w:sz w:val="28"/>
          <w:szCs w:val="28"/>
          <w:lang w:val="en-US"/>
        </w:rPr>
      </w:pPr>
      <w:r w:rsidRPr="00697F3B">
        <w:rPr>
          <w:b/>
          <w:bCs/>
          <w:smallCaps/>
          <w:sz w:val="28"/>
          <w:szCs w:val="28"/>
          <w:lang w:val="en-US"/>
        </w:rPr>
        <w:br w:type="page"/>
      </w:r>
    </w:p>
    <w:p w14:paraId="7AE18DEC" w14:textId="3B5E7ACF" w:rsidR="000A7FBF" w:rsidRPr="00697F3B" w:rsidRDefault="00D2439E" w:rsidP="00185C83">
      <w:pPr>
        <w:spacing w:line="360" w:lineRule="auto"/>
        <w:rPr>
          <w:b/>
          <w:bCs/>
          <w:smallCaps/>
          <w:sz w:val="28"/>
          <w:szCs w:val="28"/>
        </w:rPr>
      </w:pPr>
      <w:r w:rsidRPr="00697F3B">
        <w:rPr>
          <w:b/>
          <w:bCs/>
          <w:smallCaps/>
          <w:sz w:val="28"/>
          <w:szCs w:val="28"/>
          <w:lang w:val="fr-FR"/>
        </w:rPr>
        <w:lastRenderedPageBreak/>
        <w:t>Introduction</w:t>
      </w:r>
    </w:p>
    <w:p w14:paraId="2EC540A1" w14:textId="405FDE8B" w:rsidR="000A7FBF" w:rsidRPr="00697F3B" w:rsidRDefault="00535590" w:rsidP="003739A1">
      <w:pPr>
        <w:spacing w:before="240" w:after="240" w:line="360" w:lineRule="auto"/>
        <w:jc w:val="both"/>
      </w:pPr>
      <w:r w:rsidRPr="00697F3B">
        <w:t>Dans notre monde en pleine mutation,</w:t>
      </w:r>
      <w:r w:rsidR="000A7FBF" w:rsidRPr="00697F3B">
        <w:t xml:space="preserve"> exposé à la crise énergétique,</w:t>
      </w:r>
      <w:r w:rsidR="00D94E53" w:rsidRPr="00697F3B">
        <w:t xml:space="preserve"> à des guerres, etc., </w:t>
      </w:r>
      <w:r w:rsidR="000A7FBF" w:rsidRPr="00697F3B">
        <w:t>le sujet de l’investissement socialement responsable</w:t>
      </w:r>
      <w:r w:rsidR="00CD1D85" w:rsidRPr="00697F3B">
        <w:t xml:space="preserve"> (ISR)</w:t>
      </w:r>
      <w:r w:rsidR="000A7FBF" w:rsidRPr="00697F3B">
        <w:t xml:space="preserve"> </w:t>
      </w:r>
      <w:r w:rsidR="00D94E53" w:rsidRPr="00697F3B">
        <w:t xml:space="preserve">a largement sa place. </w:t>
      </w:r>
    </w:p>
    <w:p w14:paraId="2F3008FD" w14:textId="4C35AB4A" w:rsidR="009F5DEE" w:rsidRPr="00697F3B" w:rsidRDefault="00D94E53" w:rsidP="003739A1">
      <w:pPr>
        <w:spacing w:after="240" w:line="360" w:lineRule="auto"/>
        <w:jc w:val="both"/>
      </w:pPr>
      <w:r w:rsidRPr="00697F3B">
        <w:rPr>
          <w:color w:val="000000" w:themeColor="text1"/>
        </w:rPr>
        <w:t>Mais q</w:t>
      </w:r>
      <w:r w:rsidR="000A7FBF" w:rsidRPr="00697F3B">
        <w:rPr>
          <w:color w:val="000000" w:themeColor="text1"/>
        </w:rPr>
        <w:t>u’est-ce que l’investissement socialement responsable ? Revelli et Viviani (2011) s’accordent pour dire qu’il n’y a pas de réel consensus quant à sa définition. Néanmoins, après avoir passé en revue quelques définition</w:t>
      </w:r>
      <w:r w:rsidR="00F004D0" w:rsidRPr="00697F3B">
        <w:rPr>
          <w:color w:val="000000" w:themeColor="text1"/>
        </w:rPr>
        <w:t>s</w:t>
      </w:r>
      <w:r w:rsidR="00F004D0" w:rsidRPr="00697F3B">
        <w:rPr>
          <w:rStyle w:val="Appelnotedebasdep"/>
          <w:color w:val="000000" w:themeColor="text1"/>
        </w:rPr>
        <w:footnoteReference w:id="1"/>
      </w:r>
      <w:r w:rsidR="00C32815" w:rsidRPr="00697F3B">
        <w:rPr>
          <w:color w:val="000000" w:themeColor="text1"/>
        </w:rPr>
        <w:t>,</w:t>
      </w:r>
      <w:r w:rsidR="00F004D0" w:rsidRPr="00697F3B">
        <w:rPr>
          <w:color w:val="000000" w:themeColor="text1"/>
        </w:rPr>
        <w:t xml:space="preserve"> </w:t>
      </w:r>
      <w:r w:rsidR="000A7FBF" w:rsidRPr="00697F3B">
        <w:rPr>
          <w:color w:val="000000" w:themeColor="text1"/>
        </w:rPr>
        <w:t xml:space="preserve">nous </w:t>
      </w:r>
      <w:r w:rsidR="000A7FBF" w:rsidRPr="00697F3B">
        <w:t>pouvons retenir que l’investissement socialement responsable est un</w:t>
      </w:r>
      <w:r w:rsidR="00AA1C37" w:rsidRPr="00697F3B">
        <w:t xml:space="preserve"> investissement réalisé dans des entreprises en tenant compte de critères extra-financiers</w:t>
      </w:r>
      <w:r w:rsidR="000A7FBF" w:rsidRPr="00697F3B">
        <w:t xml:space="preserve">. </w:t>
      </w:r>
    </w:p>
    <w:p w14:paraId="2488FE39" w14:textId="2AE79E7D" w:rsidR="000A7FBF" w:rsidRPr="00697F3B" w:rsidRDefault="00AA1C37" w:rsidP="003739A1">
      <w:pPr>
        <w:spacing w:after="240" w:line="360" w:lineRule="auto"/>
        <w:jc w:val="both"/>
        <w:rPr>
          <w:color w:val="000000" w:themeColor="text1"/>
        </w:rPr>
      </w:pPr>
      <w:r w:rsidRPr="00697F3B">
        <w:t>En Belgique, la catégorie des fonds d'investissement socialement responsable représente 9</w:t>
      </w:r>
      <w:r w:rsidR="00D925D8" w:rsidRPr="00697F3B">
        <w:t>8</w:t>
      </w:r>
      <w:r w:rsidR="00870D23">
        <w:t xml:space="preserve"> </w:t>
      </w:r>
      <w:r w:rsidRPr="00697F3B">
        <w:t>% de l'ensemble de l'ISR</w:t>
      </w:r>
      <w:r w:rsidR="00D31A0B" w:rsidRPr="00697F3B">
        <w:t xml:space="preserve"> </w:t>
      </w:r>
      <w:r w:rsidR="00D31A0B" w:rsidRPr="00697F3B">
        <w:rPr>
          <w:color w:val="000000" w:themeColor="text1"/>
        </w:rPr>
        <w:t>en 2022</w:t>
      </w:r>
      <w:r w:rsidRPr="00697F3B">
        <w:rPr>
          <w:color w:val="000000" w:themeColor="text1"/>
        </w:rPr>
        <w:t xml:space="preserve"> </w:t>
      </w:r>
      <w:r w:rsidR="000A7FBF" w:rsidRPr="00697F3B">
        <w:rPr>
          <w:color w:val="000000" w:themeColor="text1"/>
        </w:rPr>
        <w:t>(</w:t>
      </w:r>
      <w:r w:rsidR="00D925D8" w:rsidRPr="00697F3B">
        <w:rPr>
          <w:color w:val="000000" w:themeColor="text1"/>
        </w:rPr>
        <w:t xml:space="preserve">Bayot, </w:t>
      </w:r>
      <w:proofErr w:type="spellStart"/>
      <w:r w:rsidR="00D925D8" w:rsidRPr="00697F3B">
        <w:rPr>
          <w:color w:val="000000" w:themeColor="text1"/>
        </w:rPr>
        <w:t>Arslane</w:t>
      </w:r>
      <w:proofErr w:type="spellEnd"/>
      <w:r w:rsidR="00D925D8" w:rsidRPr="00697F3B">
        <w:rPr>
          <w:color w:val="000000" w:themeColor="text1"/>
        </w:rPr>
        <w:t xml:space="preserve"> </w:t>
      </w:r>
      <w:proofErr w:type="spellStart"/>
      <w:r w:rsidR="00D925D8" w:rsidRPr="00697F3B">
        <w:rPr>
          <w:color w:val="000000" w:themeColor="text1"/>
        </w:rPr>
        <w:t>Medjdoub</w:t>
      </w:r>
      <w:proofErr w:type="spellEnd"/>
      <w:r w:rsidR="00D925D8" w:rsidRPr="00697F3B">
        <w:rPr>
          <w:color w:val="000000" w:themeColor="text1"/>
        </w:rPr>
        <w:t xml:space="preserve"> et Provost, 2023</w:t>
      </w:r>
      <w:r w:rsidR="000A7FBF" w:rsidRPr="00697F3B">
        <w:rPr>
          <w:color w:val="000000" w:themeColor="text1"/>
        </w:rPr>
        <w:t>)</w:t>
      </w:r>
      <w:r w:rsidRPr="00697F3B">
        <w:rPr>
          <w:color w:val="000000" w:themeColor="text1"/>
        </w:rPr>
        <w:t>.</w:t>
      </w:r>
      <w:r w:rsidR="00161ABE" w:rsidRPr="00697F3B">
        <w:rPr>
          <w:color w:val="000000" w:themeColor="text1"/>
        </w:rPr>
        <w:t xml:space="preserve"> </w:t>
      </w:r>
      <w:r w:rsidR="000A7FBF" w:rsidRPr="00697F3B">
        <w:rPr>
          <w:color w:val="000000" w:themeColor="text1"/>
        </w:rPr>
        <w:t xml:space="preserve">Il </w:t>
      </w:r>
      <w:r w:rsidR="000A7FBF" w:rsidRPr="00697F3B">
        <w:t>s’a</w:t>
      </w:r>
      <w:r w:rsidR="000A7FBF" w:rsidRPr="00697F3B">
        <w:rPr>
          <w:color w:val="000000" w:themeColor="text1"/>
        </w:rPr>
        <w:t>git de fonds identiques aux fonds d’investissement traditionnels mis à part au niveau du type de critères pris en compte pour les constituer : critères financiers uniquement pour les fonds traditionnels et critères extra-financiers supplémentaires pour les fonds socialement responsables (Pasquini-</w:t>
      </w:r>
      <w:proofErr w:type="spellStart"/>
      <w:r w:rsidR="000A7FBF" w:rsidRPr="00697F3B">
        <w:rPr>
          <w:color w:val="000000" w:themeColor="text1"/>
        </w:rPr>
        <w:t>Descomps</w:t>
      </w:r>
      <w:proofErr w:type="spellEnd"/>
      <w:r w:rsidR="000A7FBF" w:rsidRPr="00697F3B">
        <w:rPr>
          <w:color w:val="000000" w:themeColor="text1"/>
        </w:rPr>
        <w:t xml:space="preserve"> et </w:t>
      </w:r>
      <w:proofErr w:type="spellStart"/>
      <w:r w:rsidR="000A7FBF" w:rsidRPr="00697F3B">
        <w:rPr>
          <w:color w:val="000000" w:themeColor="text1"/>
        </w:rPr>
        <w:t>Teulon</w:t>
      </w:r>
      <w:proofErr w:type="spellEnd"/>
      <w:r w:rsidR="000A7FBF" w:rsidRPr="00697F3B">
        <w:rPr>
          <w:color w:val="000000" w:themeColor="text1"/>
        </w:rPr>
        <w:t xml:space="preserve">, 2013 ; </w:t>
      </w:r>
      <w:proofErr w:type="spellStart"/>
      <w:r w:rsidR="000A7FBF" w:rsidRPr="00697F3B">
        <w:rPr>
          <w:color w:val="000000" w:themeColor="text1"/>
        </w:rPr>
        <w:t>Crifo</w:t>
      </w:r>
      <w:proofErr w:type="spellEnd"/>
      <w:r w:rsidR="000A7FBF" w:rsidRPr="00697F3B">
        <w:rPr>
          <w:color w:val="000000" w:themeColor="text1"/>
        </w:rPr>
        <w:t xml:space="preserve"> et </w:t>
      </w:r>
      <w:proofErr w:type="spellStart"/>
      <w:r w:rsidR="000A7FBF" w:rsidRPr="00697F3B">
        <w:rPr>
          <w:color w:val="000000" w:themeColor="text1"/>
        </w:rPr>
        <w:t>Rebérioux</w:t>
      </w:r>
      <w:proofErr w:type="spellEnd"/>
      <w:r w:rsidR="000A7FBF" w:rsidRPr="00697F3B">
        <w:rPr>
          <w:color w:val="000000" w:themeColor="text1"/>
        </w:rPr>
        <w:t>, 2015 ; Coggins</w:t>
      </w:r>
      <w:r w:rsidR="0043632C" w:rsidRPr="00697F3B">
        <w:rPr>
          <w:color w:val="000000" w:themeColor="text1"/>
        </w:rPr>
        <w:t>, Champagne et Latulippe</w:t>
      </w:r>
      <w:r w:rsidR="000A7FBF" w:rsidRPr="00697F3B">
        <w:rPr>
          <w:color w:val="000000" w:themeColor="text1"/>
        </w:rPr>
        <w:t xml:space="preserve">, 2018). </w:t>
      </w:r>
    </w:p>
    <w:p w14:paraId="539E56ED" w14:textId="7EE329F4" w:rsidR="0057588A" w:rsidRPr="00697F3B" w:rsidRDefault="0017199E" w:rsidP="003739A1">
      <w:pPr>
        <w:spacing w:after="240" w:line="360" w:lineRule="auto"/>
        <w:jc w:val="both"/>
        <w:rPr>
          <w:color w:val="92D050"/>
        </w:rPr>
      </w:pPr>
      <w:r w:rsidRPr="00697F3B">
        <w:rPr>
          <w:color w:val="000000" w:themeColor="text1"/>
        </w:rPr>
        <w:t>Au niveau mondial</w:t>
      </w:r>
      <w:r w:rsidR="0057588A" w:rsidRPr="00697F3B">
        <w:rPr>
          <w:color w:val="000000" w:themeColor="text1"/>
        </w:rPr>
        <w:t xml:space="preserve">, </w:t>
      </w:r>
      <w:r w:rsidR="000B61AD" w:rsidRPr="00697F3B">
        <w:rPr>
          <w:color w:val="000000" w:themeColor="text1"/>
        </w:rPr>
        <w:t>l’investissement socialement responsable</w:t>
      </w:r>
      <w:r w:rsidR="0057588A" w:rsidRPr="00697F3B">
        <w:rPr>
          <w:color w:val="000000" w:themeColor="text1"/>
        </w:rPr>
        <w:t xml:space="preserve"> </w:t>
      </w:r>
      <w:r w:rsidRPr="00697F3B">
        <w:rPr>
          <w:color w:val="000000" w:themeColor="text1"/>
        </w:rPr>
        <w:t xml:space="preserve">a </w:t>
      </w:r>
      <w:r w:rsidR="00B97C27" w:rsidRPr="00697F3B">
        <w:rPr>
          <w:color w:val="000000" w:themeColor="text1"/>
        </w:rPr>
        <w:t>dépass</w:t>
      </w:r>
      <w:r w:rsidRPr="00697F3B">
        <w:rPr>
          <w:color w:val="000000" w:themeColor="text1"/>
        </w:rPr>
        <w:t>é</w:t>
      </w:r>
      <w:r w:rsidR="0057588A" w:rsidRPr="00697F3B">
        <w:rPr>
          <w:color w:val="000000" w:themeColor="text1"/>
        </w:rPr>
        <w:t xml:space="preserve">, fin 2020, </w:t>
      </w:r>
      <w:r w:rsidR="00B97C27" w:rsidRPr="00697F3B">
        <w:rPr>
          <w:color w:val="000000" w:themeColor="text1"/>
        </w:rPr>
        <w:t xml:space="preserve">les </w:t>
      </w:r>
      <w:r w:rsidR="0057588A" w:rsidRPr="00697F3B">
        <w:rPr>
          <w:color w:val="000000" w:themeColor="text1"/>
        </w:rPr>
        <w:t>35</w:t>
      </w:r>
      <w:r w:rsidR="00AC341A" w:rsidRPr="00697F3B">
        <w:rPr>
          <w:color w:val="000000" w:themeColor="text1"/>
        </w:rPr>
        <w:t xml:space="preserve"> </w:t>
      </w:r>
      <w:r w:rsidR="0057588A" w:rsidRPr="00697F3B">
        <w:rPr>
          <w:color w:val="000000" w:themeColor="text1"/>
        </w:rPr>
        <w:t>3</w:t>
      </w:r>
      <w:r w:rsidR="00B97C27" w:rsidRPr="00697F3B">
        <w:rPr>
          <w:color w:val="000000" w:themeColor="text1"/>
        </w:rPr>
        <w:t>00</w:t>
      </w:r>
      <w:r w:rsidR="0057588A" w:rsidRPr="00697F3B">
        <w:rPr>
          <w:color w:val="000000" w:themeColor="text1"/>
        </w:rPr>
        <w:t xml:space="preserve"> milliards de dollars et </w:t>
      </w:r>
      <w:r w:rsidR="00C37F01" w:rsidRPr="00697F3B">
        <w:rPr>
          <w:color w:val="000000" w:themeColor="text1"/>
        </w:rPr>
        <w:t>pour</w:t>
      </w:r>
      <w:r w:rsidR="0057588A" w:rsidRPr="00697F3B">
        <w:rPr>
          <w:color w:val="000000" w:themeColor="text1"/>
        </w:rPr>
        <w:t>sui</w:t>
      </w:r>
      <w:r w:rsidR="000B61AD" w:rsidRPr="00697F3B">
        <w:rPr>
          <w:color w:val="000000" w:themeColor="text1"/>
        </w:rPr>
        <w:t xml:space="preserve">t </w:t>
      </w:r>
      <w:r w:rsidR="0057588A" w:rsidRPr="00697F3B">
        <w:rPr>
          <w:color w:val="000000" w:themeColor="text1"/>
        </w:rPr>
        <w:t>une tendance à la hausse tant au niveau mondial qu’au niveau européen (</w:t>
      </w:r>
      <w:proofErr w:type="spellStart"/>
      <w:r w:rsidR="0057588A" w:rsidRPr="00697F3B">
        <w:rPr>
          <w:color w:val="000000" w:themeColor="text1"/>
        </w:rPr>
        <w:t>Eurosif</w:t>
      </w:r>
      <w:proofErr w:type="spellEnd"/>
      <w:r w:rsidR="0057588A" w:rsidRPr="00697F3B">
        <w:rPr>
          <w:color w:val="000000" w:themeColor="text1"/>
        </w:rPr>
        <w:t xml:space="preserve">, 2014 ; Global </w:t>
      </w:r>
      <w:proofErr w:type="spellStart"/>
      <w:r w:rsidR="0057588A" w:rsidRPr="00697F3B">
        <w:rPr>
          <w:color w:val="000000" w:themeColor="text1"/>
        </w:rPr>
        <w:t>sustainable</w:t>
      </w:r>
      <w:proofErr w:type="spellEnd"/>
      <w:r w:rsidR="0057588A" w:rsidRPr="00697F3B">
        <w:rPr>
          <w:color w:val="000000" w:themeColor="text1"/>
        </w:rPr>
        <w:t xml:space="preserve"> </w:t>
      </w:r>
      <w:proofErr w:type="spellStart"/>
      <w:r w:rsidR="0057588A" w:rsidRPr="00697F3B">
        <w:rPr>
          <w:color w:val="000000" w:themeColor="text1"/>
        </w:rPr>
        <w:t>review</w:t>
      </w:r>
      <w:proofErr w:type="spellEnd"/>
      <w:r w:rsidR="0057588A" w:rsidRPr="00697F3B">
        <w:rPr>
          <w:color w:val="000000" w:themeColor="text1"/>
        </w:rPr>
        <w:t xml:space="preserve">, 2020 ; PwC, 2021). </w:t>
      </w:r>
      <w:r w:rsidR="00EE5293" w:rsidRPr="00697F3B">
        <w:rPr>
          <w:color w:val="000000" w:themeColor="text1"/>
        </w:rPr>
        <w:t>Plus particulièrement, a</w:t>
      </w:r>
      <w:r w:rsidR="0057588A" w:rsidRPr="00697F3B">
        <w:rPr>
          <w:color w:val="000000" w:themeColor="text1"/>
        </w:rPr>
        <w:t xml:space="preserve">u niveau belge, </w:t>
      </w:r>
      <w:r w:rsidR="00EE5293" w:rsidRPr="00697F3B">
        <w:rPr>
          <w:color w:val="000000" w:themeColor="text1"/>
        </w:rPr>
        <w:t xml:space="preserve">l’investissement socialement responsable </w:t>
      </w:r>
      <w:r w:rsidR="00993C6D" w:rsidRPr="00697F3B">
        <w:rPr>
          <w:color w:val="000000" w:themeColor="text1"/>
        </w:rPr>
        <w:t>atteint</w:t>
      </w:r>
      <w:r w:rsidR="00EE5293" w:rsidRPr="00697F3B">
        <w:rPr>
          <w:color w:val="000000" w:themeColor="text1"/>
        </w:rPr>
        <w:t xml:space="preserve"> </w:t>
      </w:r>
      <w:r w:rsidR="00D23C2B" w:rsidRPr="00697F3B">
        <w:rPr>
          <w:color w:val="000000" w:themeColor="text1"/>
        </w:rPr>
        <w:t xml:space="preserve">24,54 </w:t>
      </w:r>
      <w:r w:rsidR="00EE5293" w:rsidRPr="00697F3B">
        <w:rPr>
          <w:color w:val="000000" w:themeColor="text1"/>
        </w:rPr>
        <w:t>milliards d’euros d’encours fin 202</w:t>
      </w:r>
      <w:r w:rsidR="00E7137C" w:rsidRPr="00697F3B">
        <w:rPr>
          <w:color w:val="000000" w:themeColor="text1"/>
        </w:rPr>
        <w:t>2</w:t>
      </w:r>
      <w:r w:rsidR="00EE5293" w:rsidRPr="00697F3B">
        <w:rPr>
          <w:color w:val="000000" w:themeColor="text1"/>
        </w:rPr>
        <w:t>. Les</w:t>
      </w:r>
      <w:r w:rsidR="00357F73" w:rsidRPr="00697F3B">
        <w:rPr>
          <w:color w:val="000000" w:themeColor="text1"/>
        </w:rPr>
        <w:t xml:space="preserve"> 402</w:t>
      </w:r>
      <w:r w:rsidR="00EE5293" w:rsidRPr="00697F3B">
        <w:rPr>
          <w:color w:val="000000" w:themeColor="text1"/>
        </w:rPr>
        <w:t xml:space="preserve"> fonds</w:t>
      </w:r>
      <w:r w:rsidR="00357F73" w:rsidRPr="00697F3B">
        <w:rPr>
          <w:color w:val="000000" w:themeColor="text1"/>
        </w:rPr>
        <w:t xml:space="preserve"> d’investissement socialement responsable </w:t>
      </w:r>
      <w:r w:rsidR="00A21D4A" w:rsidRPr="00697F3B">
        <w:rPr>
          <w:color w:val="000000" w:themeColor="text1"/>
        </w:rPr>
        <w:t xml:space="preserve">(fonds durables </w:t>
      </w:r>
      <w:r w:rsidR="00357F73" w:rsidRPr="00697F3B">
        <w:rPr>
          <w:color w:val="000000" w:themeColor="text1"/>
        </w:rPr>
        <w:t>belges</w:t>
      </w:r>
      <w:r w:rsidR="00A21D4A" w:rsidRPr="00697F3B">
        <w:rPr>
          <w:color w:val="000000" w:themeColor="text1"/>
        </w:rPr>
        <w:t>)</w:t>
      </w:r>
      <w:r w:rsidR="00EE5293" w:rsidRPr="00697F3B">
        <w:rPr>
          <w:color w:val="000000" w:themeColor="text1"/>
        </w:rPr>
        <w:t xml:space="preserve"> </w:t>
      </w:r>
      <w:r w:rsidR="0057588A" w:rsidRPr="00697F3B">
        <w:rPr>
          <w:color w:val="000000" w:themeColor="text1"/>
        </w:rPr>
        <w:t>cumulent,</w:t>
      </w:r>
      <w:r w:rsidR="00EE5293" w:rsidRPr="00697F3B">
        <w:rPr>
          <w:color w:val="000000" w:themeColor="text1"/>
        </w:rPr>
        <w:t xml:space="preserve"> quant-à-eux,</w:t>
      </w:r>
      <w:r w:rsidR="0057588A" w:rsidRPr="00697F3B">
        <w:rPr>
          <w:color w:val="000000" w:themeColor="text1"/>
        </w:rPr>
        <w:t xml:space="preserve"> </w:t>
      </w:r>
      <w:r w:rsidR="008C4BAF" w:rsidRPr="00697F3B">
        <w:rPr>
          <w:color w:val="000000" w:themeColor="text1"/>
        </w:rPr>
        <w:t xml:space="preserve">approximativement </w:t>
      </w:r>
      <w:r w:rsidR="00611947" w:rsidRPr="00697F3B">
        <w:rPr>
          <w:color w:val="000000" w:themeColor="text1"/>
        </w:rPr>
        <w:t>22</w:t>
      </w:r>
      <w:r w:rsidR="00F16137" w:rsidRPr="00697F3B">
        <w:rPr>
          <w:color w:val="000000" w:themeColor="text1"/>
        </w:rPr>
        <w:t xml:space="preserve">,04 </w:t>
      </w:r>
      <w:r w:rsidR="008C4BAF" w:rsidRPr="00697F3B">
        <w:rPr>
          <w:color w:val="000000" w:themeColor="text1"/>
        </w:rPr>
        <w:t>milliards d’euros</w:t>
      </w:r>
      <w:r w:rsidR="00F004D0" w:rsidRPr="00697F3B">
        <w:rPr>
          <w:color w:val="000000" w:themeColor="text1"/>
        </w:rPr>
        <w:t xml:space="preserve"> d’encours</w:t>
      </w:r>
      <w:r w:rsidR="00470506" w:rsidRPr="00697F3B">
        <w:rPr>
          <w:rStyle w:val="Appelnotedebasdep"/>
          <w:color w:val="000000" w:themeColor="text1"/>
        </w:rPr>
        <w:footnoteReference w:id="2"/>
      </w:r>
      <w:r w:rsidR="00F004D0" w:rsidRPr="00697F3B">
        <w:rPr>
          <w:color w:val="000000" w:themeColor="text1"/>
        </w:rPr>
        <w:t xml:space="preserve"> </w:t>
      </w:r>
      <w:r w:rsidR="00EE5293" w:rsidRPr="00697F3B">
        <w:rPr>
          <w:color w:val="000000" w:themeColor="text1"/>
        </w:rPr>
        <w:t>(</w:t>
      </w:r>
      <w:r w:rsidR="000B5A35" w:rsidRPr="00697F3B">
        <w:rPr>
          <w:color w:val="000000" w:themeColor="text1"/>
        </w:rPr>
        <w:t xml:space="preserve">Bayot, </w:t>
      </w:r>
      <w:proofErr w:type="spellStart"/>
      <w:r w:rsidR="00470506" w:rsidRPr="00697F3B">
        <w:rPr>
          <w:color w:val="000000" w:themeColor="text1"/>
        </w:rPr>
        <w:t>Arslane</w:t>
      </w:r>
      <w:proofErr w:type="spellEnd"/>
      <w:r w:rsidR="00470506" w:rsidRPr="00697F3B">
        <w:rPr>
          <w:color w:val="000000" w:themeColor="text1"/>
        </w:rPr>
        <w:t xml:space="preserve"> </w:t>
      </w:r>
      <w:proofErr w:type="spellStart"/>
      <w:r w:rsidR="00470506" w:rsidRPr="00697F3B">
        <w:rPr>
          <w:color w:val="000000" w:themeColor="text1"/>
        </w:rPr>
        <w:t>Medjdoub</w:t>
      </w:r>
      <w:proofErr w:type="spellEnd"/>
      <w:r w:rsidR="00470506" w:rsidRPr="00697F3B">
        <w:rPr>
          <w:color w:val="000000" w:themeColor="text1"/>
        </w:rPr>
        <w:t xml:space="preserve"> </w:t>
      </w:r>
      <w:r w:rsidR="000B5A35" w:rsidRPr="00697F3B">
        <w:rPr>
          <w:color w:val="000000" w:themeColor="text1"/>
        </w:rPr>
        <w:t>et Provost, 2023</w:t>
      </w:r>
      <w:r w:rsidR="00EE5293" w:rsidRPr="00697F3B">
        <w:rPr>
          <w:color w:val="000000" w:themeColor="text1"/>
        </w:rPr>
        <w:t>)</w:t>
      </w:r>
      <w:r w:rsidR="00470506" w:rsidRPr="00697F3B">
        <w:rPr>
          <w:color w:val="000000" w:themeColor="text1"/>
        </w:rPr>
        <w:t>.</w:t>
      </w:r>
    </w:p>
    <w:p w14:paraId="02D8982F" w14:textId="1CE4BB06" w:rsidR="002D01B4" w:rsidRPr="00697F3B" w:rsidRDefault="00535590" w:rsidP="003739A1">
      <w:pPr>
        <w:spacing w:after="240" w:line="360" w:lineRule="auto"/>
        <w:jc w:val="both"/>
        <w:rPr>
          <w:color w:val="000000" w:themeColor="text1"/>
        </w:rPr>
      </w:pPr>
      <w:r w:rsidRPr="00697F3B">
        <w:rPr>
          <w:color w:val="000000" w:themeColor="text1"/>
        </w:rPr>
        <w:t xml:space="preserve">Néanmoins, </w:t>
      </w:r>
      <w:r w:rsidR="00285E5A" w:rsidRPr="00697F3B">
        <w:rPr>
          <w:color w:val="000000" w:themeColor="text1"/>
        </w:rPr>
        <w:t>de nombreux auteurs ont soulevé la question de la confiance en ce type de fonds, sans parvenir à une réponse ferme et définitive</w:t>
      </w:r>
      <w:r w:rsidR="003C449B" w:rsidRPr="00697F3B">
        <w:rPr>
          <w:color w:val="000000" w:themeColor="text1"/>
        </w:rPr>
        <w:t xml:space="preserve"> (</w:t>
      </w:r>
      <w:proofErr w:type="spellStart"/>
      <w:r w:rsidR="008E39F1" w:rsidRPr="00697F3B">
        <w:rPr>
          <w:color w:val="000000" w:themeColor="text1"/>
        </w:rPr>
        <w:t>Nofsinger</w:t>
      </w:r>
      <w:proofErr w:type="spellEnd"/>
      <w:r w:rsidR="008E39F1" w:rsidRPr="00697F3B">
        <w:rPr>
          <w:color w:val="000000" w:themeColor="text1"/>
        </w:rPr>
        <w:t xml:space="preserve"> et Varma, 2012 ; </w:t>
      </w:r>
      <w:r w:rsidR="00677646" w:rsidRPr="00697F3B">
        <w:rPr>
          <w:color w:val="000000" w:themeColor="text1"/>
        </w:rPr>
        <w:t xml:space="preserve">Revelli et Sentis, </w:t>
      </w:r>
      <w:r w:rsidR="00677646" w:rsidRPr="00697F3B">
        <w:rPr>
          <w:color w:val="000000" w:themeColor="text1"/>
        </w:rPr>
        <w:lastRenderedPageBreak/>
        <w:t>2012 ;</w:t>
      </w:r>
      <w:r w:rsidR="002954A3" w:rsidRPr="00697F3B">
        <w:rPr>
          <w:color w:val="000000" w:themeColor="text1"/>
        </w:rPr>
        <w:t xml:space="preserve"> </w:t>
      </w:r>
      <w:proofErr w:type="spellStart"/>
      <w:r w:rsidR="005E19BF" w:rsidRPr="00697F3B">
        <w:rPr>
          <w:color w:val="000000" w:themeColor="text1"/>
        </w:rPr>
        <w:t>Déjean</w:t>
      </w:r>
      <w:proofErr w:type="spellEnd"/>
      <w:r w:rsidR="005E19BF" w:rsidRPr="00697F3B">
        <w:rPr>
          <w:color w:val="000000" w:themeColor="text1"/>
        </w:rPr>
        <w:t xml:space="preserve">, 2006, in </w:t>
      </w:r>
      <w:proofErr w:type="spellStart"/>
      <w:r w:rsidR="003C449B" w:rsidRPr="00697F3B">
        <w:rPr>
          <w:color w:val="000000" w:themeColor="text1"/>
        </w:rPr>
        <w:t>Durif</w:t>
      </w:r>
      <w:proofErr w:type="spellEnd"/>
      <w:r w:rsidR="0084206C" w:rsidRPr="00697F3B">
        <w:rPr>
          <w:color w:val="000000" w:themeColor="text1"/>
        </w:rPr>
        <w:t>, Prim-</w:t>
      </w:r>
      <w:proofErr w:type="spellStart"/>
      <w:r w:rsidR="0084206C" w:rsidRPr="00697F3B">
        <w:rPr>
          <w:color w:val="000000" w:themeColor="text1"/>
        </w:rPr>
        <w:t>Allaz</w:t>
      </w:r>
      <w:proofErr w:type="spellEnd"/>
      <w:r w:rsidR="0084206C" w:rsidRPr="00697F3B">
        <w:rPr>
          <w:color w:val="000000" w:themeColor="text1"/>
        </w:rPr>
        <w:t xml:space="preserve"> et Sami</w:t>
      </w:r>
      <w:r w:rsidR="003C449B" w:rsidRPr="00697F3B">
        <w:rPr>
          <w:color w:val="000000" w:themeColor="text1"/>
        </w:rPr>
        <w:t>, 2013</w:t>
      </w:r>
      <w:r w:rsidR="008F5C92" w:rsidRPr="00697F3B">
        <w:rPr>
          <w:color w:val="000000" w:themeColor="text1"/>
        </w:rPr>
        <w:t xml:space="preserve"> ; </w:t>
      </w:r>
      <w:r w:rsidR="00AE14BF" w:rsidRPr="00697F3B">
        <w:rPr>
          <w:color w:val="000000" w:themeColor="text1"/>
        </w:rPr>
        <w:t xml:space="preserve">Touma, 2018 ; </w:t>
      </w:r>
      <w:proofErr w:type="spellStart"/>
      <w:r w:rsidR="005F2D55" w:rsidRPr="00697F3B">
        <w:rPr>
          <w:color w:val="000000" w:themeColor="text1"/>
        </w:rPr>
        <w:t>Fily</w:t>
      </w:r>
      <w:proofErr w:type="spellEnd"/>
      <w:r w:rsidR="005F2D55" w:rsidRPr="00697F3B">
        <w:rPr>
          <w:color w:val="000000" w:themeColor="text1"/>
        </w:rPr>
        <w:t xml:space="preserve">, 2019 ; </w:t>
      </w:r>
      <w:r w:rsidR="008F5C92" w:rsidRPr="00697F3B">
        <w:rPr>
          <w:color w:val="000000" w:themeColor="text1"/>
        </w:rPr>
        <w:t>Candelon</w:t>
      </w:r>
      <w:r w:rsidR="0084206C" w:rsidRPr="00697F3B">
        <w:rPr>
          <w:color w:val="000000" w:themeColor="text1"/>
        </w:rPr>
        <w:t xml:space="preserve">, Hasse et </w:t>
      </w:r>
      <w:proofErr w:type="spellStart"/>
      <w:r w:rsidR="0084206C" w:rsidRPr="00697F3B">
        <w:rPr>
          <w:color w:val="000000" w:themeColor="text1"/>
        </w:rPr>
        <w:t>Lajaunie</w:t>
      </w:r>
      <w:proofErr w:type="spellEnd"/>
      <w:r w:rsidR="008F5C92" w:rsidRPr="00697F3B">
        <w:rPr>
          <w:color w:val="000000" w:themeColor="text1"/>
        </w:rPr>
        <w:t>, 2021 ;</w:t>
      </w:r>
      <w:r w:rsidR="00AE14BF" w:rsidRPr="00697F3B">
        <w:rPr>
          <w:color w:val="000000" w:themeColor="text1"/>
        </w:rPr>
        <w:t xml:space="preserve"> </w:t>
      </w:r>
      <w:proofErr w:type="spellStart"/>
      <w:r w:rsidR="00AE14BF" w:rsidRPr="00697F3B">
        <w:rPr>
          <w:color w:val="000000" w:themeColor="text1"/>
        </w:rPr>
        <w:t>Chennoufe</w:t>
      </w:r>
      <w:proofErr w:type="spellEnd"/>
      <w:r w:rsidR="0084206C" w:rsidRPr="00697F3B">
        <w:rPr>
          <w:color w:val="000000" w:themeColor="text1"/>
        </w:rPr>
        <w:t>, Cayrol et Provost</w:t>
      </w:r>
      <w:r w:rsidR="00AE14BF" w:rsidRPr="00697F3B">
        <w:rPr>
          <w:color w:val="000000" w:themeColor="text1"/>
        </w:rPr>
        <w:t>, 2021</w:t>
      </w:r>
      <w:r w:rsidR="00EA0107" w:rsidRPr="00697F3B">
        <w:rPr>
          <w:color w:val="000000" w:themeColor="text1"/>
        </w:rPr>
        <w:t>a</w:t>
      </w:r>
      <w:r w:rsidR="003C449B" w:rsidRPr="00697F3B">
        <w:rPr>
          <w:color w:val="000000" w:themeColor="text1"/>
        </w:rPr>
        <w:t>)</w:t>
      </w:r>
      <w:r w:rsidR="00285E5A" w:rsidRPr="00697F3B">
        <w:rPr>
          <w:color w:val="000000" w:themeColor="text1"/>
        </w:rPr>
        <w:t xml:space="preserve">. </w:t>
      </w:r>
      <w:r w:rsidR="00772120" w:rsidRPr="00697F3B">
        <w:rPr>
          <w:color w:val="000000" w:themeColor="text1"/>
        </w:rPr>
        <w:t>Dès lors</w:t>
      </w:r>
      <w:r w:rsidR="00285E5A" w:rsidRPr="00697F3B">
        <w:rPr>
          <w:color w:val="000000" w:themeColor="text1"/>
        </w:rPr>
        <w:t>, nous proposons d’alimenter la recherche scientifique en la matière en se posant la question suivante :</w:t>
      </w:r>
      <w:r w:rsidR="002B45E9" w:rsidRPr="00697F3B">
        <w:rPr>
          <w:color w:val="000000" w:themeColor="text1"/>
        </w:rPr>
        <w:t xml:space="preserve"> </w:t>
      </w:r>
      <w:r w:rsidR="0079709E" w:rsidRPr="00697F3B">
        <w:rPr>
          <w:color w:val="000000" w:themeColor="text1"/>
        </w:rPr>
        <w:t>« Les fonds d’investissement socialement responsables sont-ils vraiment responsables comme ils le prétendent ? »</w:t>
      </w:r>
      <w:r w:rsidR="00285E5A" w:rsidRPr="00697F3B">
        <w:rPr>
          <w:color w:val="000000" w:themeColor="text1"/>
        </w:rPr>
        <w:t xml:space="preserve">. Pour ce faire, nous étudions la </w:t>
      </w:r>
      <w:r w:rsidR="00BB3408" w:rsidRPr="00697F3B">
        <w:rPr>
          <w:color w:val="000000" w:themeColor="text1"/>
        </w:rPr>
        <w:t xml:space="preserve">performance extra-financière de cette catégorie de fonds </w:t>
      </w:r>
      <w:r w:rsidR="00285E5A" w:rsidRPr="00697F3B">
        <w:rPr>
          <w:color w:val="000000" w:themeColor="text1"/>
        </w:rPr>
        <w:t>via</w:t>
      </w:r>
      <w:r w:rsidR="001712A4" w:rsidRPr="00697F3B">
        <w:rPr>
          <w:color w:val="000000" w:themeColor="text1"/>
        </w:rPr>
        <w:t xml:space="preserve"> une démarche quantitative au travers de laquelle nous avons </w:t>
      </w:r>
      <w:r w:rsidR="00285E5A" w:rsidRPr="00697F3B">
        <w:rPr>
          <w:color w:val="000000" w:themeColor="text1"/>
        </w:rPr>
        <w:t xml:space="preserve">analysé </w:t>
      </w:r>
      <w:r w:rsidR="006B3CE6" w:rsidRPr="00697F3B">
        <w:rPr>
          <w:color w:val="000000" w:themeColor="text1"/>
        </w:rPr>
        <w:t>68</w:t>
      </w:r>
      <w:r w:rsidR="001712A4" w:rsidRPr="00697F3B">
        <w:rPr>
          <w:color w:val="000000" w:themeColor="text1"/>
        </w:rPr>
        <w:t xml:space="preserve"> fonds d’investissement socialement responsables présents sur le marché auquel nous appartenons, le marché belge. </w:t>
      </w:r>
    </w:p>
    <w:p w14:paraId="79D731B1" w14:textId="2ADB8A4F" w:rsidR="00781EB8" w:rsidRPr="00697F3B" w:rsidRDefault="00DD185A" w:rsidP="003739A1">
      <w:pPr>
        <w:spacing w:after="240" w:line="360" w:lineRule="auto"/>
        <w:jc w:val="both"/>
        <w:rPr>
          <w:color w:val="000000" w:themeColor="text1"/>
        </w:rPr>
      </w:pPr>
      <w:r w:rsidRPr="00697F3B">
        <w:rPr>
          <w:color w:val="000000" w:themeColor="text1"/>
        </w:rPr>
        <w:t>L’originalité</w:t>
      </w:r>
      <w:r w:rsidR="000E4201" w:rsidRPr="00697F3B">
        <w:rPr>
          <w:color w:val="000000" w:themeColor="text1"/>
        </w:rPr>
        <w:t xml:space="preserve"> principale de notre recherche</w:t>
      </w:r>
      <w:r w:rsidR="008A1F98" w:rsidRPr="00697F3B">
        <w:rPr>
          <w:color w:val="000000" w:themeColor="text1"/>
        </w:rPr>
        <w:t xml:space="preserve"> réside dans l’étude de la performance extra-financière</w:t>
      </w:r>
      <w:r w:rsidR="00D85431" w:rsidRPr="00697F3B">
        <w:rPr>
          <w:color w:val="000000" w:themeColor="text1"/>
        </w:rPr>
        <w:t xml:space="preserve"> </w:t>
      </w:r>
      <w:r w:rsidR="008A1F98" w:rsidRPr="00697F3B">
        <w:rPr>
          <w:color w:val="000000" w:themeColor="text1"/>
        </w:rPr>
        <w:t xml:space="preserve">des fonds d’investissement socialement responsables. </w:t>
      </w:r>
      <w:r w:rsidR="00110B30" w:rsidRPr="00697F3B">
        <w:rPr>
          <w:color w:val="000000" w:themeColor="text1"/>
        </w:rPr>
        <w:t xml:space="preserve">Notre article ne vise pas à étudier la question de la performance </w:t>
      </w:r>
      <w:r w:rsidR="00DA304F" w:rsidRPr="00697F3B">
        <w:rPr>
          <w:color w:val="000000" w:themeColor="text1"/>
        </w:rPr>
        <w:t xml:space="preserve">financière </w:t>
      </w:r>
      <w:r w:rsidR="00110B30" w:rsidRPr="00697F3B">
        <w:rPr>
          <w:color w:val="000000" w:themeColor="text1"/>
        </w:rPr>
        <w:t>des fonds ISR étant</w:t>
      </w:r>
      <w:r w:rsidR="0009047A" w:rsidRPr="00697F3B">
        <w:rPr>
          <w:color w:val="000000" w:themeColor="text1"/>
        </w:rPr>
        <w:t xml:space="preserve"> donné le nombre important d’articles scientifiques </w:t>
      </w:r>
      <w:r w:rsidR="00110B30" w:rsidRPr="00697F3B">
        <w:rPr>
          <w:color w:val="000000" w:themeColor="text1"/>
        </w:rPr>
        <w:t xml:space="preserve">portant sur ce sujet. </w:t>
      </w:r>
      <w:r w:rsidR="00037680" w:rsidRPr="00697F3B">
        <w:rPr>
          <w:color w:val="000000" w:themeColor="text1"/>
        </w:rPr>
        <w:t xml:space="preserve">Plusieurs auteurs montrent en effet que </w:t>
      </w:r>
      <w:r w:rsidR="00356B1B" w:rsidRPr="00697F3B">
        <w:rPr>
          <w:color w:val="000000" w:themeColor="text1"/>
        </w:rPr>
        <w:t xml:space="preserve">ne s’intéresser qu’à la performance </w:t>
      </w:r>
      <w:r w:rsidR="009D16E8" w:rsidRPr="00697F3B">
        <w:rPr>
          <w:color w:val="000000" w:themeColor="text1"/>
        </w:rPr>
        <w:t>financière des fonds ISR</w:t>
      </w:r>
      <w:r w:rsidR="00356B1B" w:rsidRPr="00697F3B">
        <w:rPr>
          <w:color w:val="000000" w:themeColor="text1"/>
        </w:rPr>
        <w:t xml:space="preserve"> n’apporte qu’une compréhension limitée de l</w:t>
      </w:r>
      <w:r w:rsidR="009D16E8" w:rsidRPr="00697F3B">
        <w:rPr>
          <w:color w:val="000000" w:themeColor="text1"/>
        </w:rPr>
        <w:t>eur</w:t>
      </w:r>
      <w:r w:rsidR="00356B1B" w:rsidRPr="00697F3B">
        <w:rPr>
          <w:color w:val="000000" w:themeColor="text1"/>
        </w:rPr>
        <w:t xml:space="preserve"> performance</w:t>
      </w:r>
      <w:r w:rsidR="00677646" w:rsidRPr="00697F3B">
        <w:rPr>
          <w:color w:val="000000" w:themeColor="text1"/>
        </w:rPr>
        <w:t xml:space="preserve"> (</w:t>
      </w:r>
      <w:proofErr w:type="spellStart"/>
      <w:r w:rsidR="000518CB" w:rsidRPr="00697F3B">
        <w:rPr>
          <w:color w:val="000000" w:themeColor="text1"/>
        </w:rPr>
        <w:t>Burlacu</w:t>
      </w:r>
      <w:proofErr w:type="spellEnd"/>
      <w:r w:rsidR="0084206C" w:rsidRPr="00697F3B">
        <w:rPr>
          <w:color w:val="000000" w:themeColor="text1"/>
        </w:rPr>
        <w:t xml:space="preserve">, </w:t>
      </w:r>
      <w:proofErr w:type="spellStart"/>
      <w:r w:rsidR="0084206C" w:rsidRPr="00697F3B">
        <w:rPr>
          <w:color w:val="000000" w:themeColor="text1"/>
        </w:rPr>
        <w:t>Girerd</w:t>
      </w:r>
      <w:proofErr w:type="spellEnd"/>
      <w:r w:rsidR="0084206C" w:rsidRPr="00697F3B">
        <w:rPr>
          <w:color w:val="000000" w:themeColor="text1"/>
        </w:rPr>
        <w:t xml:space="preserve">-Potin et </w:t>
      </w:r>
      <w:proofErr w:type="spellStart"/>
      <w:r w:rsidR="0084206C" w:rsidRPr="00697F3B">
        <w:rPr>
          <w:color w:val="000000" w:themeColor="text1"/>
        </w:rPr>
        <w:t>Dupre</w:t>
      </w:r>
      <w:proofErr w:type="spellEnd"/>
      <w:r w:rsidR="0084206C" w:rsidRPr="00697F3B">
        <w:rPr>
          <w:color w:val="000000" w:themeColor="text1"/>
        </w:rPr>
        <w:t>́,</w:t>
      </w:r>
      <w:r w:rsidR="000518CB" w:rsidRPr="00697F3B">
        <w:rPr>
          <w:color w:val="000000" w:themeColor="text1"/>
        </w:rPr>
        <w:t xml:space="preserve"> 2003 ; Saadaoui, 2009 ; </w:t>
      </w:r>
      <w:r w:rsidR="00677646" w:rsidRPr="00697F3B">
        <w:rPr>
          <w:color w:val="000000" w:themeColor="text1"/>
        </w:rPr>
        <w:t xml:space="preserve">Revelli et Sentis, 2012). </w:t>
      </w:r>
      <w:r w:rsidR="00E70984" w:rsidRPr="00697F3B">
        <w:rPr>
          <w:color w:val="000000" w:themeColor="text1"/>
        </w:rPr>
        <w:t xml:space="preserve">Bien que principale, </w:t>
      </w:r>
      <w:r w:rsidR="00FE6A27" w:rsidRPr="00697F3B">
        <w:rPr>
          <w:color w:val="000000" w:themeColor="text1"/>
        </w:rPr>
        <w:t>la question de la performance extra-financière</w:t>
      </w:r>
      <w:r w:rsidR="00E70984" w:rsidRPr="00697F3B">
        <w:rPr>
          <w:color w:val="000000" w:themeColor="text1"/>
        </w:rPr>
        <w:t xml:space="preserve"> n’est pas la seule originalité de notre recherche</w:t>
      </w:r>
      <w:r w:rsidR="00405D70" w:rsidRPr="00697F3B">
        <w:rPr>
          <w:color w:val="000000" w:themeColor="text1"/>
        </w:rPr>
        <w:t xml:space="preserve"> : la manière dont nous avons constitué notre échantillon l’est </w:t>
      </w:r>
      <w:r w:rsidR="008C4BAF" w:rsidRPr="00697F3B">
        <w:rPr>
          <w:color w:val="000000" w:themeColor="text1"/>
        </w:rPr>
        <w:t>également</w:t>
      </w:r>
      <w:r w:rsidR="00405D70" w:rsidRPr="00697F3B">
        <w:rPr>
          <w:color w:val="000000" w:themeColor="text1"/>
        </w:rPr>
        <w:t xml:space="preserve">. </w:t>
      </w:r>
      <w:r w:rsidR="00EE5D26" w:rsidRPr="00697F3B">
        <w:rPr>
          <w:color w:val="000000" w:themeColor="text1"/>
        </w:rPr>
        <w:t>Premièrement</w:t>
      </w:r>
      <w:r w:rsidR="009A37E7" w:rsidRPr="00697F3B">
        <w:rPr>
          <w:color w:val="000000" w:themeColor="text1"/>
        </w:rPr>
        <w:t>, nous avons choisi de nous focaliser sur le marché belge</w:t>
      </w:r>
      <w:r w:rsidR="005F2902" w:rsidRPr="00697F3B">
        <w:rPr>
          <w:color w:val="000000" w:themeColor="text1"/>
        </w:rPr>
        <w:t xml:space="preserve">, </w:t>
      </w:r>
      <w:r w:rsidR="00E95AF0" w:rsidRPr="00697F3B">
        <w:rPr>
          <w:color w:val="000000" w:themeColor="text1"/>
        </w:rPr>
        <w:t>car</w:t>
      </w:r>
      <w:r w:rsidR="005F2902" w:rsidRPr="00697F3B">
        <w:rPr>
          <w:color w:val="000000" w:themeColor="text1"/>
        </w:rPr>
        <w:t xml:space="preserve">, contrairement à certains pays tels que la France, </w:t>
      </w:r>
      <w:r w:rsidR="00E95AF0" w:rsidRPr="00697F3B">
        <w:rPr>
          <w:color w:val="000000" w:themeColor="text1"/>
        </w:rPr>
        <w:t>il n’y a toujours pas de label ISR défini par les pouvoirs publics</w:t>
      </w:r>
      <w:r w:rsidR="003F49BB" w:rsidRPr="00697F3B">
        <w:rPr>
          <w:color w:val="000000" w:themeColor="text1"/>
        </w:rPr>
        <w:t xml:space="preserve">, ce qui </w:t>
      </w:r>
      <w:r w:rsidR="00E400EF" w:rsidRPr="00697F3B">
        <w:rPr>
          <w:color w:val="000000" w:themeColor="text1"/>
        </w:rPr>
        <w:t>conduit à</w:t>
      </w:r>
      <w:r w:rsidR="003F49BB" w:rsidRPr="00697F3B">
        <w:rPr>
          <w:color w:val="000000" w:themeColor="text1"/>
        </w:rPr>
        <w:t xml:space="preserve"> une certaine méfiance de la part des potentiels investisseurs envers les </w:t>
      </w:r>
      <w:r w:rsidR="00892C34" w:rsidRPr="00697F3B">
        <w:rPr>
          <w:color w:val="000000" w:themeColor="text1"/>
        </w:rPr>
        <w:t>fond</w:t>
      </w:r>
      <w:r w:rsidR="003F49BB" w:rsidRPr="00697F3B">
        <w:rPr>
          <w:color w:val="000000" w:themeColor="text1"/>
        </w:rPr>
        <w:t xml:space="preserve">s qui se proclament être </w:t>
      </w:r>
      <w:r w:rsidR="00892C34" w:rsidRPr="00697F3B">
        <w:rPr>
          <w:color w:val="000000" w:themeColor="text1"/>
        </w:rPr>
        <w:t>socialement responsables (</w:t>
      </w:r>
      <w:r w:rsidR="00547F95" w:rsidRPr="00697F3B">
        <w:rPr>
          <w:color w:val="000000" w:themeColor="text1"/>
        </w:rPr>
        <w:t>Bayot et al.</w:t>
      </w:r>
      <w:r w:rsidR="00892C34" w:rsidRPr="00697F3B">
        <w:rPr>
          <w:color w:val="000000" w:themeColor="text1"/>
        </w:rPr>
        <w:t xml:space="preserve">, 2023). </w:t>
      </w:r>
      <w:r w:rsidR="00800480" w:rsidRPr="00697F3B">
        <w:rPr>
          <w:color w:val="000000" w:themeColor="text1"/>
        </w:rPr>
        <w:t>De plus, le marché des fonds ISR belges a été très peu étudié. Dès lors, analyser</w:t>
      </w:r>
      <w:r w:rsidR="00892C34" w:rsidRPr="00697F3B">
        <w:rPr>
          <w:color w:val="000000" w:themeColor="text1"/>
        </w:rPr>
        <w:t xml:space="preserve"> la performance extra-financière des fonds ISR belges a un important intérêt. </w:t>
      </w:r>
      <w:r w:rsidR="00EE5D26" w:rsidRPr="00697F3B">
        <w:rPr>
          <w:color w:val="000000" w:themeColor="text1"/>
        </w:rPr>
        <w:t>Deuxièmement</w:t>
      </w:r>
      <w:r w:rsidR="00405D70" w:rsidRPr="00697F3B">
        <w:rPr>
          <w:color w:val="000000" w:themeColor="text1"/>
        </w:rPr>
        <w:t>, nous avons été attenti</w:t>
      </w:r>
      <w:r w:rsidR="00602D87">
        <w:rPr>
          <w:color w:val="000000" w:themeColor="text1"/>
        </w:rPr>
        <w:t>ves</w:t>
      </w:r>
      <w:r w:rsidR="00405D70" w:rsidRPr="00697F3B">
        <w:rPr>
          <w:color w:val="000000" w:themeColor="text1"/>
        </w:rPr>
        <w:t xml:space="preserve"> à ce que </w:t>
      </w:r>
      <w:r w:rsidR="009C0D77" w:rsidRPr="00697F3B">
        <w:rPr>
          <w:color w:val="000000" w:themeColor="text1"/>
        </w:rPr>
        <w:t xml:space="preserve">notre échantillon soit </w:t>
      </w:r>
      <w:r w:rsidR="00405D70" w:rsidRPr="00697F3B">
        <w:rPr>
          <w:color w:val="000000" w:themeColor="text1"/>
        </w:rPr>
        <w:t>représentatif du marché belge en</w:t>
      </w:r>
      <w:r w:rsidR="00547F95" w:rsidRPr="00697F3B">
        <w:rPr>
          <w:color w:val="000000" w:themeColor="text1"/>
        </w:rPr>
        <w:t xml:space="preserve"> </w:t>
      </w:r>
      <w:r w:rsidR="00CD1D85" w:rsidRPr="00697F3B">
        <w:rPr>
          <w:color w:val="000000" w:themeColor="text1"/>
        </w:rPr>
        <w:t>choisissant</w:t>
      </w:r>
      <w:r w:rsidR="00405D70" w:rsidRPr="00697F3B">
        <w:rPr>
          <w:color w:val="000000" w:themeColor="text1"/>
        </w:rPr>
        <w:t xml:space="preserve"> d’inclure</w:t>
      </w:r>
      <w:r w:rsidR="0010522D" w:rsidRPr="00697F3B">
        <w:rPr>
          <w:color w:val="000000" w:themeColor="text1"/>
        </w:rPr>
        <w:t xml:space="preserve"> à notre échantillon au minimum un fonds</w:t>
      </w:r>
      <w:r w:rsidR="00547F95" w:rsidRPr="00697F3B">
        <w:rPr>
          <w:color w:val="000000" w:themeColor="text1"/>
        </w:rPr>
        <w:t xml:space="preserve"> d’investissement socialement responsable proposé</w:t>
      </w:r>
      <w:r w:rsidR="009C0D77" w:rsidRPr="00697F3B">
        <w:rPr>
          <w:color w:val="000000" w:themeColor="text1"/>
        </w:rPr>
        <w:t xml:space="preserve"> par chacun d</w:t>
      </w:r>
      <w:r w:rsidR="0010522D" w:rsidRPr="00697F3B">
        <w:rPr>
          <w:color w:val="000000" w:themeColor="text1"/>
        </w:rPr>
        <w:t>es</w:t>
      </w:r>
      <w:r w:rsidR="00547F95" w:rsidRPr="00697F3B">
        <w:rPr>
          <w:color w:val="000000" w:themeColor="text1"/>
        </w:rPr>
        <w:t xml:space="preserve"> principaux promoteurs présents sur le marché belge</w:t>
      </w:r>
      <w:r w:rsidR="00FE547B" w:rsidRPr="00697F3B">
        <w:rPr>
          <w:color w:val="000000" w:themeColor="text1"/>
        </w:rPr>
        <w:t xml:space="preserve"> qui possèdent plus de </w:t>
      </w:r>
      <w:r w:rsidR="00232F4C" w:rsidRPr="00697F3B">
        <w:rPr>
          <w:color w:val="000000" w:themeColor="text1"/>
        </w:rPr>
        <w:t>8% de parts de marché</w:t>
      </w:r>
      <w:r w:rsidR="005D1161" w:rsidRPr="00697F3B">
        <w:rPr>
          <w:color w:val="000000" w:themeColor="text1"/>
        </w:rPr>
        <w:t xml:space="preserve">. </w:t>
      </w:r>
      <w:r w:rsidR="008942CA" w:rsidRPr="00697F3B">
        <w:rPr>
          <w:color w:val="000000" w:themeColor="text1"/>
        </w:rPr>
        <w:t>Troisièmemen</w:t>
      </w:r>
      <w:r w:rsidR="005D1161" w:rsidRPr="00697F3B">
        <w:rPr>
          <w:color w:val="000000" w:themeColor="text1"/>
        </w:rPr>
        <w:t>t</w:t>
      </w:r>
      <w:r w:rsidR="00781EB8" w:rsidRPr="00697F3B">
        <w:rPr>
          <w:color w:val="000000" w:themeColor="text1"/>
        </w:rPr>
        <w:t>, en ce qui concerne l’analyse de la performance extra-financière des fonds d’investissement socialement responsables, nous ne nous sommes pas contenté</w:t>
      </w:r>
      <w:r w:rsidR="00B517C2">
        <w:rPr>
          <w:color w:val="000000" w:themeColor="text1"/>
        </w:rPr>
        <w:t>e</w:t>
      </w:r>
      <w:r w:rsidR="00781EB8" w:rsidRPr="00697F3B">
        <w:rPr>
          <w:color w:val="000000" w:themeColor="text1"/>
        </w:rPr>
        <w:t xml:space="preserve">s de </w:t>
      </w:r>
      <w:r w:rsidR="008942CA" w:rsidRPr="00697F3B">
        <w:rPr>
          <w:color w:val="000000" w:themeColor="text1"/>
        </w:rPr>
        <w:t>réaliser une analyse extra-financière</w:t>
      </w:r>
      <w:r w:rsidR="0010522D" w:rsidRPr="00697F3B">
        <w:rPr>
          <w:color w:val="000000" w:themeColor="text1"/>
        </w:rPr>
        <w:t xml:space="preserve"> des fonds ISR. Nous avons également comparé</w:t>
      </w:r>
      <w:r w:rsidR="00781EB8" w:rsidRPr="00697F3B">
        <w:rPr>
          <w:color w:val="000000" w:themeColor="text1"/>
        </w:rPr>
        <w:t xml:space="preserve"> </w:t>
      </w:r>
      <w:r w:rsidR="0010522D" w:rsidRPr="00697F3B">
        <w:rPr>
          <w:color w:val="000000" w:themeColor="text1"/>
        </w:rPr>
        <w:t xml:space="preserve">cette dernière à la performance extra-financière de fonds traditionnels. Aussi, nous avons pris en compte la nouvelle </w:t>
      </w:r>
      <w:r w:rsidR="00F730AC" w:rsidRPr="00697F3B">
        <w:rPr>
          <w:color w:val="000000" w:themeColor="text1"/>
        </w:rPr>
        <w:t>règlementation</w:t>
      </w:r>
      <w:r w:rsidR="0010522D" w:rsidRPr="00697F3B">
        <w:rPr>
          <w:color w:val="000000" w:themeColor="text1"/>
        </w:rPr>
        <w:t xml:space="preserve"> SFDR</w:t>
      </w:r>
      <w:r w:rsidR="00D16C96" w:rsidRPr="00697F3B">
        <w:rPr>
          <w:color w:val="000000" w:themeColor="text1"/>
        </w:rPr>
        <w:t xml:space="preserve"> (</w:t>
      </w:r>
      <w:proofErr w:type="spellStart"/>
      <w:r w:rsidR="00D16C96" w:rsidRPr="00697F3B">
        <w:rPr>
          <w:color w:val="000000" w:themeColor="text1"/>
        </w:rPr>
        <w:t>Sustainable</w:t>
      </w:r>
      <w:proofErr w:type="spellEnd"/>
      <w:r w:rsidR="00D16C96" w:rsidRPr="00697F3B">
        <w:rPr>
          <w:color w:val="000000" w:themeColor="text1"/>
        </w:rPr>
        <w:t xml:space="preserve"> Finance Disclosure </w:t>
      </w:r>
      <w:proofErr w:type="spellStart"/>
      <w:r w:rsidR="00971BFD" w:rsidRPr="00697F3B">
        <w:rPr>
          <w:color w:val="000000" w:themeColor="text1"/>
        </w:rPr>
        <w:t>Regulation</w:t>
      </w:r>
      <w:proofErr w:type="spellEnd"/>
      <w:r w:rsidR="00971BFD" w:rsidRPr="00697F3B">
        <w:rPr>
          <w:color w:val="000000" w:themeColor="text1"/>
        </w:rPr>
        <w:t>)</w:t>
      </w:r>
      <w:r w:rsidR="0010522D" w:rsidRPr="00697F3B">
        <w:rPr>
          <w:color w:val="000000" w:themeColor="text1"/>
        </w:rPr>
        <w:t xml:space="preserve"> dans notre étude afin d’être en phase avec l’actualité. Nous avons ainsi comparé les fonds </w:t>
      </w:r>
      <w:r w:rsidR="003B4336" w:rsidRPr="00697F3B">
        <w:rPr>
          <w:color w:val="000000" w:themeColor="text1"/>
        </w:rPr>
        <w:t>Article 8</w:t>
      </w:r>
      <w:r w:rsidR="0010522D" w:rsidRPr="00697F3B">
        <w:rPr>
          <w:color w:val="000000" w:themeColor="text1"/>
        </w:rPr>
        <w:t xml:space="preserve"> </w:t>
      </w:r>
      <w:r w:rsidR="00F730AC" w:rsidRPr="00697F3B">
        <w:rPr>
          <w:color w:val="000000" w:themeColor="text1"/>
        </w:rPr>
        <w:t>(qui favorisent des critères</w:t>
      </w:r>
      <w:r w:rsidR="00F730AC" w:rsidRPr="00697F3B">
        <w:rPr>
          <w:rFonts w:ascii="Arial" w:hAnsi="Arial" w:cs="Arial"/>
          <w:b/>
          <w:bCs/>
          <w:color w:val="000000" w:themeColor="text1"/>
        </w:rPr>
        <w:t xml:space="preserve"> </w:t>
      </w:r>
      <w:r w:rsidR="00F730AC" w:rsidRPr="00697F3B">
        <w:rPr>
          <w:color w:val="000000" w:themeColor="text1"/>
        </w:rPr>
        <w:t xml:space="preserve">ESG) </w:t>
      </w:r>
      <w:r w:rsidR="0010522D" w:rsidRPr="00697F3B">
        <w:rPr>
          <w:color w:val="000000" w:themeColor="text1"/>
        </w:rPr>
        <w:t xml:space="preserve">et </w:t>
      </w:r>
      <w:r w:rsidR="003B4336" w:rsidRPr="00697F3B">
        <w:rPr>
          <w:color w:val="000000" w:themeColor="text1"/>
        </w:rPr>
        <w:t>Article 9</w:t>
      </w:r>
      <w:r w:rsidR="00F730AC" w:rsidRPr="00697F3B">
        <w:rPr>
          <w:color w:val="000000" w:themeColor="text1"/>
        </w:rPr>
        <w:t xml:space="preserve"> (avec un objectif </w:t>
      </w:r>
      <w:r w:rsidR="00F730AC" w:rsidRPr="00697F3B">
        <w:rPr>
          <w:color w:val="000000" w:themeColor="text1"/>
        </w:rPr>
        <w:lastRenderedPageBreak/>
        <w:t xml:space="preserve">d'investissement durable) </w:t>
      </w:r>
      <w:r w:rsidR="0010522D" w:rsidRPr="00697F3B">
        <w:rPr>
          <w:color w:val="000000" w:themeColor="text1"/>
        </w:rPr>
        <w:t>aux fonds</w:t>
      </w:r>
      <w:r w:rsidR="003B4336" w:rsidRPr="00697F3B">
        <w:rPr>
          <w:color w:val="000000" w:themeColor="text1"/>
        </w:rPr>
        <w:t xml:space="preserve"> Article 6</w:t>
      </w:r>
      <w:r w:rsidR="0010522D" w:rsidRPr="00697F3B">
        <w:rPr>
          <w:color w:val="000000" w:themeColor="text1"/>
        </w:rPr>
        <w:t xml:space="preserve"> </w:t>
      </w:r>
      <w:r w:rsidR="00F730AC" w:rsidRPr="00697F3B">
        <w:rPr>
          <w:color w:val="000000" w:themeColor="text1"/>
        </w:rPr>
        <w:t xml:space="preserve">(ni l’un, ni l’autre) </w:t>
      </w:r>
      <w:r w:rsidR="00673C61" w:rsidRPr="00697F3B">
        <w:rPr>
          <w:color w:val="000000" w:themeColor="text1"/>
        </w:rPr>
        <w:t>et</w:t>
      </w:r>
      <w:r w:rsidR="0010522D" w:rsidRPr="00697F3B">
        <w:rPr>
          <w:color w:val="000000" w:themeColor="text1"/>
        </w:rPr>
        <w:t xml:space="preserve"> nous avons également comparé les fonds </w:t>
      </w:r>
      <w:r w:rsidR="003B4336" w:rsidRPr="00697F3B">
        <w:rPr>
          <w:color w:val="000000" w:themeColor="text1"/>
        </w:rPr>
        <w:t>Articles 8</w:t>
      </w:r>
      <w:r w:rsidR="0010522D" w:rsidRPr="00697F3B">
        <w:rPr>
          <w:color w:val="000000" w:themeColor="text1"/>
        </w:rPr>
        <w:t xml:space="preserve"> et 9 entre eux. </w:t>
      </w:r>
    </w:p>
    <w:p w14:paraId="578CD56D" w14:textId="5EF00748" w:rsidR="00F150DB" w:rsidRPr="00697F3B" w:rsidRDefault="004718A9" w:rsidP="003739A1">
      <w:pPr>
        <w:spacing w:after="240" w:line="360" w:lineRule="auto"/>
        <w:jc w:val="both"/>
        <w:rPr>
          <w:color w:val="000000" w:themeColor="text1"/>
        </w:rPr>
      </w:pPr>
      <w:r w:rsidRPr="00697F3B">
        <w:rPr>
          <w:color w:val="000000" w:themeColor="text1"/>
        </w:rPr>
        <w:t xml:space="preserve">La suite de cet article se présentera comme suit. Tout d’abord, nous débuterons </w:t>
      </w:r>
      <w:r w:rsidR="00BB3408" w:rsidRPr="00697F3B">
        <w:rPr>
          <w:color w:val="000000" w:themeColor="text1"/>
        </w:rPr>
        <w:t>avec une partie revue de la littérature</w:t>
      </w:r>
      <w:r w:rsidR="00DD185A" w:rsidRPr="00697F3B">
        <w:rPr>
          <w:color w:val="000000" w:themeColor="text1"/>
        </w:rPr>
        <w:t xml:space="preserve"> (section 1) </w:t>
      </w:r>
      <w:r w:rsidR="00D65E89" w:rsidRPr="00697F3B">
        <w:rPr>
          <w:color w:val="000000" w:themeColor="text1"/>
        </w:rPr>
        <w:t>s’intéressant</w:t>
      </w:r>
      <w:r w:rsidR="00D85431" w:rsidRPr="00697F3B">
        <w:rPr>
          <w:color w:val="000000" w:themeColor="text1"/>
        </w:rPr>
        <w:t xml:space="preserve"> principalement</w:t>
      </w:r>
      <w:r w:rsidR="00D65E89" w:rsidRPr="00697F3B">
        <w:rPr>
          <w:color w:val="000000" w:themeColor="text1"/>
        </w:rPr>
        <w:t xml:space="preserve"> à</w:t>
      </w:r>
      <w:r w:rsidR="00DD185A" w:rsidRPr="00697F3B">
        <w:rPr>
          <w:color w:val="000000" w:themeColor="text1"/>
        </w:rPr>
        <w:t xml:space="preserve"> l’évaluation </w:t>
      </w:r>
      <w:r w:rsidR="00531DC0" w:rsidRPr="00697F3B">
        <w:rPr>
          <w:color w:val="000000" w:themeColor="text1"/>
        </w:rPr>
        <w:t>de la performance</w:t>
      </w:r>
      <w:r w:rsidR="00DD185A" w:rsidRPr="00697F3B">
        <w:rPr>
          <w:color w:val="000000" w:themeColor="text1"/>
        </w:rPr>
        <w:t xml:space="preserve"> extra-financière des fonds d’investissement socialement responsables. Dans la section 2, nous évoqu</w:t>
      </w:r>
      <w:r w:rsidRPr="00697F3B">
        <w:rPr>
          <w:color w:val="000000" w:themeColor="text1"/>
        </w:rPr>
        <w:t>erons</w:t>
      </w:r>
      <w:r w:rsidR="00DD185A" w:rsidRPr="00697F3B">
        <w:rPr>
          <w:color w:val="000000" w:themeColor="text1"/>
        </w:rPr>
        <w:t xml:space="preserve"> l</w:t>
      </w:r>
      <w:r w:rsidR="00223F22" w:rsidRPr="00697F3B">
        <w:rPr>
          <w:color w:val="000000" w:themeColor="text1"/>
        </w:rPr>
        <w:t>es</w:t>
      </w:r>
      <w:r w:rsidR="00DD185A" w:rsidRPr="00697F3B">
        <w:rPr>
          <w:color w:val="000000" w:themeColor="text1"/>
        </w:rPr>
        <w:t xml:space="preserve"> méthodologie</w:t>
      </w:r>
      <w:r w:rsidR="00223F22" w:rsidRPr="00697F3B">
        <w:rPr>
          <w:color w:val="000000" w:themeColor="text1"/>
        </w:rPr>
        <w:t>s</w:t>
      </w:r>
      <w:r w:rsidR="00DD185A" w:rsidRPr="00697F3B">
        <w:rPr>
          <w:color w:val="000000" w:themeColor="text1"/>
        </w:rPr>
        <w:t xml:space="preserve"> mise</w:t>
      </w:r>
      <w:r w:rsidR="00223F22" w:rsidRPr="00697F3B">
        <w:rPr>
          <w:color w:val="000000" w:themeColor="text1"/>
        </w:rPr>
        <w:t>s</w:t>
      </w:r>
      <w:r w:rsidR="00DD185A" w:rsidRPr="00697F3B">
        <w:rPr>
          <w:color w:val="000000" w:themeColor="text1"/>
        </w:rPr>
        <w:t xml:space="preserve"> en place afin de répondre à notre question de recherche. La section 3 </w:t>
      </w:r>
      <w:r w:rsidRPr="00697F3B">
        <w:rPr>
          <w:color w:val="000000" w:themeColor="text1"/>
        </w:rPr>
        <w:t>sera</w:t>
      </w:r>
      <w:r w:rsidR="00DD185A" w:rsidRPr="00697F3B">
        <w:rPr>
          <w:color w:val="000000" w:themeColor="text1"/>
        </w:rPr>
        <w:t xml:space="preserve">, quant-à-elle, consacrée à la présentation des résultats. </w:t>
      </w:r>
      <w:r w:rsidR="00285E5A" w:rsidRPr="00697F3B">
        <w:rPr>
          <w:color w:val="000000" w:themeColor="text1"/>
        </w:rPr>
        <w:t>Enfin, une conclusion mettra en avant les éléments essentiels de cette recherche.</w:t>
      </w:r>
    </w:p>
    <w:p w14:paraId="5FDDBFA9" w14:textId="77777777" w:rsidR="009F044C" w:rsidRPr="00697F3B" w:rsidRDefault="009F044C">
      <w:pPr>
        <w:rPr>
          <w:rFonts w:eastAsiaTheme="minorHAnsi"/>
          <w:b/>
          <w:bCs/>
          <w:smallCaps/>
          <w:sz w:val="28"/>
          <w:szCs w:val="28"/>
          <w:lang w:val="fr-FR" w:eastAsia="en-US"/>
        </w:rPr>
      </w:pPr>
      <w:r w:rsidRPr="00697F3B">
        <w:rPr>
          <w:b/>
          <w:bCs/>
          <w:smallCaps/>
          <w:sz w:val="28"/>
          <w:szCs w:val="28"/>
          <w:lang w:val="fr-FR"/>
        </w:rPr>
        <w:br w:type="page"/>
      </w:r>
    </w:p>
    <w:p w14:paraId="2F69022A" w14:textId="00BCA39F" w:rsidR="00223F22" w:rsidRPr="00697F3B" w:rsidRDefault="00535590" w:rsidP="003739A1">
      <w:pPr>
        <w:pStyle w:val="Paragraphedeliste"/>
        <w:numPr>
          <w:ilvl w:val="0"/>
          <w:numId w:val="8"/>
        </w:numPr>
        <w:spacing w:after="240" w:line="360" w:lineRule="auto"/>
        <w:rPr>
          <w:rFonts w:ascii="Times New Roman" w:hAnsi="Times New Roman" w:cs="Times New Roman"/>
          <w:b/>
          <w:bCs/>
          <w:smallCaps/>
          <w:sz w:val="28"/>
          <w:szCs w:val="28"/>
          <w:lang w:val="fr-FR"/>
        </w:rPr>
      </w:pPr>
      <w:r w:rsidRPr="00697F3B">
        <w:rPr>
          <w:rFonts w:ascii="Times New Roman" w:hAnsi="Times New Roman" w:cs="Times New Roman"/>
          <w:b/>
          <w:bCs/>
          <w:smallCaps/>
          <w:sz w:val="28"/>
          <w:szCs w:val="28"/>
          <w:lang w:val="fr-FR"/>
        </w:rPr>
        <w:lastRenderedPageBreak/>
        <w:t>Revue de la littérature</w:t>
      </w:r>
    </w:p>
    <w:p w14:paraId="592AB0F6" w14:textId="77777777" w:rsidR="006A49DD" w:rsidRPr="00697F3B" w:rsidRDefault="004D376C" w:rsidP="006A49DD">
      <w:pPr>
        <w:spacing w:after="240" w:line="360" w:lineRule="auto"/>
        <w:jc w:val="both"/>
        <w:rPr>
          <w:color w:val="000000" w:themeColor="text1"/>
        </w:rPr>
      </w:pPr>
      <w:r w:rsidRPr="00697F3B">
        <w:rPr>
          <w:color w:val="000000" w:themeColor="text1"/>
        </w:rPr>
        <w:t xml:space="preserve">De nombreuses études sur les fonds </w:t>
      </w:r>
      <w:r w:rsidR="001E3A56" w:rsidRPr="00697F3B">
        <w:rPr>
          <w:color w:val="000000" w:themeColor="text1"/>
        </w:rPr>
        <w:t>socialement responsables se sont focalisés sur la question de leur performance financière</w:t>
      </w:r>
      <w:r w:rsidR="004713B5" w:rsidRPr="00697F3B">
        <w:rPr>
          <w:color w:val="000000" w:themeColor="text1"/>
        </w:rPr>
        <w:t xml:space="preserve"> sans toutefois parvenir à</w:t>
      </w:r>
      <w:r w:rsidR="00752EE5" w:rsidRPr="00697F3B">
        <w:rPr>
          <w:color w:val="000000" w:themeColor="text1"/>
        </w:rPr>
        <w:t xml:space="preserve"> une réponse unanimes. </w:t>
      </w:r>
      <w:r w:rsidR="00912881" w:rsidRPr="00697F3B">
        <w:rPr>
          <w:color w:val="000000" w:themeColor="text1"/>
        </w:rPr>
        <w:t xml:space="preserve">Certains pensent que la responsabilité sociale nuit à la performance financière, d'autres pensent qu'elle l'améliore, tandis que d'autres estiment qu'elle n'a aucun impact (Gillet, 2008 ; </w:t>
      </w:r>
      <w:r w:rsidR="006A49DD" w:rsidRPr="00697F3B">
        <w:rPr>
          <w:color w:val="000000" w:themeColor="text1"/>
        </w:rPr>
        <w:t xml:space="preserve">Saadaoui, 2009 ; </w:t>
      </w:r>
      <w:r w:rsidR="00912881" w:rsidRPr="00697F3B">
        <w:rPr>
          <w:color w:val="000000" w:themeColor="text1"/>
        </w:rPr>
        <w:t>Revelli et Sentis, 2012</w:t>
      </w:r>
      <w:r w:rsidR="006A49DD" w:rsidRPr="00697F3B">
        <w:rPr>
          <w:color w:val="000000" w:themeColor="text1"/>
        </w:rPr>
        <w:t xml:space="preserve">). Selon </w:t>
      </w:r>
      <w:r w:rsidR="006A49DD" w:rsidRPr="00697F3B">
        <w:t xml:space="preserve">Phillips, Hager et North (2007), jamais une réponse exhaustive n’existera pour cette question à cause d’idéologies très fortes, mais aussi à cause de la qualité des données et de la pertinence </w:t>
      </w:r>
      <w:r w:rsidR="006A49DD" w:rsidRPr="00697F3B">
        <w:rPr>
          <w:color w:val="000000" w:themeColor="text1"/>
        </w:rPr>
        <w:t>de la méthodologie qui peuvent poser question.</w:t>
      </w:r>
    </w:p>
    <w:p w14:paraId="64FA6B68" w14:textId="56C14AD9" w:rsidR="007E4A23" w:rsidRPr="00697F3B" w:rsidRDefault="00AF286B" w:rsidP="003739A1">
      <w:pPr>
        <w:spacing w:after="240" w:line="360" w:lineRule="auto"/>
        <w:jc w:val="both"/>
        <w:rPr>
          <w:color w:val="000000" w:themeColor="text1"/>
        </w:rPr>
      </w:pPr>
      <w:r w:rsidRPr="00697F3B">
        <w:rPr>
          <w:color w:val="000000" w:themeColor="text1"/>
        </w:rPr>
        <w:t xml:space="preserve">Dès lors et </w:t>
      </w:r>
      <w:r w:rsidR="00FB2009" w:rsidRPr="00697F3B">
        <w:rPr>
          <w:color w:val="000000" w:themeColor="text1"/>
        </w:rPr>
        <w:t>étant donné le</w:t>
      </w:r>
      <w:r w:rsidRPr="00697F3B">
        <w:rPr>
          <w:color w:val="000000" w:themeColor="text1"/>
        </w:rPr>
        <w:t xml:space="preserve"> nombre relativement important d’études qui portent sur la performance financière des fonds ISR, il nous semble plus judicieux de nous concentrer sur la performance extra-financière de ces fonds. </w:t>
      </w:r>
      <w:r w:rsidR="007E4A23" w:rsidRPr="00697F3B">
        <w:rPr>
          <w:color w:val="000000" w:themeColor="text1"/>
        </w:rPr>
        <w:t>Même si peu de littérature sur la performance extra-financière des fonds d’investissement socialement responsables en tant que</w:t>
      </w:r>
      <w:r w:rsidR="002962BD" w:rsidRPr="00697F3B">
        <w:rPr>
          <w:color w:val="000000" w:themeColor="text1"/>
        </w:rPr>
        <w:t xml:space="preserve"> </w:t>
      </w:r>
      <w:r w:rsidR="007E4A23" w:rsidRPr="00697F3B">
        <w:rPr>
          <w:color w:val="000000" w:themeColor="text1"/>
        </w:rPr>
        <w:t>telle existe à l’heure actuelle, deux thèmes principaux</w:t>
      </w:r>
      <w:r w:rsidR="0077501C" w:rsidRPr="00697F3B">
        <w:rPr>
          <w:color w:val="000000" w:themeColor="text1"/>
        </w:rPr>
        <w:t xml:space="preserve"> en</w:t>
      </w:r>
      <w:r w:rsidR="007E4A23" w:rsidRPr="00697F3B">
        <w:rPr>
          <w:color w:val="000000" w:themeColor="text1"/>
        </w:rPr>
        <w:t xml:space="preserve"> ressortent</w:t>
      </w:r>
      <w:r w:rsidR="00511A5E" w:rsidRPr="00697F3B">
        <w:rPr>
          <w:color w:val="000000" w:themeColor="text1"/>
        </w:rPr>
        <w:t xml:space="preserve"> </w:t>
      </w:r>
      <w:r w:rsidR="007E4A23" w:rsidRPr="00697F3B">
        <w:rPr>
          <w:color w:val="000000" w:themeColor="text1"/>
        </w:rPr>
        <w:t xml:space="preserve"> : les notations extra-financières divergentes et la performance </w:t>
      </w:r>
      <w:r w:rsidR="0004110E" w:rsidRPr="00697F3B">
        <w:rPr>
          <w:color w:val="000000" w:themeColor="text1"/>
        </w:rPr>
        <w:t>extra-</w:t>
      </w:r>
      <w:r w:rsidR="007E4A23" w:rsidRPr="00697F3B">
        <w:rPr>
          <w:color w:val="000000" w:themeColor="text1"/>
        </w:rPr>
        <w:t>financière comme outil</w:t>
      </w:r>
      <w:r w:rsidR="00640F39" w:rsidRPr="00697F3B">
        <w:rPr>
          <w:color w:val="000000" w:themeColor="text1"/>
        </w:rPr>
        <w:t xml:space="preserve"> </w:t>
      </w:r>
      <w:r w:rsidR="007E4A23" w:rsidRPr="00697F3B">
        <w:rPr>
          <w:color w:val="000000" w:themeColor="text1"/>
        </w:rPr>
        <w:t>marketing</w:t>
      </w:r>
      <w:r w:rsidR="003A5764" w:rsidRPr="00697F3B">
        <w:rPr>
          <w:color w:val="000000" w:themeColor="text1"/>
        </w:rPr>
        <w:t>. Ceux-ci tendent plutôt à montrer que les fonds d’investissement socialement responsable</w:t>
      </w:r>
      <w:r w:rsidR="00F00FB9" w:rsidRPr="00697F3B">
        <w:rPr>
          <w:color w:val="000000" w:themeColor="text1"/>
        </w:rPr>
        <w:t>s</w:t>
      </w:r>
      <w:r w:rsidR="003A5764" w:rsidRPr="00697F3B">
        <w:rPr>
          <w:color w:val="000000" w:themeColor="text1"/>
        </w:rPr>
        <w:t xml:space="preserve"> ne le sont pas réellement. </w:t>
      </w:r>
    </w:p>
    <w:p w14:paraId="150D690E" w14:textId="6D44B0F3" w:rsidR="00586612" w:rsidRPr="00697F3B" w:rsidRDefault="00511A5E" w:rsidP="003739A1">
      <w:pPr>
        <w:spacing w:line="360" w:lineRule="auto"/>
        <w:jc w:val="both"/>
        <w:rPr>
          <w:color w:val="000000" w:themeColor="text1"/>
        </w:rPr>
      </w:pPr>
      <w:r w:rsidRPr="00697F3B">
        <w:rPr>
          <w:color w:val="000000" w:themeColor="text1"/>
        </w:rPr>
        <w:t>En effet, d</w:t>
      </w:r>
      <w:r w:rsidR="00586612" w:rsidRPr="00697F3B">
        <w:rPr>
          <w:color w:val="000000" w:themeColor="text1"/>
        </w:rPr>
        <w:t xml:space="preserve">’après </w:t>
      </w:r>
      <w:proofErr w:type="spellStart"/>
      <w:r w:rsidR="00586612" w:rsidRPr="00697F3B">
        <w:rPr>
          <w:color w:val="000000" w:themeColor="text1"/>
        </w:rPr>
        <w:t>Boiti</w:t>
      </w:r>
      <w:proofErr w:type="spellEnd"/>
      <w:r w:rsidR="00586612" w:rsidRPr="00697F3B">
        <w:rPr>
          <w:color w:val="000000" w:themeColor="text1"/>
        </w:rPr>
        <w:t xml:space="preserve"> (2019), l’investissement socialement responsable est encore à la recherche d’une certaine légitimité et ce</w:t>
      </w:r>
      <w:r w:rsidR="002962BD" w:rsidRPr="00697F3B">
        <w:rPr>
          <w:color w:val="000000" w:themeColor="text1"/>
        </w:rPr>
        <w:t xml:space="preserve">, </w:t>
      </w:r>
      <w:r w:rsidR="00586612" w:rsidRPr="00697F3B">
        <w:rPr>
          <w:color w:val="000000" w:themeColor="text1"/>
        </w:rPr>
        <w:t xml:space="preserve">notamment au travers de la recherche de méthodes permettant d’évaluer la performance extra-financière de manière fiable et homogène. </w:t>
      </w:r>
      <w:r w:rsidR="003472E9" w:rsidRPr="00697F3B">
        <w:rPr>
          <w:color w:val="000000" w:themeColor="text1"/>
        </w:rPr>
        <w:t xml:space="preserve">D’après </w:t>
      </w:r>
      <w:r w:rsidR="008F44BE" w:rsidRPr="00697F3B">
        <w:rPr>
          <w:color w:val="000000" w:themeColor="text1"/>
        </w:rPr>
        <w:t>Gibson</w:t>
      </w:r>
      <w:r w:rsidR="0047125B" w:rsidRPr="00697F3B">
        <w:rPr>
          <w:color w:val="000000" w:themeColor="text1"/>
        </w:rPr>
        <w:t xml:space="preserve">, Krueger, </w:t>
      </w:r>
      <w:proofErr w:type="spellStart"/>
      <w:r w:rsidR="0047125B" w:rsidRPr="00697F3B">
        <w:rPr>
          <w:color w:val="000000" w:themeColor="text1"/>
        </w:rPr>
        <w:t>Riand</w:t>
      </w:r>
      <w:proofErr w:type="spellEnd"/>
      <w:r w:rsidR="0047125B" w:rsidRPr="00697F3B">
        <w:rPr>
          <w:color w:val="000000" w:themeColor="text1"/>
        </w:rPr>
        <w:t xml:space="preserve"> et Schmidt </w:t>
      </w:r>
      <w:r w:rsidR="008F44BE" w:rsidRPr="00697F3B">
        <w:rPr>
          <w:color w:val="000000" w:themeColor="text1"/>
        </w:rPr>
        <w:t>(2020), l’évaluation de la performance extra-financière a déjà donné lieu à de nombreuses polémiques</w:t>
      </w:r>
      <w:r w:rsidR="00340302" w:rsidRPr="00697F3B">
        <w:rPr>
          <w:color w:val="000000" w:themeColor="text1"/>
        </w:rPr>
        <w:t xml:space="preserve"> comme l’ont montré plusieurs chercheurs  </w:t>
      </w:r>
      <w:r w:rsidR="008B4FA1" w:rsidRPr="00697F3B">
        <w:rPr>
          <w:color w:val="000000" w:themeColor="text1"/>
        </w:rPr>
        <w:t xml:space="preserve">tels que </w:t>
      </w:r>
      <w:proofErr w:type="spellStart"/>
      <w:r w:rsidR="00586612" w:rsidRPr="00697F3B">
        <w:rPr>
          <w:color w:val="000000" w:themeColor="text1"/>
        </w:rPr>
        <w:t>Chatterij</w:t>
      </w:r>
      <w:proofErr w:type="spellEnd"/>
      <w:r w:rsidR="0047125B" w:rsidRPr="00697F3B">
        <w:rPr>
          <w:color w:val="000000" w:themeColor="text1"/>
        </w:rPr>
        <w:t xml:space="preserve">, Levine et </w:t>
      </w:r>
      <w:proofErr w:type="spellStart"/>
      <w:r w:rsidR="0047125B" w:rsidRPr="00697F3B">
        <w:rPr>
          <w:color w:val="000000" w:themeColor="text1"/>
        </w:rPr>
        <w:t>Toffel</w:t>
      </w:r>
      <w:proofErr w:type="spellEnd"/>
      <w:r w:rsidR="0047125B" w:rsidRPr="00697F3B">
        <w:rPr>
          <w:color w:val="000000" w:themeColor="text1"/>
        </w:rPr>
        <w:t xml:space="preserve"> </w:t>
      </w:r>
      <w:r w:rsidR="008B4FA1" w:rsidRPr="00697F3B">
        <w:rPr>
          <w:color w:val="000000" w:themeColor="text1"/>
        </w:rPr>
        <w:t>(</w:t>
      </w:r>
      <w:r w:rsidR="00586612" w:rsidRPr="00697F3B">
        <w:rPr>
          <w:color w:val="000000" w:themeColor="text1"/>
        </w:rPr>
        <w:t>2009</w:t>
      </w:r>
      <w:r w:rsidR="008B4FA1" w:rsidRPr="00697F3B">
        <w:rPr>
          <w:color w:val="000000" w:themeColor="text1"/>
        </w:rPr>
        <w:t xml:space="preserve">) ; </w:t>
      </w:r>
      <w:r w:rsidR="00285E5A" w:rsidRPr="00697F3B">
        <w:rPr>
          <w:color w:val="000000" w:themeColor="text1"/>
        </w:rPr>
        <w:t>Delmas</w:t>
      </w:r>
      <w:r w:rsidR="0047125B" w:rsidRPr="00697F3B">
        <w:rPr>
          <w:color w:val="000000" w:themeColor="text1"/>
        </w:rPr>
        <w:t xml:space="preserve">, </w:t>
      </w:r>
      <w:proofErr w:type="spellStart"/>
      <w:r w:rsidR="0047125B" w:rsidRPr="00697F3B">
        <w:rPr>
          <w:color w:val="000000" w:themeColor="text1"/>
        </w:rPr>
        <w:t>Etzion</w:t>
      </w:r>
      <w:proofErr w:type="spellEnd"/>
      <w:r w:rsidR="0047125B" w:rsidRPr="00697F3B">
        <w:rPr>
          <w:color w:val="000000" w:themeColor="text1"/>
        </w:rPr>
        <w:t xml:space="preserve"> et Nairn-</w:t>
      </w:r>
      <w:proofErr w:type="spellStart"/>
      <w:r w:rsidR="0047125B" w:rsidRPr="00697F3B">
        <w:rPr>
          <w:color w:val="000000" w:themeColor="text1"/>
        </w:rPr>
        <w:t>Birch</w:t>
      </w:r>
      <w:proofErr w:type="spellEnd"/>
      <w:r w:rsidR="008B4FA1" w:rsidRPr="00697F3B">
        <w:rPr>
          <w:color w:val="000000" w:themeColor="text1"/>
        </w:rPr>
        <w:t xml:space="preserve"> (</w:t>
      </w:r>
      <w:r w:rsidR="00285E5A" w:rsidRPr="00697F3B">
        <w:rPr>
          <w:color w:val="000000" w:themeColor="text1"/>
        </w:rPr>
        <w:t>2013</w:t>
      </w:r>
      <w:r w:rsidR="008B4FA1" w:rsidRPr="00697F3B">
        <w:rPr>
          <w:color w:val="000000" w:themeColor="text1"/>
        </w:rPr>
        <w:t xml:space="preserve">) et </w:t>
      </w:r>
      <w:proofErr w:type="spellStart"/>
      <w:r w:rsidR="00586612" w:rsidRPr="00697F3B">
        <w:rPr>
          <w:color w:val="000000" w:themeColor="text1"/>
        </w:rPr>
        <w:t>Bouten</w:t>
      </w:r>
      <w:proofErr w:type="spellEnd"/>
      <w:r w:rsidR="0047125B" w:rsidRPr="00697F3B">
        <w:rPr>
          <w:color w:val="000000" w:themeColor="text1"/>
        </w:rPr>
        <w:t xml:space="preserve">, Cho, Michelon et Roberts, </w:t>
      </w:r>
      <w:r w:rsidR="008B4FA1" w:rsidRPr="00697F3B">
        <w:rPr>
          <w:color w:val="000000" w:themeColor="text1"/>
        </w:rPr>
        <w:t>(</w:t>
      </w:r>
      <w:r w:rsidR="00586612" w:rsidRPr="00697F3B">
        <w:rPr>
          <w:color w:val="000000" w:themeColor="text1"/>
        </w:rPr>
        <w:t>2017</w:t>
      </w:r>
      <w:r w:rsidR="00340302" w:rsidRPr="00697F3B">
        <w:rPr>
          <w:color w:val="000000" w:themeColor="text1"/>
        </w:rPr>
        <w:t xml:space="preserve">). </w:t>
      </w:r>
      <w:r w:rsidR="00586612" w:rsidRPr="00697F3B">
        <w:rPr>
          <w:color w:val="000000" w:themeColor="text1"/>
        </w:rPr>
        <w:t xml:space="preserve">Ainsi, selon </w:t>
      </w:r>
      <w:proofErr w:type="spellStart"/>
      <w:r w:rsidR="00586612" w:rsidRPr="00697F3B">
        <w:rPr>
          <w:color w:val="000000" w:themeColor="text1"/>
        </w:rPr>
        <w:t>Boiti</w:t>
      </w:r>
      <w:proofErr w:type="spellEnd"/>
      <w:r w:rsidR="00586612" w:rsidRPr="00697F3B">
        <w:rPr>
          <w:color w:val="000000" w:themeColor="text1"/>
        </w:rPr>
        <w:t xml:space="preserve"> (2019), il est nécessaire d’avoir des critères d’évaluation de la performance extra-financière qui soient acceptés par la majorité et qui soient grandement standardisés comme c’est le cas pour la performance financière. Il </w:t>
      </w:r>
      <w:r w:rsidR="002152CC" w:rsidRPr="00697F3B">
        <w:rPr>
          <w:color w:val="000000" w:themeColor="text1"/>
        </w:rPr>
        <w:t>mentionne</w:t>
      </w:r>
      <w:r w:rsidR="00586612" w:rsidRPr="00697F3B">
        <w:rPr>
          <w:color w:val="000000" w:themeColor="text1"/>
        </w:rPr>
        <w:t xml:space="preserve"> que cela nécessite un </w:t>
      </w:r>
      <w:proofErr w:type="spellStart"/>
      <w:r w:rsidR="00586612" w:rsidRPr="00697F3B">
        <w:rPr>
          <w:i/>
          <w:iCs/>
          <w:color w:val="000000" w:themeColor="text1"/>
        </w:rPr>
        <w:t>reporting</w:t>
      </w:r>
      <w:proofErr w:type="spellEnd"/>
      <w:r w:rsidR="00586612" w:rsidRPr="00697F3B">
        <w:rPr>
          <w:color w:val="000000" w:themeColor="text1"/>
        </w:rPr>
        <w:t xml:space="preserve"> ESG</w:t>
      </w:r>
      <w:r w:rsidR="00CD1D85" w:rsidRPr="00697F3B">
        <w:rPr>
          <w:color w:val="000000" w:themeColor="text1"/>
        </w:rPr>
        <w:t xml:space="preserve"> (environnement, social et gouvernance) </w:t>
      </w:r>
      <w:r w:rsidR="00586612" w:rsidRPr="00697F3B">
        <w:rPr>
          <w:color w:val="000000" w:themeColor="text1"/>
        </w:rPr>
        <w:t xml:space="preserve">transparent. Néanmoins, d’après Delmas et </w:t>
      </w:r>
      <w:r w:rsidR="003930E4" w:rsidRPr="00697F3B">
        <w:rPr>
          <w:color w:val="000000" w:themeColor="text1"/>
        </w:rPr>
        <w:t>a</w:t>
      </w:r>
      <w:r w:rsidR="00586612" w:rsidRPr="00697F3B">
        <w:rPr>
          <w:color w:val="000000" w:themeColor="text1"/>
        </w:rPr>
        <w:t>l. (2013), la performance ESG est complexe</w:t>
      </w:r>
      <w:r w:rsidR="00F96A5C" w:rsidRPr="00697F3B">
        <w:rPr>
          <w:color w:val="000000" w:themeColor="text1"/>
        </w:rPr>
        <w:t>. Son</w:t>
      </w:r>
      <w:r w:rsidR="00586612" w:rsidRPr="00697F3B">
        <w:rPr>
          <w:color w:val="000000" w:themeColor="text1"/>
        </w:rPr>
        <w:t xml:space="preserve"> interprétation et son évaluation ne sont </w:t>
      </w:r>
      <w:r w:rsidR="00F96A5C" w:rsidRPr="00697F3B">
        <w:rPr>
          <w:color w:val="000000" w:themeColor="text1"/>
        </w:rPr>
        <w:t xml:space="preserve">donc </w:t>
      </w:r>
      <w:r w:rsidR="00586612" w:rsidRPr="00697F3B">
        <w:rPr>
          <w:color w:val="000000" w:themeColor="text1"/>
        </w:rPr>
        <w:t xml:space="preserve">pas uniques. Allant dans ce sens, </w:t>
      </w:r>
      <w:proofErr w:type="spellStart"/>
      <w:r w:rsidR="00586612" w:rsidRPr="00697F3B">
        <w:rPr>
          <w:color w:val="000000" w:themeColor="text1"/>
        </w:rPr>
        <w:t>Boiti</w:t>
      </w:r>
      <w:proofErr w:type="spellEnd"/>
      <w:r w:rsidR="00586612" w:rsidRPr="00697F3B">
        <w:rPr>
          <w:color w:val="000000" w:themeColor="text1"/>
        </w:rPr>
        <w:t xml:space="preserve"> (2019</w:t>
      </w:r>
      <w:r w:rsidR="00346D88" w:rsidRPr="00697F3B">
        <w:rPr>
          <w:color w:val="000000" w:themeColor="text1"/>
        </w:rPr>
        <w:t xml:space="preserve"> : </w:t>
      </w:r>
      <w:r w:rsidR="00586612" w:rsidRPr="00697F3B">
        <w:rPr>
          <w:color w:val="000000" w:themeColor="text1"/>
        </w:rPr>
        <w:t>458) ajoute qu’ </w:t>
      </w:r>
      <w:r w:rsidR="00586612" w:rsidRPr="00697F3B">
        <w:rPr>
          <w:i/>
          <w:iCs/>
          <w:color w:val="000000" w:themeColor="text1"/>
        </w:rPr>
        <w:t xml:space="preserve">« […] il n’est pas du tout aisé de procéder à une quantification de l’engagement responsable d’une entreprise dans la mesure où, d’une part, ça traite d’éléments largement qualitatifs et, d’autre part, les outils dont nous disposons ne sont pas encore ni standardisés ni communément admis et appliqués par toutes les entreprises ». </w:t>
      </w:r>
      <w:r w:rsidR="00586612" w:rsidRPr="00697F3B">
        <w:rPr>
          <w:color w:val="000000" w:themeColor="text1"/>
        </w:rPr>
        <w:t xml:space="preserve">Effectivement, d’après plusieurs auteurs </w:t>
      </w:r>
      <w:r w:rsidR="000C2EE9" w:rsidRPr="00697F3B">
        <w:rPr>
          <w:color w:val="000000" w:themeColor="text1"/>
        </w:rPr>
        <w:t xml:space="preserve">tels que </w:t>
      </w:r>
      <w:proofErr w:type="spellStart"/>
      <w:r w:rsidR="000C2EE9" w:rsidRPr="00697F3B">
        <w:rPr>
          <w:color w:val="000000" w:themeColor="text1"/>
        </w:rPr>
        <w:t>Chatterij</w:t>
      </w:r>
      <w:proofErr w:type="spellEnd"/>
      <w:r w:rsidR="0047125B" w:rsidRPr="00697F3B">
        <w:rPr>
          <w:color w:val="000000" w:themeColor="text1"/>
        </w:rPr>
        <w:t xml:space="preserve">, Durand, Levine et </w:t>
      </w:r>
      <w:proofErr w:type="spellStart"/>
      <w:r w:rsidR="0047125B" w:rsidRPr="00697F3B">
        <w:rPr>
          <w:color w:val="000000" w:themeColor="text1"/>
        </w:rPr>
        <w:t>Touboul</w:t>
      </w:r>
      <w:proofErr w:type="spellEnd"/>
      <w:r w:rsidR="0047125B" w:rsidRPr="00697F3B">
        <w:rPr>
          <w:color w:val="000000" w:themeColor="text1"/>
        </w:rPr>
        <w:t xml:space="preserve">, </w:t>
      </w:r>
      <w:r w:rsidR="000C2EE9" w:rsidRPr="00697F3B">
        <w:rPr>
          <w:color w:val="000000" w:themeColor="text1"/>
        </w:rPr>
        <w:t>(2016) ; Doyle (2018) ;</w:t>
      </w:r>
      <w:r w:rsidR="000C2EE9" w:rsidRPr="00697F3B" w:rsidDel="000C2EE9">
        <w:rPr>
          <w:color w:val="000000" w:themeColor="text1"/>
        </w:rPr>
        <w:t xml:space="preserve"> </w:t>
      </w:r>
      <w:r w:rsidR="00586612" w:rsidRPr="00697F3B">
        <w:rPr>
          <w:color w:val="000000" w:themeColor="text1"/>
        </w:rPr>
        <w:t>Mackintosh</w:t>
      </w:r>
      <w:r w:rsidR="000C2EE9" w:rsidRPr="00697F3B">
        <w:rPr>
          <w:color w:val="000000" w:themeColor="text1"/>
        </w:rPr>
        <w:t xml:space="preserve"> </w:t>
      </w:r>
      <w:r w:rsidR="000C2EE9" w:rsidRPr="00697F3B">
        <w:rPr>
          <w:color w:val="000000" w:themeColor="text1"/>
        </w:rPr>
        <w:lastRenderedPageBreak/>
        <w:t>(</w:t>
      </w:r>
      <w:r w:rsidR="00586612" w:rsidRPr="00697F3B">
        <w:rPr>
          <w:color w:val="000000" w:themeColor="text1"/>
        </w:rPr>
        <w:t>2018</w:t>
      </w:r>
      <w:r w:rsidR="000C2EE9" w:rsidRPr="00697F3B">
        <w:rPr>
          <w:color w:val="000000" w:themeColor="text1"/>
        </w:rPr>
        <w:t xml:space="preserve">, in Gibson et </w:t>
      </w:r>
      <w:r w:rsidR="003930E4" w:rsidRPr="00697F3B">
        <w:rPr>
          <w:color w:val="000000" w:themeColor="text1"/>
        </w:rPr>
        <w:t>a</w:t>
      </w:r>
      <w:r w:rsidR="000C2EE9" w:rsidRPr="00697F3B">
        <w:rPr>
          <w:color w:val="000000" w:themeColor="text1"/>
        </w:rPr>
        <w:t xml:space="preserve">l., 2020) et </w:t>
      </w:r>
      <w:proofErr w:type="spellStart"/>
      <w:r w:rsidR="00586612" w:rsidRPr="00697F3B">
        <w:rPr>
          <w:color w:val="000000" w:themeColor="text1"/>
        </w:rPr>
        <w:t>Wigglesworth</w:t>
      </w:r>
      <w:proofErr w:type="spellEnd"/>
      <w:r w:rsidR="000C2EE9" w:rsidRPr="00697F3B">
        <w:rPr>
          <w:color w:val="000000" w:themeColor="text1"/>
        </w:rPr>
        <w:t xml:space="preserve"> (</w:t>
      </w:r>
      <w:r w:rsidR="00586612" w:rsidRPr="00697F3B">
        <w:rPr>
          <w:color w:val="000000" w:themeColor="text1"/>
        </w:rPr>
        <w:t>2018</w:t>
      </w:r>
      <w:r w:rsidR="000C2EE9" w:rsidRPr="00697F3B">
        <w:rPr>
          <w:color w:val="000000" w:themeColor="text1"/>
        </w:rPr>
        <w:t xml:space="preserve">, in Gibson et </w:t>
      </w:r>
      <w:r w:rsidR="003930E4" w:rsidRPr="00697F3B">
        <w:rPr>
          <w:color w:val="000000" w:themeColor="text1"/>
        </w:rPr>
        <w:t>a</w:t>
      </w:r>
      <w:r w:rsidR="0047125B" w:rsidRPr="00697F3B">
        <w:rPr>
          <w:color w:val="000000" w:themeColor="text1"/>
        </w:rPr>
        <w:t>l</w:t>
      </w:r>
      <w:r w:rsidR="000C2EE9" w:rsidRPr="00697F3B">
        <w:rPr>
          <w:color w:val="000000" w:themeColor="text1"/>
        </w:rPr>
        <w:t>, 2020)</w:t>
      </w:r>
      <w:r w:rsidR="00586612" w:rsidRPr="00697F3B">
        <w:rPr>
          <w:color w:val="000000" w:themeColor="text1"/>
        </w:rPr>
        <w:t xml:space="preserve">, une entreprise n’obtiendra pas forcément le même score ESG de la part de différents analystes. Doyle (2018) insiste sur le fait que les notations ne sont pas seulement différentes mais qu’elles le sont de manière considérable. A ce propos, au travers de leur recherche sur les notations ESG fournies par six analystes extra-financiers différents, Gibson et </w:t>
      </w:r>
      <w:r w:rsidR="003930E4" w:rsidRPr="00697F3B">
        <w:rPr>
          <w:color w:val="000000" w:themeColor="text1"/>
        </w:rPr>
        <w:t>a</w:t>
      </w:r>
      <w:r w:rsidR="00586612" w:rsidRPr="00697F3B">
        <w:rPr>
          <w:color w:val="000000" w:themeColor="text1"/>
        </w:rPr>
        <w:t>l. (2020) ont constaté une corrélation moyenne égale à 0,46 entre les notes. Ils ont également montré que la corrélation est inférieure au sein des sous-catégories E,S et G. En effet, d’après eux, les corrélations moyennes sont de respectivement 0,43 ; 0,325 et 0,19. Berg</w:t>
      </w:r>
      <w:r w:rsidR="0047125B" w:rsidRPr="00697F3B">
        <w:rPr>
          <w:color w:val="000000" w:themeColor="text1"/>
        </w:rPr>
        <w:t xml:space="preserve">, </w:t>
      </w:r>
      <w:proofErr w:type="spellStart"/>
      <w:r w:rsidR="0047125B" w:rsidRPr="00697F3B">
        <w:rPr>
          <w:color w:val="000000" w:themeColor="text1"/>
        </w:rPr>
        <w:t>Koelbel</w:t>
      </w:r>
      <w:proofErr w:type="spellEnd"/>
      <w:r w:rsidR="0047125B" w:rsidRPr="00697F3B">
        <w:rPr>
          <w:color w:val="000000" w:themeColor="text1"/>
        </w:rPr>
        <w:t xml:space="preserve"> et </w:t>
      </w:r>
      <w:proofErr w:type="spellStart"/>
      <w:r w:rsidR="0047125B" w:rsidRPr="00697F3B">
        <w:rPr>
          <w:color w:val="000000" w:themeColor="text1"/>
        </w:rPr>
        <w:t>Rigobon</w:t>
      </w:r>
      <w:proofErr w:type="spellEnd"/>
      <w:r w:rsidR="0047125B" w:rsidRPr="00697F3B">
        <w:rPr>
          <w:color w:val="000000" w:themeColor="text1"/>
        </w:rPr>
        <w:t xml:space="preserve"> </w:t>
      </w:r>
      <w:r w:rsidR="00586612" w:rsidRPr="00697F3B">
        <w:rPr>
          <w:color w:val="000000" w:themeColor="text1"/>
        </w:rPr>
        <w:t xml:space="preserve">(2019) avaient, quant à eux, conclu à des corrélations situées entre 0,38 et 0,71. Selon Doyle (2018), il existe de nombreuses raisons à ces divergences : la méthodologie, l’interprétation subjective, l’agenda ou encore les biais existants suite à la communication des informations non uniforme. Berg et </w:t>
      </w:r>
      <w:r w:rsidR="003930E4" w:rsidRPr="00697F3B">
        <w:rPr>
          <w:color w:val="000000" w:themeColor="text1"/>
        </w:rPr>
        <w:t>a</w:t>
      </w:r>
      <w:r w:rsidR="0047125B" w:rsidRPr="00697F3B">
        <w:rPr>
          <w:color w:val="000000" w:themeColor="text1"/>
        </w:rPr>
        <w:t>l</w:t>
      </w:r>
      <w:r w:rsidR="00586612" w:rsidRPr="00697F3B">
        <w:rPr>
          <w:color w:val="000000" w:themeColor="text1"/>
        </w:rPr>
        <w:t xml:space="preserve">. (2019) se sont aussi intéressés aux sources de ces divergences de notations ESG. Ils en ont identifié trois : </w:t>
      </w:r>
    </w:p>
    <w:p w14:paraId="3E840664" w14:textId="77777777" w:rsidR="00586612" w:rsidRPr="00697F3B" w:rsidRDefault="00586612" w:rsidP="003739A1">
      <w:pPr>
        <w:pStyle w:val="Paragraphedeliste"/>
        <w:numPr>
          <w:ilvl w:val="0"/>
          <w:numId w:val="2"/>
        </w:numPr>
        <w:spacing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La divergence de portée qui renvoie à l’utilisation de catégories ne comportant pas les mêmes attributs (38%) ;</w:t>
      </w:r>
    </w:p>
    <w:p w14:paraId="69F60F08" w14:textId="77777777" w:rsidR="00586612" w:rsidRPr="00697F3B" w:rsidRDefault="00586612" w:rsidP="003739A1">
      <w:pPr>
        <w:pStyle w:val="Paragraphedeliste"/>
        <w:numPr>
          <w:ilvl w:val="0"/>
          <w:numId w:val="2"/>
        </w:numPr>
        <w:spacing w:before="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La divergence de mesure qui intervient lorsque les évaluateurs mesurent différemment des catégories identiques (56%) et ;</w:t>
      </w:r>
    </w:p>
    <w:p w14:paraId="4F91EE55" w14:textId="0A5DA3AB" w:rsidR="00697F3B" w:rsidRPr="003278DD" w:rsidRDefault="00586612" w:rsidP="003739A1">
      <w:pPr>
        <w:pStyle w:val="Paragraphedeliste"/>
        <w:numPr>
          <w:ilvl w:val="0"/>
          <w:numId w:val="2"/>
        </w:numPr>
        <w:spacing w:before="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La divergence de poids qui désigne une situation où les évaluateurs n’accordent pas la même importance aux différents attributs et/ou catégories (6%).</w:t>
      </w:r>
    </w:p>
    <w:p w14:paraId="1C9B2EC4" w14:textId="41E37F28" w:rsidR="0077501C" w:rsidRPr="00697F3B" w:rsidRDefault="00586612" w:rsidP="003739A1">
      <w:pPr>
        <w:spacing w:line="360" w:lineRule="auto"/>
        <w:jc w:val="both"/>
        <w:rPr>
          <w:color w:val="000000" w:themeColor="text1"/>
        </w:rPr>
      </w:pPr>
      <w:r w:rsidRPr="00697F3B">
        <w:rPr>
          <w:color w:val="000000" w:themeColor="text1"/>
        </w:rPr>
        <w:t xml:space="preserve">Précédemment, Chatterji et </w:t>
      </w:r>
      <w:r w:rsidR="003930E4" w:rsidRPr="00697F3B">
        <w:rPr>
          <w:color w:val="000000" w:themeColor="text1"/>
        </w:rPr>
        <w:t>a</w:t>
      </w:r>
      <w:r w:rsidR="00E472DA" w:rsidRPr="00697F3B">
        <w:rPr>
          <w:color w:val="000000" w:themeColor="text1"/>
        </w:rPr>
        <w:t>l</w:t>
      </w:r>
      <w:r w:rsidRPr="00697F3B">
        <w:rPr>
          <w:color w:val="000000" w:themeColor="text1"/>
        </w:rPr>
        <w:t xml:space="preserve">. (2016) avaient déjà identifié deux sources de divergences dans les notations ESG ressemblant fortement à celles de Doyle (2018) et Berg et </w:t>
      </w:r>
      <w:r w:rsidR="003930E4" w:rsidRPr="00697F3B">
        <w:rPr>
          <w:color w:val="000000" w:themeColor="text1"/>
        </w:rPr>
        <w:t>al</w:t>
      </w:r>
      <w:r w:rsidRPr="00697F3B">
        <w:rPr>
          <w:color w:val="000000" w:themeColor="text1"/>
        </w:rPr>
        <w:t xml:space="preserve">. (2019) : la théorisation et la commensurabilité. Par ces termes, Chatterji et </w:t>
      </w:r>
      <w:r w:rsidR="003930E4" w:rsidRPr="00697F3B">
        <w:rPr>
          <w:color w:val="000000" w:themeColor="text1"/>
        </w:rPr>
        <w:t>a</w:t>
      </w:r>
      <w:r w:rsidR="00E472DA" w:rsidRPr="00697F3B">
        <w:rPr>
          <w:color w:val="000000" w:themeColor="text1"/>
        </w:rPr>
        <w:t>l</w:t>
      </w:r>
      <w:r w:rsidRPr="00697F3B">
        <w:rPr>
          <w:color w:val="000000" w:themeColor="text1"/>
        </w:rPr>
        <w:t xml:space="preserve">. (2016) entendent </w:t>
      </w:r>
      <w:r w:rsidRPr="00697F3B">
        <w:rPr>
          <w:i/>
          <w:iCs/>
          <w:color w:val="000000" w:themeColor="text1"/>
        </w:rPr>
        <w:t xml:space="preserve">« […] les croyances des évaluateurs sur ce que signifie être socialement responsable » </w:t>
      </w:r>
      <w:r w:rsidRPr="00697F3B">
        <w:rPr>
          <w:color w:val="000000" w:themeColor="text1"/>
        </w:rPr>
        <w:t xml:space="preserve">et </w:t>
      </w:r>
      <w:r w:rsidRPr="00697F3B">
        <w:rPr>
          <w:i/>
          <w:iCs/>
          <w:color w:val="000000" w:themeColor="text1"/>
        </w:rPr>
        <w:t>« […] la mesure dans laquelle les évaluateurs obtiennent des réponses similaires lorsqu'ils mesurent le même concept […] »</w:t>
      </w:r>
      <w:r w:rsidRPr="00697F3B">
        <w:rPr>
          <w:color w:val="000000" w:themeColor="text1"/>
        </w:rPr>
        <w:t xml:space="preserve"> (Traduction de Chatterji et </w:t>
      </w:r>
      <w:r w:rsidR="003930E4" w:rsidRPr="00697F3B">
        <w:rPr>
          <w:color w:val="000000" w:themeColor="text1"/>
        </w:rPr>
        <w:t>a</w:t>
      </w:r>
      <w:r w:rsidR="00E472DA" w:rsidRPr="00697F3B">
        <w:rPr>
          <w:color w:val="000000" w:themeColor="text1"/>
        </w:rPr>
        <w:t>l</w:t>
      </w:r>
      <w:r w:rsidRPr="00697F3B">
        <w:rPr>
          <w:color w:val="000000" w:themeColor="text1"/>
        </w:rPr>
        <w:t>., 2016</w:t>
      </w:r>
      <w:r w:rsidR="00346D88" w:rsidRPr="00697F3B">
        <w:rPr>
          <w:color w:val="000000" w:themeColor="text1"/>
        </w:rPr>
        <w:t xml:space="preserve"> : </w:t>
      </w:r>
      <w:r w:rsidRPr="00697F3B">
        <w:rPr>
          <w:color w:val="000000" w:themeColor="text1"/>
        </w:rPr>
        <w:t xml:space="preserve">1599). De plus, Berg et </w:t>
      </w:r>
      <w:r w:rsidR="003930E4" w:rsidRPr="00697F3B">
        <w:rPr>
          <w:color w:val="000000" w:themeColor="text1"/>
        </w:rPr>
        <w:t>a</w:t>
      </w:r>
      <w:r w:rsidR="00E472DA" w:rsidRPr="00697F3B">
        <w:rPr>
          <w:color w:val="000000" w:themeColor="text1"/>
        </w:rPr>
        <w:t>l</w:t>
      </w:r>
      <w:r w:rsidRPr="00697F3B">
        <w:rPr>
          <w:color w:val="000000" w:themeColor="text1"/>
        </w:rPr>
        <w:t>. (2019) ont constaté qu’il existait un effet des évaluateurs connu sous l’appellation d’effet halo. Celui-ci implique qu’ </w:t>
      </w:r>
      <w:r w:rsidRPr="00697F3B">
        <w:rPr>
          <w:i/>
          <w:iCs/>
          <w:color w:val="000000" w:themeColor="text1"/>
        </w:rPr>
        <w:t>« […] une entreprise qui reçoit un score élevé dans une catégorie a plus de chances de recevoir des scores élevés dans toutes les autres catégories de la part de ce même évaluateur »</w:t>
      </w:r>
      <w:r w:rsidRPr="00697F3B">
        <w:rPr>
          <w:color w:val="000000" w:themeColor="text1"/>
        </w:rPr>
        <w:t xml:space="preserve"> (Traduction de Berg et </w:t>
      </w:r>
      <w:r w:rsidR="003930E4" w:rsidRPr="00697F3B">
        <w:rPr>
          <w:color w:val="000000" w:themeColor="text1"/>
        </w:rPr>
        <w:t>a</w:t>
      </w:r>
      <w:r w:rsidR="00E472DA" w:rsidRPr="00697F3B">
        <w:rPr>
          <w:color w:val="000000" w:themeColor="text1"/>
        </w:rPr>
        <w:t>l.</w:t>
      </w:r>
      <w:r w:rsidRPr="00697F3B">
        <w:rPr>
          <w:color w:val="000000" w:themeColor="text1"/>
        </w:rPr>
        <w:t>, 2019</w:t>
      </w:r>
      <w:r w:rsidR="00346D88" w:rsidRPr="00697F3B">
        <w:rPr>
          <w:color w:val="000000" w:themeColor="text1"/>
        </w:rPr>
        <w:t xml:space="preserve"> : </w:t>
      </w:r>
      <w:r w:rsidRPr="00697F3B">
        <w:rPr>
          <w:color w:val="000000" w:themeColor="text1"/>
        </w:rPr>
        <w:t xml:space="preserve">4). </w:t>
      </w:r>
      <w:r w:rsidR="00285E5A" w:rsidRPr="00697F3B">
        <w:rPr>
          <w:color w:val="000000" w:themeColor="text1"/>
        </w:rPr>
        <w:t>Ils</w:t>
      </w:r>
      <w:r w:rsidRPr="00697F3B">
        <w:rPr>
          <w:color w:val="000000" w:themeColor="text1"/>
        </w:rPr>
        <w:t xml:space="preserve"> ont jugé que cet effet était responsable de 15% de la divergence des notes extra-financières au sein d’une même catégorie. Contrairement à leurs prédécesseurs, Christensen</w:t>
      </w:r>
      <w:r w:rsidR="00E472DA" w:rsidRPr="00697F3B">
        <w:rPr>
          <w:color w:val="000000" w:themeColor="text1"/>
        </w:rPr>
        <w:t xml:space="preserve">, </w:t>
      </w:r>
      <w:proofErr w:type="spellStart"/>
      <w:r w:rsidR="00E472DA" w:rsidRPr="00697F3B">
        <w:rPr>
          <w:color w:val="000000" w:themeColor="text1"/>
        </w:rPr>
        <w:t>Serafeim</w:t>
      </w:r>
      <w:proofErr w:type="spellEnd"/>
      <w:r w:rsidR="00E472DA" w:rsidRPr="00697F3B">
        <w:rPr>
          <w:color w:val="000000" w:themeColor="text1"/>
        </w:rPr>
        <w:t xml:space="preserve"> et </w:t>
      </w:r>
      <w:proofErr w:type="spellStart"/>
      <w:r w:rsidR="00E472DA" w:rsidRPr="00697F3B">
        <w:rPr>
          <w:color w:val="000000" w:themeColor="text1"/>
        </w:rPr>
        <w:t>Sikochi</w:t>
      </w:r>
      <w:proofErr w:type="spellEnd"/>
      <w:r w:rsidR="00E472DA" w:rsidRPr="00697F3B">
        <w:rPr>
          <w:color w:val="000000" w:themeColor="text1"/>
        </w:rPr>
        <w:t xml:space="preserve"> </w:t>
      </w:r>
      <w:r w:rsidRPr="00697F3B">
        <w:rPr>
          <w:color w:val="000000" w:themeColor="text1"/>
        </w:rPr>
        <w:t>(2020) considèrent que les causes de ces divergences ne sont pas évidentes. De fait, dans leur recherche, ces auteurs se concentrent sur l’impact qu’a la divulgation ESG sur les divergences.  A ce propos, nous avions déjà évoqué</w:t>
      </w:r>
      <w:r w:rsidR="00511A5E" w:rsidRPr="00697F3B">
        <w:rPr>
          <w:color w:val="000000" w:themeColor="text1"/>
        </w:rPr>
        <w:t xml:space="preserve"> </w:t>
      </w:r>
      <w:r w:rsidRPr="00697F3B">
        <w:rPr>
          <w:color w:val="000000" w:themeColor="text1"/>
        </w:rPr>
        <w:t xml:space="preserve">la nécessité, d’après </w:t>
      </w:r>
      <w:proofErr w:type="spellStart"/>
      <w:r w:rsidRPr="00697F3B">
        <w:rPr>
          <w:color w:val="000000" w:themeColor="text1"/>
        </w:rPr>
        <w:t>Boiti</w:t>
      </w:r>
      <w:proofErr w:type="spellEnd"/>
      <w:r w:rsidRPr="00697F3B">
        <w:rPr>
          <w:color w:val="000000" w:themeColor="text1"/>
        </w:rPr>
        <w:t xml:space="preserve"> (2019) d’avoir un </w:t>
      </w:r>
      <w:proofErr w:type="spellStart"/>
      <w:r w:rsidRPr="00697F3B">
        <w:rPr>
          <w:i/>
          <w:iCs/>
          <w:color w:val="000000" w:themeColor="text1"/>
        </w:rPr>
        <w:t>reporting</w:t>
      </w:r>
      <w:proofErr w:type="spellEnd"/>
      <w:r w:rsidRPr="00697F3B">
        <w:rPr>
          <w:color w:val="000000" w:themeColor="text1"/>
        </w:rPr>
        <w:t xml:space="preserve"> ESG transparent. En effet, d’après différents chercheurs dont </w:t>
      </w:r>
      <w:proofErr w:type="spellStart"/>
      <w:r w:rsidRPr="00697F3B">
        <w:rPr>
          <w:color w:val="000000" w:themeColor="text1"/>
        </w:rPr>
        <w:t>Cookson</w:t>
      </w:r>
      <w:proofErr w:type="spellEnd"/>
      <w:r w:rsidRPr="00697F3B">
        <w:rPr>
          <w:color w:val="000000" w:themeColor="text1"/>
        </w:rPr>
        <w:t xml:space="preserve"> et </w:t>
      </w:r>
      <w:proofErr w:type="spellStart"/>
      <w:r w:rsidRPr="00697F3B">
        <w:rPr>
          <w:color w:val="000000" w:themeColor="text1"/>
        </w:rPr>
        <w:t>Niessner</w:t>
      </w:r>
      <w:proofErr w:type="spellEnd"/>
      <w:r w:rsidRPr="00697F3B">
        <w:rPr>
          <w:color w:val="000000" w:themeColor="text1"/>
        </w:rPr>
        <w:t xml:space="preserve"> (2020), </w:t>
      </w:r>
      <w:r w:rsidRPr="00697F3B">
        <w:rPr>
          <w:i/>
          <w:iCs/>
          <w:color w:val="000000" w:themeColor="text1"/>
        </w:rPr>
        <w:t xml:space="preserve">« […] le désaccord global est dû à des </w:t>
      </w:r>
      <w:r w:rsidRPr="00697F3B">
        <w:rPr>
          <w:i/>
          <w:iCs/>
          <w:color w:val="000000" w:themeColor="text1"/>
        </w:rPr>
        <w:lastRenderedPageBreak/>
        <w:t>ensembles d'informations différents ou à une interprétation différente des informations […] »</w:t>
      </w:r>
      <w:r w:rsidRPr="00697F3B">
        <w:rPr>
          <w:color w:val="000000" w:themeColor="text1"/>
        </w:rPr>
        <w:t xml:space="preserve"> (Traduction de </w:t>
      </w:r>
      <w:proofErr w:type="spellStart"/>
      <w:r w:rsidRPr="00697F3B">
        <w:rPr>
          <w:color w:val="000000" w:themeColor="text1"/>
        </w:rPr>
        <w:t>Cookson</w:t>
      </w:r>
      <w:proofErr w:type="spellEnd"/>
      <w:r w:rsidRPr="00697F3B">
        <w:rPr>
          <w:color w:val="000000" w:themeColor="text1"/>
        </w:rPr>
        <w:t xml:space="preserve"> et </w:t>
      </w:r>
      <w:proofErr w:type="spellStart"/>
      <w:r w:rsidRPr="00697F3B">
        <w:rPr>
          <w:color w:val="000000" w:themeColor="text1"/>
        </w:rPr>
        <w:t>Niessner</w:t>
      </w:r>
      <w:proofErr w:type="spellEnd"/>
      <w:r w:rsidRPr="00697F3B">
        <w:rPr>
          <w:color w:val="000000" w:themeColor="text1"/>
        </w:rPr>
        <w:t>, 2020</w:t>
      </w:r>
      <w:r w:rsidR="00346D88" w:rsidRPr="00697F3B">
        <w:rPr>
          <w:color w:val="000000" w:themeColor="text1"/>
        </w:rPr>
        <w:t xml:space="preserve"> : </w:t>
      </w:r>
      <w:r w:rsidRPr="00697F3B">
        <w:rPr>
          <w:color w:val="000000" w:themeColor="text1"/>
        </w:rPr>
        <w:t xml:space="preserve">0). Néanmoins, Christensen et </w:t>
      </w:r>
      <w:r w:rsidR="003930E4" w:rsidRPr="00697F3B">
        <w:rPr>
          <w:color w:val="000000" w:themeColor="text1"/>
        </w:rPr>
        <w:t>a</w:t>
      </w:r>
      <w:r w:rsidRPr="00697F3B">
        <w:rPr>
          <w:color w:val="000000" w:themeColor="text1"/>
        </w:rPr>
        <w:t>l. (2020) ont, quant à eux, conclu qu’une divulgation extra-financière plus importante engendrait davantage de divergences dans les notations extra-financières. Selon eux, la raison est la suivante : les informations extra-financières sont subjectives</w:t>
      </w:r>
      <w:r w:rsidR="00F03383" w:rsidRPr="00697F3B">
        <w:rPr>
          <w:color w:val="000000" w:themeColor="text1"/>
        </w:rPr>
        <w:t xml:space="preserve">, ce qui entraîne </w:t>
      </w:r>
      <w:r w:rsidRPr="00697F3B">
        <w:rPr>
          <w:color w:val="000000" w:themeColor="text1"/>
        </w:rPr>
        <w:t xml:space="preserve">une augmentation du risque d’interprétations disparates. Pour Berg et </w:t>
      </w:r>
      <w:r w:rsidR="003930E4" w:rsidRPr="00697F3B">
        <w:rPr>
          <w:color w:val="000000" w:themeColor="text1"/>
        </w:rPr>
        <w:t>a</w:t>
      </w:r>
      <w:r w:rsidRPr="00697F3B">
        <w:rPr>
          <w:color w:val="000000" w:themeColor="text1"/>
        </w:rPr>
        <w:t xml:space="preserve">l. (2019), les divergences entre les notations ont plusieurs conséquences non négligeables dont une qui nous intéresse davantage dans le cadre de </w:t>
      </w:r>
      <w:r w:rsidR="00285E5A" w:rsidRPr="00697F3B">
        <w:rPr>
          <w:color w:val="000000" w:themeColor="text1"/>
        </w:rPr>
        <w:t>cette recherche</w:t>
      </w:r>
      <w:r w:rsidRPr="00697F3B">
        <w:rPr>
          <w:color w:val="000000" w:themeColor="text1"/>
        </w:rPr>
        <w:t xml:space="preserve"> : l’évaluation de la performance extra-financière des entreprises, des fonds et des portefeuilles est rendue compliquée. Christensen et </w:t>
      </w:r>
      <w:r w:rsidR="003930E4" w:rsidRPr="00697F3B">
        <w:rPr>
          <w:color w:val="000000" w:themeColor="text1"/>
        </w:rPr>
        <w:t>a</w:t>
      </w:r>
      <w:r w:rsidRPr="00697F3B">
        <w:rPr>
          <w:color w:val="000000" w:themeColor="text1"/>
        </w:rPr>
        <w:t xml:space="preserve">l. (2020) </w:t>
      </w:r>
      <w:r w:rsidR="00FA1553" w:rsidRPr="00697F3B">
        <w:rPr>
          <w:color w:val="000000" w:themeColor="text1"/>
        </w:rPr>
        <w:t>mentionnent</w:t>
      </w:r>
      <w:r w:rsidRPr="00697F3B">
        <w:rPr>
          <w:color w:val="000000" w:themeColor="text1"/>
        </w:rPr>
        <w:t xml:space="preserve"> également que cela implique, notamment, une volatilité du rendement et une instabilité de prix supérieures. Malgré tout, la mesure de performance extra-financière n’est pas inutile (Berg et </w:t>
      </w:r>
      <w:r w:rsidR="003930E4" w:rsidRPr="00697F3B">
        <w:rPr>
          <w:color w:val="000000" w:themeColor="text1"/>
        </w:rPr>
        <w:t>a</w:t>
      </w:r>
      <w:r w:rsidR="00E472DA" w:rsidRPr="00697F3B">
        <w:rPr>
          <w:color w:val="000000" w:themeColor="text1"/>
        </w:rPr>
        <w:t>l</w:t>
      </w:r>
      <w:r w:rsidRPr="00697F3B">
        <w:rPr>
          <w:color w:val="000000" w:themeColor="text1"/>
        </w:rPr>
        <w:t xml:space="preserve">., 2019). Berg et </w:t>
      </w:r>
      <w:r w:rsidR="003930E4" w:rsidRPr="00697F3B">
        <w:rPr>
          <w:color w:val="000000" w:themeColor="text1"/>
        </w:rPr>
        <w:t>a</w:t>
      </w:r>
      <w:r w:rsidRPr="00697F3B">
        <w:rPr>
          <w:color w:val="000000" w:themeColor="text1"/>
        </w:rPr>
        <w:t xml:space="preserve">l. (2019) plaident en faveur d’une </w:t>
      </w:r>
      <w:r w:rsidRPr="00697F3B">
        <w:rPr>
          <w:i/>
          <w:iCs/>
          <w:color w:val="000000" w:themeColor="text1"/>
        </w:rPr>
        <w:t xml:space="preserve">« […] harmonisation de la divulgation ESG et de l'établissement d'une taxonomie des catégories ESG […] » </w:t>
      </w:r>
      <w:r w:rsidRPr="00697F3B">
        <w:rPr>
          <w:color w:val="000000" w:themeColor="text1"/>
        </w:rPr>
        <w:t xml:space="preserve">(Traduction de Berg et </w:t>
      </w:r>
      <w:r w:rsidR="003930E4" w:rsidRPr="00697F3B">
        <w:rPr>
          <w:color w:val="000000" w:themeColor="text1"/>
        </w:rPr>
        <w:t>a</w:t>
      </w:r>
      <w:r w:rsidR="00E472DA" w:rsidRPr="00697F3B">
        <w:rPr>
          <w:color w:val="000000" w:themeColor="text1"/>
        </w:rPr>
        <w:t>l</w:t>
      </w:r>
      <w:r w:rsidRPr="00697F3B">
        <w:rPr>
          <w:color w:val="000000" w:themeColor="text1"/>
        </w:rPr>
        <w:t>., 2019</w:t>
      </w:r>
      <w:r w:rsidR="00346D88" w:rsidRPr="00697F3B">
        <w:rPr>
          <w:color w:val="000000" w:themeColor="text1"/>
        </w:rPr>
        <w:t xml:space="preserve"> : </w:t>
      </w:r>
      <w:r w:rsidRPr="00697F3B">
        <w:rPr>
          <w:color w:val="000000" w:themeColor="text1"/>
        </w:rPr>
        <w:t xml:space="preserve">6) par les régulateurs pour rendre les notations extra-financières fiables et comparables. En attendant une réponse des régulateurs, Berg et </w:t>
      </w:r>
      <w:r w:rsidR="003930E4" w:rsidRPr="00697F3B">
        <w:rPr>
          <w:color w:val="000000" w:themeColor="text1"/>
        </w:rPr>
        <w:t>a</w:t>
      </w:r>
      <w:r w:rsidR="00E472DA" w:rsidRPr="00697F3B">
        <w:rPr>
          <w:color w:val="000000" w:themeColor="text1"/>
        </w:rPr>
        <w:t>l</w:t>
      </w:r>
      <w:r w:rsidRPr="00697F3B">
        <w:rPr>
          <w:color w:val="000000" w:themeColor="text1"/>
        </w:rPr>
        <w:t xml:space="preserve">. (2019) conseillent d’utiliser les notations extra-financières avec prudence en étudiant plus profondément les éléments sources de divergences.  </w:t>
      </w:r>
      <w:r w:rsidR="00E844B1" w:rsidRPr="00697F3B">
        <w:rPr>
          <w:color w:val="000000" w:themeColor="text1"/>
        </w:rPr>
        <w:t xml:space="preserve">De ce fait, nous avons décidé de tester l’hypothèse suivante : </w:t>
      </w:r>
    </w:p>
    <w:p w14:paraId="32A5AE90" w14:textId="0A324DB0" w:rsidR="00E844B1" w:rsidRPr="00697F3B" w:rsidRDefault="00E844B1" w:rsidP="0073059A">
      <w:pPr>
        <w:pStyle w:val="Paragraphedeliste"/>
        <w:numPr>
          <w:ilvl w:val="0"/>
          <w:numId w:val="6"/>
        </w:numPr>
        <w:spacing w:before="240" w:after="240" w:line="360" w:lineRule="auto"/>
        <w:jc w:val="both"/>
        <w:rPr>
          <w:rFonts w:ascii="Times New Roman" w:hAnsi="Times New Roman" w:cs="Times New Roman"/>
        </w:rPr>
      </w:pPr>
      <w:r w:rsidRPr="00697F3B">
        <w:rPr>
          <w:rFonts w:ascii="Times New Roman" w:hAnsi="Times New Roman" w:cs="Times New Roman"/>
        </w:rPr>
        <w:t>H</w:t>
      </w:r>
      <w:r w:rsidR="00D85431" w:rsidRPr="00697F3B">
        <w:rPr>
          <w:rFonts w:ascii="Times New Roman" w:hAnsi="Times New Roman" w:cs="Times New Roman"/>
          <w:vertAlign w:val="subscript"/>
        </w:rPr>
        <w:t>1</w:t>
      </w:r>
      <w:r w:rsidRPr="00697F3B">
        <w:rPr>
          <w:rFonts w:ascii="Times New Roman" w:hAnsi="Times New Roman" w:cs="Times New Roman"/>
        </w:rPr>
        <w:t xml:space="preserve"> : Il y a une différence statistiquement significative entre les notes extra-financières attribuées par les différents évaluateurs. </w:t>
      </w:r>
    </w:p>
    <w:p w14:paraId="0FEA277C" w14:textId="46DB012D" w:rsidR="00586612" w:rsidRPr="00697F3B" w:rsidRDefault="009F5DEE" w:rsidP="003739A1">
      <w:pPr>
        <w:spacing w:before="240" w:after="240" w:line="360" w:lineRule="auto"/>
        <w:jc w:val="both"/>
        <w:rPr>
          <w:color w:val="000000" w:themeColor="text1"/>
        </w:rPr>
      </w:pPr>
      <w:proofErr w:type="spellStart"/>
      <w:r w:rsidRPr="00697F3B">
        <w:rPr>
          <w:color w:val="000000" w:themeColor="text1"/>
        </w:rPr>
        <w:t>Fily</w:t>
      </w:r>
      <w:proofErr w:type="spellEnd"/>
      <w:r w:rsidRPr="00697F3B">
        <w:rPr>
          <w:color w:val="000000" w:themeColor="text1"/>
        </w:rPr>
        <w:t xml:space="preserve"> (2019</w:t>
      </w:r>
      <w:r w:rsidR="00346D88" w:rsidRPr="00697F3B">
        <w:rPr>
          <w:color w:val="000000" w:themeColor="text1"/>
        </w:rPr>
        <w:t xml:space="preserve"> : </w:t>
      </w:r>
      <w:r w:rsidRPr="00697F3B">
        <w:rPr>
          <w:color w:val="000000" w:themeColor="text1"/>
        </w:rPr>
        <w:t>10) tend à considérer que la performance extra-financière se rapproche d'un outil marketing :</w:t>
      </w:r>
      <w:r w:rsidRPr="00697F3B" w:rsidDel="009F5DEE">
        <w:rPr>
          <w:color w:val="000000" w:themeColor="text1"/>
        </w:rPr>
        <w:t xml:space="preserve"> </w:t>
      </w:r>
      <w:r w:rsidR="00586612" w:rsidRPr="00697F3B">
        <w:rPr>
          <w:i/>
          <w:iCs/>
          <w:color w:val="000000" w:themeColor="text1"/>
        </w:rPr>
        <w:t>« Ce marché est encore bien trop souvent utilisé comme un outil de promotion destiné à attirer les clients et à se donner une image d’institution responsable […] »</w:t>
      </w:r>
      <w:r w:rsidR="00285E5A" w:rsidRPr="00697F3B">
        <w:rPr>
          <w:color w:val="000000" w:themeColor="text1"/>
        </w:rPr>
        <w:t xml:space="preserve">. Plus récemment, le terme ESG </w:t>
      </w:r>
      <w:proofErr w:type="spellStart"/>
      <w:r w:rsidR="00285E5A" w:rsidRPr="00697F3B">
        <w:rPr>
          <w:color w:val="000000" w:themeColor="text1"/>
        </w:rPr>
        <w:t>washing</w:t>
      </w:r>
      <w:proofErr w:type="spellEnd"/>
      <w:r w:rsidR="00285E5A" w:rsidRPr="00697F3B">
        <w:rPr>
          <w:color w:val="000000" w:themeColor="text1"/>
        </w:rPr>
        <w:t xml:space="preserve"> sera utilisé par de nombreux auteurs tels </w:t>
      </w:r>
      <w:r w:rsidR="00586612" w:rsidRPr="00697F3B">
        <w:rPr>
          <w:color w:val="000000" w:themeColor="text1"/>
        </w:rPr>
        <w:t xml:space="preserve">que  </w:t>
      </w:r>
      <w:proofErr w:type="spellStart"/>
      <w:r w:rsidR="00586612" w:rsidRPr="00697F3B">
        <w:rPr>
          <w:color w:val="000000" w:themeColor="text1"/>
        </w:rPr>
        <w:t>Scatigna</w:t>
      </w:r>
      <w:proofErr w:type="spellEnd"/>
      <w:r w:rsidR="00E472DA" w:rsidRPr="00697F3B">
        <w:rPr>
          <w:color w:val="000000" w:themeColor="text1"/>
        </w:rPr>
        <w:t xml:space="preserve">, Xia, </w:t>
      </w:r>
      <w:proofErr w:type="spellStart"/>
      <w:r w:rsidR="00E472DA" w:rsidRPr="00697F3B">
        <w:rPr>
          <w:color w:val="000000" w:themeColor="text1"/>
        </w:rPr>
        <w:t>Zabai</w:t>
      </w:r>
      <w:proofErr w:type="spellEnd"/>
      <w:r w:rsidR="00E472DA" w:rsidRPr="00697F3B">
        <w:rPr>
          <w:color w:val="000000" w:themeColor="text1"/>
        </w:rPr>
        <w:t xml:space="preserve"> et </w:t>
      </w:r>
      <w:proofErr w:type="spellStart"/>
      <w:r w:rsidR="00E472DA" w:rsidRPr="00697F3B">
        <w:rPr>
          <w:color w:val="000000" w:themeColor="text1"/>
        </w:rPr>
        <w:t>Zulaica</w:t>
      </w:r>
      <w:proofErr w:type="spellEnd"/>
      <w:r w:rsidR="00E472DA" w:rsidRPr="00697F3B">
        <w:rPr>
          <w:color w:val="000000" w:themeColor="text1"/>
        </w:rPr>
        <w:t xml:space="preserve"> </w:t>
      </w:r>
      <w:r w:rsidR="00586612" w:rsidRPr="00697F3B">
        <w:rPr>
          <w:color w:val="000000" w:themeColor="text1"/>
        </w:rPr>
        <w:t xml:space="preserve">(2021) pour parler de ce phénomène. Lyon et Maxwell (2011, in Candelon et </w:t>
      </w:r>
      <w:r w:rsidR="003930E4" w:rsidRPr="00697F3B">
        <w:rPr>
          <w:color w:val="000000" w:themeColor="text1"/>
        </w:rPr>
        <w:t>a</w:t>
      </w:r>
      <w:r w:rsidR="0084206C" w:rsidRPr="00697F3B">
        <w:rPr>
          <w:color w:val="000000" w:themeColor="text1"/>
        </w:rPr>
        <w:t>l</w:t>
      </w:r>
      <w:r w:rsidR="00586612" w:rsidRPr="00697F3B">
        <w:rPr>
          <w:color w:val="000000" w:themeColor="text1"/>
        </w:rPr>
        <w:t xml:space="preserve">., 2021) ainsi que Lyon et Montgomery (2015, in Candelon et </w:t>
      </w:r>
      <w:r w:rsidR="003930E4" w:rsidRPr="00697F3B">
        <w:rPr>
          <w:color w:val="000000" w:themeColor="text1"/>
        </w:rPr>
        <w:t>a</w:t>
      </w:r>
      <w:r w:rsidR="0084206C" w:rsidRPr="00697F3B">
        <w:rPr>
          <w:color w:val="000000" w:themeColor="text1"/>
        </w:rPr>
        <w:t>l.</w:t>
      </w:r>
      <w:r w:rsidR="00586612" w:rsidRPr="00697F3B">
        <w:rPr>
          <w:color w:val="000000" w:themeColor="text1"/>
        </w:rPr>
        <w:t>, 2021) définissent l</w:t>
      </w:r>
      <w:r w:rsidR="001565AF" w:rsidRPr="00697F3B">
        <w:rPr>
          <w:color w:val="000000" w:themeColor="text1"/>
        </w:rPr>
        <w:t>’ESG</w:t>
      </w:r>
      <w:r w:rsidR="00586612" w:rsidRPr="00697F3B">
        <w:rPr>
          <w:color w:val="000000" w:themeColor="text1"/>
        </w:rPr>
        <w:t xml:space="preserve"> </w:t>
      </w:r>
      <w:proofErr w:type="spellStart"/>
      <w:r w:rsidR="00586612" w:rsidRPr="00697F3B">
        <w:rPr>
          <w:i/>
          <w:iCs/>
          <w:color w:val="000000" w:themeColor="text1"/>
        </w:rPr>
        <w:t>washing</w:t>
      </w:r>
      <w:proofErr w:type="spellEnd"/>
      <w:r w:rsidR="00586612" w:rsidRPr="00697F3B">
        <w:rPr>
          <w:color w:val="000000" w:themeColor="text1"/>
        </w:rPr>
        <w:t xml:space="preserve"> de la manière suivante : </w:t>
      </w:r>
      <w:r w:rsidR="00586612" w:rsidRPr="00697F3B">
        <w:rPr>
          <w:i/>
          <w:iCs/>
          <w:color w:val="000000" w:themeColor="text1"/>
        </w:rPr>
        <w:t>« […] consiste à communiquer des informations non fondées ou trompeuses sur un produit financier pour lui donner l'apparence d'un fonds commun de placement socialement responsable »</w:t>
      </w:r>
      <w:r w:rsidR="00586612" w:rsidRPr="00697F3B">
        <w:rPr>
          <w:color w:val="000000" w:themeColor="text1"/>
        </w:rPr>
        <w:t xml:space="preserve"> (Traduction de Candelon et</w:t>
      </w:r>
      <w:r w:rsidR="0084206C" w:rsidRPr="00697F3B">
        <w:rPr>
          <w:color w:val="000000" w:themeColor="text1"/>
        </w:rPr>
        <w:t xml:space="preserve"> </w:t>
      </w:r>
      <w:r w:rsidR="003930E4" w:rsidRPr="00697F3B">
        <w:rPr>
          <w:color w:val="000000" w:themeColor="text1"/>
        </w:rPr>
        <w:t>a</w:t>
      </w:r>
      <w:r w:rsidR="0084206C" w:rsidRPr="00697F3B">
        <w:rPr>
          <w:color w:val="000000" w:themeColor="text1"/>
        </w:rPr>
        <w:t>l</w:t>
      </w:r>
      <w:r w:rsidR="00586612" w:rsidRPr="00697F3B">
        <w:rPr>
          <w:color w:val="000000" w:themeColor="text1"/>
        </w:rPr>
        <w:t>., 2021</w:t>
      </w:r>
      <w:r w:rsidR="00346D88" w:rsidRPr="00697F3B">
        <w:rPr>
          <w:color w:val="000000" w:themeColor="text1"/>
        </w:rPr>
        <w:t xml:space="preserve"> : </w:t>
      </w:r>
      <w:r w:rsidR="00586612" w:rsidRPr="00697F3B">
        <w:rPr>
          <w:color w:val="000000" w:themeColor="text1"/>
        </w:rPr>
        <w:t xml:space="preserve">3). D’ailleurs, Candelon et </w:t>
      </w:r>
      <w:r w:rsidR="003930E4" w:rsidRPr="00697F3B">
        <w:rPr>
          <w:color w:val="000000" w:themeColor="text1"/>
        </w:rPr>
        <w:t>a</w:t>
      </w:r>
      <w:r w:rsidR="0084206C" w:rsidRPr="00697F3B">
        <w:rPr>
          <w:color w:val="000000" w:themeColor="text1"/>
        </w:rPr>
        <w:t>l</w:t>
      </w:r>
      <w:r w:rsidR="00586612" w:rsidRPr="00697F3B">
        <w:rPr>
          <w:color w:val="000000" w:themeColor="text1"/>
        </w:rPr>
        <w:t xml:space="preserve">. (2021) ont </w:t>
      </w:r>
      <w:r w:rsidR="00285E5A" w:rsidRPr="00697F3B">
        <w:rPr>
          <w:color w:val="000000" w:themeColor="text1"/>
        </w:rPr>
        <w:t xml:space="preserve">démontré </w:t>
      </w:r>
      <w:r w:rsidR="00586612" w:rsidRPr="00697F3B">
        <w:rPr>
          <w:color w:val="000000" w:themeColor="text1"/>
        </w:rPr>
        <w:t xml:space="preserve">qu’il n’y avait pas de lien entre les appellations des fonds d’investissement socialement responsables et leur performances extra-financières. </w:t>
      </w:r>
      <w:r w:rsidR="00285E5A" w:rsidRPr="00697F3B">
        <w:rPr>
          <w:color w:val="000000" w:themeColor="text1"/>
        </w:rPr>
        <w:t>C</w:t>
      </w:r>
      <w:r w:rsidR="00586612" w:rsidRPr="00697F3B">
        <w:rPr>
          <w:color w:val="000000" w:themeColor="text1"/>
        </w:rPr>
        <w:t xml:space="preserve">ela concorde avec les propos de différents auteurs </w:t>
      </w:r>
      <w:r w:rsidR="00285E5A" w:rsidRPr="00697F3B">
        <w:rPr>
          <w:color w:val="000000" w:themeColor="text1"/>
        </w:rPr>
        <w:t>tels que</w:t>
      </w:r>
      <w:r w:rsidR="00285E5A" w:rsidRPr="00697F3B">
        <w:rPr>
          <w:i/>
          <w:iCs/>
          <w:color w:val="000000" w:themeColor="text1"/>
        </w:rPr>
        <w:t xml:space="preserve"> </w:t>
      </w:r>
      <w:proofErr w:type="spellStart"/>
      <w:r w:rsidR="00586612" w:rsidRPr="00697F3B">
        <w:rPr>
          <w:color w:val="000000" w:themeColor="text1"/>
        </w:rPr>
        <w:t>Espenlaub</w:t>
      </w:r>
      <w:proofErr w:type="spellEnd"/>
      <w:r w:rsidR="00E07ABD" w:rsidRPr="00697F3B">
        <w:rPr>
          <w:color w:val="000000" w:themeColor="text1"/>
        </w:rPr>
        <w:t xml:space="preserve">, Haq et </w:t>
      </w:r>
      <w:proofErr w:type="spellStart"/>
      <w:r w:rsidR="00E07ABD" w:rsidRPr="00697F3B">
        <w:rPr>
          <w:color w:val="000000" w:themeColor="text1"/>
        </w:rPr>
        <w:t>Khurshed</w:t>
      </w:r>
      <w:proofErr w:type="spellEnd"/>
      <w:r w:rsidR="00E07ABD" w:rsidRPr="00697F3B">
        <w:rPr>
          <w:color w:val="000000" w:themeColor="text1"/>
        </w:rPr>
        <w:t xml:space="preserve"> </w:t>
      </w:r>
      <w:r w:rsidR="00586612" w:rsidRPr="00697F3B">
        <w:rPr>
          <w:color w:val="000000" w:themeColor="text1"/>
        </w:rPr>
        <w:t xml:space="preserve">(2017) et El </w:t>
      </w:r>
      <w:proofErr w:type="spellStart"/>
      <w:r w:rsidR="00586612" w:rsidRPr="00697F3B">
        <w:rPr>
          <w:color w:val="000000" w:themeColor="text1"/>
        </w:rPr>
        <w:t>Ghoul</w:t>
      </w:r>
      <w:proofErr w:type="spellEnd"/>
      <w:r w:rsidR="00586612" w:rsidRPr="00697F3B">
        <w:rPr>
          <w:color w:val="000000" w:themeColor="text1"/>
        </w:rPr>
        <w:t xml:space="preserve"> et </w:t>
      </w:r>
      <w:proofErr w:type="spellStart"/>
      <w:r w:rsidR="00586612" w:rsidRPr="00697F3B">
        <w:rPr>
          <w:color w:val="000000" w:themeColor="text1"/>
        </w:rPr>
        <w:t>Karoui</w:t>
      </w:r>
      <w:proofErr w:type="spellEnd"/>
      <w:r w:rsidR="00586612" w:rsidRPr="00697F3B">
        <w:rPr>
          <w:color w:val="000000" w:themeColor="text1"/>
        </w:rPr>
        <w:t xml:space="preserve"> (2020) </w:t>
      </w:r>
      <w:r w:rsidR="00285E5A" w:rsidRPr="00697F3B">
        <w:rPr>
          <w:color w:val="000000" w:themeColor="text1"/>
        </w:rPr>
        <w:t xml:space="preserve">qui qualifient </w:t>
      </w:r>
      <w:r w:rsidR="005549FD" w:rsidRPr="00697F3B">
        <w:rPr>
          <w:color w:val="000000" w:themeColor="text1"/>
        </w:rPr>
        <w:t xml:space="preserve">l’ESG </w:t>
      </w:r>
      <w:proofErr w:type="spellStart"/>
      <w:r w:rsidR="005549FD" w:rsidRPr="00697F3B">
        <w:rPr>
          <w:i/>
          <w:iCs/>
          <w:color w:val="000000" w:themeColor="text1"/>
        </w:rPr>
        <w:t>washing</w:t>
      </w:r>
      <w:proofErr w:type="spellEnd"/>
      <w:r w:rsidR="005549FD" w:rsidRPr="00697F3B">
        <w:rPr>
          <w:color w:val="000000" w:themeColor="text1"/>
        </w:rPr>
        <w:t xml:space="preserve"> </w:t>
      </w:r>
      <w:r w:rsidR="00586612" w:rsidRPr="00697F3B">
        <w:rPr>
          <w:color w:val="000000" w:themeColor="text1"/>
        </w:rPr>
        <w:t xml:space="preserve">de changements trompeurs et </w:t>
      </w:r>
      <w:r w:rsidR="00586612" w:rsidRPr="00697F3B">
        <w:rPr>
          <w:color w:val="000000" w:themeColor="text1"/>
        </w:rPr>
        <w:lastRenderedPageBreak/>
        <w:t>cosmétiques</w:t>
      </w:r>
      <w:r w:rsidR="005549FD" w:rsidRPr="00697F3B">
        <w:rPr>
          <w:color w:val="000000" w:themeColor="text1"/>
        </w:rPr>
        <w:t xml:space="preserve">. </w:t>
      </w:r>
      <w:r w:rsidR="00586612" w:rsidRPr="00697F3B">
        <w:rPr>
          <w:color w:val="000000" w:themeColor="text1"/>
        </w:rPr>
        <w:t xml:space="preserve">Candelon et </w:t>
      </w:r>
      <w:r w:rsidR="003930E4" w:rsidRPr="00697F3B">
        <w:rPr>
          <w:color w:val="000000" w:themeColor="text1"/>
        </w:rPr>
        <w:t>a</w:t>
      </w:r>
      <w:r w:rsidR="0084206C" w:rsidRPr="00697F3B">
        <w:rPr>
          <w:color w:val="000000" w:themeColor="text1"/>
        </w:rPr>
        <w:t>l</w:t>
      </w:r>
      <w:r w:rsidR="00586612" w:rsidRPr="00697F3B">
        <w:rPr>
          <w:color w:val="000000" w:themeColor="text1"/>
        </w:rPr>
        <w:t>. (2021)</w:t>
      </w:r>
      <w:r w:rsidR="005549FD" w:rsidRPr="00697F3B">
        <w:rPr>
          <w:color w:val="000000" w:themeColor="text1"/>
        </w:rPr>
        <w:t xml:space="preserve"> mentionnent d’ailleurs </w:t>
      </w:r>
      <w:r w:rsidR="00586612" w:rsidRPr="00697F3B">
        <w:rPr>
          <w:color w:val="000000" w:themeColor="text1"/>
        </w:rPr>
        <w:t xml:space="preserve">que le but de l’ESG </w:t>
      </w:r>
      <w:proofErr w:type="spellStart"/>
      <w:r w:rsidR="00586612" w:rsidRPr="00697F3B">
        <w:rPr>
          <w:i/>
          <w:iCs/>
          <w:color w:val="000000" w:themeColor="text1"/>
        </w:rPr>
        <w:t>washing</w:t>
      </w:r>
      <w:proofErr w:type="spellEnd"/>
      <w:r w:rsidR="00586612" w:rsidRPr="00697F3B">
        <w:rPr>
          <w:i/>
          <w:iCs/>
          <w:color w:val="000000" w:themeColor="text1"/>
        </w:rPr>
        <w:t xml:space="preserve"> </w:t>
      </w:r>
      <w:r w:rsidR="00586612" w:rsidRPr="00697F3B">
        <w:rPr>
          <w:color w:val="000000" w:themeColor="text1"/>
        </w:rPr>
        <w:t>est tout simplement d’ </w:t>
      </w:r>
      <w:r w:rsidR="00586612" w:rsidRPr="00697F3B">
        <w:rPr>
          <w:i/>
          <w:iCs/>
          <w:color w:val="000000" w:themeColor="text1"/>
        </w:rPr>
        <w:t xml:space="preserve">« […] </w:t>
      </w:r>
      <w:r w:rsidR="00586612" w:rsidRPr="00697F3B">
        <w:rPr>
          <w:i/>
          <w:iCs/>
        </w:rPr>
        <w:t>influencer le comportement des investisseurs à leur avantage »</w:t>
      </w:r>
      <w:r w:rsidR="00586612" w:rsidRPr="00697F3B">
        <w:t xml:space="preserve"> (Traduction de Candelon et </w:t>
      </w:r>
      <w:r w:rsidR="003930E4" w:rsidRPr="00697F3B">
        <w:t>a</w:t>
      </w:r>
      <w:r w:rsidR="0084206C" w:rsidRPr="00697F3B">
        <w:t>l</w:t>
      </w:r>
      <w:r w:rsidR="00586612" w:rsidRPr="00697F3B">
        <w:t>, 2021</w:t>
      </w:r>
      <w:r w:rsidR="00346D88" w:rsidRPr="00697F3B">
        <w:t xml:space="preserve"> : </w:t>
      </w:r>
      <w:r w:rsidR="00586612" w:rsidRPr="00697F3B">
        <w:t>1)</w:t>
      </w:r>
      <w:r w:rsidR="00586612" w:rsidRPr="00697F3B">
        <w:rPr>
          <w:color w:val="000000" w:themeColor="text1"/>
        </w:rPr>
        <w:t>.</w:t>
      </w:r>
      <w:r w:rsidR="00586612" w:rsidRPr="00697F3B">
        <w:rPr>
          <w:i/>
          <w:iCs/>
          <w:color w:val="000000" w:themeColor="text1"/>
        </w:rPr>
        <w:t xml:space="preserve"> </w:t>
      </w:r>
      <w:r w:rsidR="00586612" w:rsidRPr="00697F3B">
        <w:rPr>
          <w:color w:val="000000" w:themeColor="text1"/>
        </w:rPr>
        <w:t xml:space="preserve">Ainsi, les fonds d’investissement socialement responsables ont obtenu une note moyenne de 1,2/10 de la part du réseau </w:t>
      </w:r>
      <w:proofErr w:type="spellStart"/>
      <w:r w:rsidR="00586612" w:rsidRPr="00697F3B">
        <w:rPr>
          <w:color w:val="000000" w:themeColor="text1"/>
        </w:rPr>
        <w:t>Financité</w:t>
      </w:r>
      <w:proofErr w:type="spellEnd"/>
      <w:r w:rsidR="00586612" w:rsidRPr="00697F3B">
        <w:rPr>
          <w:color w:val="000000" w:themeColor="text1"/>
        </w:rPr>
        <w:t xml:space="preserve"> en 2020, ce qui semble préoccupant (</w:t>
      </w:r>
      <w:proofErr w:type="spellStart"/>
      <w:r w:rsidR="00586612" w:rsidRPr="00697F3B">
        <w:rPr>
          <w:color w:val="000000" w:themeColor="text1"/>
        </w:rPr>
        <w:t>Chennoufe</w:t>
      </w:r>
      <w:proofErr w:type="spellEnd"/>
      <w:r w:rsidR="00586612" w:rsidRPr="00697F3B">
        <w:rPr>
          <w:color w:val="000000" w:themeColor="text1"/>
        </w:rPr>
        <w:t xml:space="preserve"> et </w:t>
      </w:r>
      <w:r w:rsidR="003930E4" w:rsidRPr="00697F3B">
        <w:rPr>
          <w:color w:val="000000" w:themeColor="text1"/>
        </w:rPr>
        <w:t>a</w:t>
      </w:r>
      <w:r w:rsidR="0084206C" w:rsidRPr="00697F3B">
        <w:rPr>
          <w:color w:val="000000" w:themeColor="text1"/>
        </w:rPr>
        <w:t>l</w:t>
      </w:r>
      <w:r w:rsidR="00586612" w:rsidRPr="00697F3B">
        <w:rPr>
          <w:color w:val="000000" w:themeColor="text1"/>
        </w:rPr>
        <w:t>., 2021</w:t>
      </w:r>
      <w:r w:rsidR="00192C80" w:rsidRPr="00697F3B">
        <w:rPr>
          <w:color w:val="000000" w:themeColor="text1"/>
        </w:rPr>
        <w:t>a</w:t>
      </w:r>
      <w:r w:rsidR="00586612" w:rsidRPr="00697F3B">
        <w:rPr>
          <w:color w:val="000000" w:themeColor="text1"/>
        </w:rPr>
        <w:t xml:space="preserve">). </w:t>
      </w:r>
      <w:r w:rsidR="00285E5A" w:rsidRPr="00697F3B">
        <w:rPr>
          <w:color w:val="000000" w:themeColor="text1"/>
        </w:rPr>
        <w:t>L</w:t>
      </w:r>
      <w:r w:rsidR="00586612" w:rsidRPr="00697F3B">
        <w:rPr>
          <w:color w:val="000000" w:themeColor="text1"/>
        </w:rPr>
        <w:t xml:space="preserve">’ESG </w:t>
      </w:r>
      <w:proofErr w:type="spellStart"/>
      <w:r w:rsidR="00586612" w:rsidRPr="00697F3B">
        <w:rPr>
          <w:i/>
          <w:iCs/>
          <w:color w:val="000000" w:themeColor="text1"/>
        </w:rPr>
        <w:t>washing</w:t>
      </w:r>
      <w:proofErr w:type="spellEnd"/>
      <w:r w:rsidR="00586612" w:rsidRPr="00697F3B">
        <w:rPr>
          <w:i/>
          <w:iCs/>
          <w:color w:val="000000" w:themeColor="text1"/>
        </w:rPr>
        <w:t xml:space="preserve"> </w:t>
      </w:r>
      <w:r w:rsidR="00285E5A" w:rsidRPr="00697F3B">
        <w:rPr>
          <w:i/>
          <w:iCs/>
          <w:color w:val="000000" w:themeColor="text1"/>
        </w:rPr>
        <w:t>n’</w:t>
      </w:r>
      <w:r w:rsidR="00586612" w:rsidRPr="00697F3B">
        <w:rPr>
          <w:color w:val="000000" w:themeColor="text1"/>
        </w:rPr>
        <w:t>existe</w:t>
      </w:r>
      <w:r w:rsidR="00285E5A" w:rsidRPr="00697F3B">
        <w:rPr>
          <w:color w:val="000000" w:themeColor="text1"/>
        </w:rPr>
        <w:t>rait que</w:t>
      </w:r>
      <w:r w:rsidR="00586612" w:rsidRPr="00697F3B">
        <w:rPr>
          <w:color w:val="000000" w:themeColor="text1"/>
        </w:rPr>
        <w:t xml:space="preserve"> parce qu’il y a une </w:t>
      </w:r>
      <w:r w:rsidR="00586612" w:rsidRPr="00697F3B">
        <w:rPr>
          <w:i/>
          <w:iCs/>
          <w:color w:val="000000" w:themeColor="text1"/>
        </w:rPr>
        <w:t>« […] absence de taxonomies universelles et de divulgations obligatoires et standardisées »</w:t>
      </w:r>
      <w:r w:rsidR="00586612" w:rsidRPr="00697F3B">
        <w:rPr>
          <w:color w:val="000000" w:themeColor="text1"/>
        </w:rPr>
        <w:t xml:space="preserve"> (Traduction de </w:t>
      </w:r>
      <w:proofErr w:type="spellStart"/>
      <w:r w:rsidR="00586612" w:rsidRPr="00697F3B">
        <w:rPr>
          <w:color w:val="000000" w:themeColor="text1"/>
        </w:rPr>
        <w:t>Scatigna</w:t>
      </w:r>
      <w:proofErr w:type="spellEnd"/>
      <w:r w:rsidR="00586612" w:rsidRPr="00697F3B">
        <w:rPr>
          <w:color w:val="000000" w:themeColor="text1"/>
        </w:rPr>
        <w:t xml:space="preserve"> et </w:t>
      </w:r>
      <w:r w:rsidR="003930E4" w:rsidRPr="00697F3B">
        <w:rPr>
          <w:color w:val="000000" w:themeColor="text1"/>
        </w:rPr>
        <w:t>a</w:t>
      </w:r>
      <w:r w:rsidR="00586612" w:rsidRPr="00697F3B">
        <w:rPr>
          <w:color w:val="000000" w:themeColor="text1"/>
        </w:rPr>
        <w:t>l., 2021</w:t>
      </w:r>
      <w:r w:rsidR="00346D88" w:rsidRPr="00697F3B">
        <w:rPr>
          <w:color w:val="000000" w:themeColor="text1"/>
        </w:rPr>
        <w:t xml:space="preserve"> : </w:t>
      </w:r>
      <w:r w:rsidR="00586612" w:rsidRPr="00697F3B">
        <w:rPr>
          <w:color w:val="000000" w:themeColor="text1"/>
        </w:rPr>
        <w:t>94). Touma (2018</w:t>
      </w:r>
      <w:r w:rsidR="00346D88" w:rsidRPr="00697F3B">
        <w:rPr>
          <w:color w:val="000000" w:themeColor="text1"/>
        </w:rPr>
        <w:t xml:space="preserve"> : </w:t>
      </w:r>
      <w:r w:rsidR="00586612" w:rsidRPr="00697F3B">
        <w:rPr>
          <w:color w:val="000000" w:themeColor="text1"/>
        </w:rPr>
        <w:t>47) évoque</w:t>
      </w:r>
      <w:r w:rsidR="005631C4" w:rsidRPr="00697F3B">
        <w:rPr>
          <w:color w:val="000000" w:themeColor="text1"/>
        </w:rPr>
        <w:t xml:space="preserve"> </w:t>
      </w:r>
      <w:r w:rsidR="00586612" w:rsidRPr="00697F3B">
        <w:rPr>
          <w:color w:val="000000" w:themeColor="text1"/>
        </w:rPr>
        <w:t xml:space="preserve">un </w:t>
      </w:r>
      <w:r w:rsidR="00586612" w:rsidRPr="00697F3B">
        <w:rPr>
          <w:i/>
          <w:iCs/>
          <w:color w:val="000000" w:themeColor="text1"/>
        </w:rPr>
        <w:t>« … champ libre à un </w:t>
      </w:r>
      <w:r w:rsidR="00586612" w:rsidRPr="00697F3B">
        <w:rPr>
          <w:i/>
          <w:iCs/>
          <w:color w:val="1E1E1E"/>
          <w:shd w:val="clear" w:color="auto" w:fill="FFFFFF"/>
        </w:rPr>
        <w:t>"</w:t>
      </w:r>
      <w:r w:rsidR="00446CAA" w:rsidRPr="00697F3B">
        <w:rPr>
          <w:i/>
          <w:iCs/>
          <w:color w:val="1E1E1E"/>
          <w:shd w:val="clear" w:color="auto" w:fill="FFFFFF"/>
        </w:rPr>
        <w:t xml:space="preserve"> </w:t>
      </w:r>
      <w:r w:rsidR="00586612" w:rsidRPr="00697F3B">
        <w:rPr>
          <w:i/>
          <w:iCs/>
          <w:color w:val="000000" w:themeColor="text1"/>
        </w:rPr>
        <w:t>estampillage ISR</w:t>
      </w:r>
      <w:r w:rsidR="00446CAA" w:rsidRPr="00697F3B">
        <w:rPr>
          <w:i/>
          <w:iCs/>
          <w:color w:val="000000" w:themeColor="text1"/>
        </w:rPr>
        <w:t xml:space="preserve"> </w:t>
      </w:r>
      <w:r w:rsidR="00586612" w:rsidRPr="00697F3B">
        <w:rPr>
          <w:i/>
          <w:iCs/>
          <w:color w:val="1E1E1E"/>
          <w:shd w:val="clear" w:color="auto" w:fill="FFFFFF"/>
        </w:rPr>
        <w:t>"</w:t>
      </w:r>
      <w:r w:rsidR="00586612" w:rsidRPr="00697F3B">
        <w:rPr>
          <w:i/>
          <w:iCs/>
          <w:color w:val="000000" w:themeColor="text1"/>
        </w:rPr>
        <w:t xml:space="preserve"> abusif ».</w:t>
      </w:r>
      <w:r w:rsidR="00586612" w:rsidRPr="00697F3B">
        <w:rPr>
          <w:color w:val="000000" w:themeColor="text1"/>
        </w:rPr>
        <w:t xml:space="preserve"> </w:t>
      </w:r>
      <w:r w:rsidR="009C6522" w:rsidRPr="00697F3B">
        <w:rPr>
          <w:color w:val="000000" w:themeColor="text1"/>
        </w:rPr>
        <w:t xml:space="preserve">Pour </w:t>
      </w:r>
      <w:proofErr w:type="spellStart"/>
      <w:r w:rsidR="00586612" w:rsidRPr="00697F3B">
        <w:rPr>
          <w:color w:val="000000" w:themeColor="text1"/>
        </w:rPr>
        <w:t>Scatigna</w:t>
      </w:r>
      <w:proofErr w:type="spellEnd"/>
      <w:r w:rsidR="00586612" w:rsidRPr="00697F3B">
        <w:rPr>
          <w:color w:val="000000" w:themeColor="text1"/>
        </w:rPr>
        <w:t xml:space="preserve"> et </w:t>
      </w:r>
      <w:r w:rsidR="003930E4" w:rsidRPr="00697F3B">
        <w:rPr>
          <w:color w:val="000000" w:themeColor="text1"/>
        </w:rPr>
        <w:t>a</w:t>
      </w:r>
      <w:r w:rsidR="00586612" w:rsidRPr="00697F3B">
        <w:rPr>
          <w:color w:val="000000" w:themeColor="text1"/>
        </w:rPr>
        <w:t>l. (2021)</w:t>
      </w:r>
      <w:r w:rsidR="009C6522" w:rsidRPr="00697F3B">
        <w:rPr>
          <w:color w:val="000000" w:themeColor="text1"/>
        </w:rPr>
        <w:t xml:space="preserve">, </w:t>
      </w:r>
      <w:r w:rsidR="00586612" w:rsidRPr="00697F3B">
        <w:rPr>
          <w:color w:val="000000" w:themeColor="text1"/>
        </w:rPr>
        <w:t xml:space="preserve">l’ESG </w:t>
      </w:r>
      <w:proofErr w:type="spellStart"/>
      <w:r w:rsidR="00586612" w:rsidRPr="00697F3B">
        <w:rPr>
          <w:i/>
          <w:iCs/>
          <w:color w:val="000000" w:themeColor="text1"/>
        </w:rPr>
        <w:t>washing</w:t>
      </w:r>
      <w:proofErr w:type="spellEnd"/>
      <w:r w:rsidR="00586612" w:rsidRPr="00697F3B">
        <w:rPr>
          <w:color w:val="000000" w:themeColor="text1"/>
        </w:rPr>
        <w:t xml:space="preserve"> est un frein au </w:t>
      </w:r>
      <w:r w:rsidR="005549FD" w:rsidRPr="00697F3B">
        <w:rPr>
          <w:color w:val="000000" w:themeColor="text1"/>
        </w:rPr>
        <w:t xml:space="preserve">développement du </w:t>
      </w:r>
      <w:r w:rsidR="00586612" w:rsidRPr="00697F3B">
        <w:rPr>
          <w:color w:val="000000" w:themeColor="text1"/>
        </w:rPr>
        <w:t xml:space="preserve">marché socialement responsable alors que Touma (2018) parle plutôt de méfiance. Ainsi, Candelon et </w:t>
      </w:r>
      <w:r w:rsidR="003930E4" w:rsidRPr="00697F3B">
        <w:rPr>
          <w:color w:val="000000" w:themeColor="text1"/>
        </w:rPr>
        <w:t>a</w:t>
      </w:r>
      <w:r w:rsidR="0084206C" w:rsidRPr="00697F3B">
        <w:rPr>
          <w:color w:val="000000" w:themeColor="text1"/>
        </w:rPr>
        <w:t>l</w:t>
      </w:r>
      <w:r w:rsidR="00586612" w:rsidRPr="00697F3B">
        <w:rPr>
          <w:color w:val="000000" w:themeColor="text1"/>
        </w:rPr>
        <w:t>. (2021)</w:t>
      </w:r>
      <w:r w:rsidR="00192C80" w:rsidRPr="00697F3B">
        <w:rPr>
          <w:color w:val="000000" w:themeColor="text1"/>
        </w:rPr>
        <w:t> </w:t>
      </w:r>
      <w:r w:rsidR="006C3CE4" w:rsidRPr="00697F3B">
        <w:rPr>
          <w:color w:val="000000" w:themeColor="text1"/>
        </w:rPr>
        <w:t xml:space="preserve">; </w:t>
      </w:r>
      <w:proofErr w:type="spellStart"/>
      <w:r w:rsidR="00586612" w:rsidRPr="00697F3B">
        <w:rPr>
          <w:color w:val="000000" w:themeColor="text1"/>
        </w:rPr>
        <w:t>Scatigna</w:t>
      </w:r>
      <w:proofErr w:type="spellEnd"/>
      <w:r w:rsidR="00586612" w:rsidRPr="00697F3B">
        <w:rPr>
          <w:color w:val="000000" w:themeColor="text1"/>
        </w:rPr>
        <w:t xml:space="preserve"> et </w:t>
      </w:r>
      <w:r w:rsidR="003930E4" w:rsidRPr="00697F3B">
        <w:rPr>
          <w:color w:val="000000" w:themeColor="text1"/>
        </w:rPr>
        <w:t>a</w:t>
      </w:r>
      <w:r w:rsidR="00586612" w:rsidRPr="00697F3B">
        <w:rPr>
          <w:color w:val="000000" w:themeColor="text1"/>
        </w:rPr>
        <w:t>l. (2021) et Touma (2018) s’accordent pour dire que le marché de l’investissement socialement responsable a besoin d’être régulé afin de limiter ce phénomène d’ESG</w:t>
      </w:r>
      <w:r w:rsidR="00586612" w:rsidRPr="00697F3B">
        <w:rPr>
          <w:i/>
          <w:iCs/>
          <w:color w:val="000000" w:themeColor="text1"/>
        </w:rPr>
        <w:t xml:space="preserve"> </w:t>
      </w:r>
      <w:proofErr w:type="spellStart"/>
      <w:r w:rsidR="00586612" w:rsidRPr="00697F3B">
        <w:rPr>
          <w:i/>
          <w:iCs/>
          <w:color w:val="000000" w:themeColor="text1"/>
        </w:rPr>
        <w:t>washing</w:t>
      </w:r>
      <w:proofErr w:type="spellEnd"/>
      <w:r w:rsidR="00586612" w:rsidRPr="00697F3B">
        <w:rPr>
          <w:color w:val="000000" w:themeColor="text1"/>
        </w:rPr>
        <w:t>.</w:t>
      </w:r>
      <w:r w:rsidR="00E844B1" w:rsidRPr="00697F3B">
        <w:rPr>
          <w:color w:val="000000" w:themeColor="text1"/>
        </w:rPr>
        <w:t xml:space="preserve"> Par rapport à ce phénomène d’utilisation de la performance extra-financière comme outil marketing, nous avons fait le choix de tester </w:t>
      </w:r>
      <w:r w:rsidR="004911F8" w:rsidRPr="00697F3B">
        <w:rPr>
          <w:color w:val="000000" w:themeColor="text1"/>
        </w:rPr>
        <w:t>l’</w:t>
      </w:r>
      <w:r w:rsidR="00E844B1" w:rsidRPr="00697F3B">
        <w:rPr>
          <w:color w:val="000000" w:themeColor="text1"/>
        </w:rPr>
        <w:t>hypothèse</w:t>
      </w:r>
      <w:r w:rsidR="004911F8" w:rsidRPr="00697F3B">
        <w:rPr>
          <w:color w:val="000000" w:themeColor="text1"/>
        </w:rPr>
        <w:t xml:space="preserve"> suivante</w:t>
      </w:r>
      <w:r w:rsidR="00192C80" w:rsidRPr="00697F3B">
        <w:rPr>
          <w:color w:val="000000" w:themeColor="text1"/>
        </w:rPr>
        <w:t> </w:t>
      </w:r>
      <w:r w:rsidR="00E844B1" w:rsidRPr="00697F3B">
        <w:rPr>
          <w:color w:val="000000" w:themeColor="text1"/>
        </w:rPr>
        <w:t xml:space="preserve">: </w:t>
      </w:r>
    </w:p>
    <w:p w14:paraId="3ED65C4C" w14:textId="768D95A2" w:rsidR="00E844B1" w:rsidRPr="00697F3B" w:rsidRDefault="00E844B1" w:rsidP="003739A1">
      <w:pPr>
        <w:pStyle w:val="Paragraphedeliste"/>
        <w:numPr>
          <w:ilvl w:val="0"/>
          <w:numId w:val="6"/>
        </w:numPr>
        <w:spacing w:after="240" w:line="360" w:lineRule="auto"/>
        <w:jc w:val="both"/>
        <w:rPr>
          <w:rFonts w:ascii="Times New Roman" w:hAnsi="Times New Roman" w:cs="Times New Roman"/>
        </w:rPr>
      </w:pPr>
      <w:r w:rsidRPr="00697F3B">
        <w:rPr>
          <w:rFonts w:ascii="Times New Roman" w:hAnsi="Times New Roman" w:cs="Times New Roman"/>
          <w:color w:val="000000" w:themeColor="text1"/>
        </w:rPr>
        <w:t>H</w:t>
      </w:r>
      <w:r w:rsidR="00261A56" w:rsidRPr="00697F3B">
        <w:rPr>
          <w:rFonts w:ascii="Times New Roman" w:hAnsi="Times New Roman" w:cs="Times New Roman"/>
          <w:color w:val="000000" w:themeColor="text1"/>
          <w:vertAlign w:val="subscript"/>
        </w:rPr>
        <w:t>2</w:t>
      </w:r>
      <w:r w:rsidR="00192C80" w:rsidRPr="00697F3B">
        <w:rPr>
          <w:rFonts w:ascii="Times New Roman" w:hAnsi="Times New Roman" w:cs="Times New Roman"/>
          <w:color w:val="000000" w:themeColor="text1"/>
        </w:rPr>
        <w:t> </w:t>
      </w:r>
      <w:r w:rsidRPr="00697F3B">
        <w:rPr>
          <w:rFonts w:ascii="Times New Roman" w:hAnsi="Times New Roman" w:cs="Times New Roman"/>
          <w:color w:val="000000" w:themeColor="text1"/>
        </w:rPr>
        <w:t xml:space="preserve">: Il </w:t>
      </w:r>
      <w:r w:rsidR="009F7CFD" w:rsidRPr="00697F3B">
        <w:rPr>
          <w:rFonts w:ascii="Times New Roman" w:hAnsi="Times New Roman" w:cs="Times New Roman"/>
          <w:color w:val="000000" w:themeColor="text1"/>
        </w:rPr>
        <w:t>n’</w:t>
      </w:r>
      <w:r w:rsidRPr="00697F3B">
        <w:rPr>
          <w:rFonts w:ascii="Times New Roman" w:hAnsi="Times New Roman" w:cs="Times New Roman"/>
          <w:color w:val="000000" w:themeColor="text1"/>
        </w:rPr>
        <w:t>y a</w:t>
      </w:r>
      <w:r w:rsidR="009F7CFD" w:rsidRPr="00697F3B">
        <w:rPr>
          <w:rFonts w:ascii="Times New Roman" w:hAnsi="Times New Roman" w:cs="Times New Roman"/>
          <w:color w:val="000000" w:themeColor="text1"/>
        </w:rPr>
        <w:t xml:space="preserve"> pas de</w:t>
      </w:r>
      <w:r w:rsidRPr="00697F3B">
        <w:rPr>
          <w:rFonts w:ascii="Times New Roman" w:hAnsi="Times New Roman" w:cs="Times New Roman"/>
          <w:color w:val="000000" w:themeColor="text1"/>
        </w:rPr>
        <w:t xml:space="preserve"> différence statistiquement significative entre </w:t>
      </w:r>
      <w:r w:rsidR="00E80497" w:rsidRPr="00697F3B">
        <w:rPr>
          <w:rFonts w:ascii="Times New Roman" w:hAnsi="Times New Roman" w:cs="Times New Roman"/>
          <w:color w:val="000000" w:themeColor="text1"/>
        </w:rPr>
        <w:t>les indicateurs</w:t>
      </w:r>
      <w:r w:rsidRPr="00697F3B">
        <w:rPr>
          <w:rFonts w:ascii="Times New Roman" w:hAnsi="Times New Roman" w:cs="Times New Roman"/>
          <w:color w:val="000000" w:themeColor="text1"/>
        </w:rPr>
        <w:t xml:space="preserve"> extra-</w:t>
      </w:r>
      <w:r w:rsidR="00E80497" w:rsidRPr="00697F3B">
        <w:rPr>
          <w:rFonts w:ascii="Times New Roman" w:hAnsi="Times New Roman" w:cs="Times New Roman"/>
          <w:color w:val="000000" w:themeColor="text1"/>
        </w:rPr>
        <w:t>financiers</w:t>
      </w:r>
      <w:r w:rsidRPr="00697F3B">
        <w:rPr>
          <w:rFonts w:ascii="Times New Roman" w:hAnsi="Times New Roman" w:cs="Times New Roman"/>
          <w:color w:val="000000" w:themeColor="text1"/>
        </w:rPr>
        <w:t xml:space="preserve"> </w:t>
      </w:r>
      <w:r w:rsidR="00E80497" w:rsidRPr="00697F3B">
        <w:rPr>
          <w:rFonts w:ascii="Times New Roman" w:hAnsi="Times New Roman" w:cs="Times New Roman"/>
          <w:color w:val="000000" w:themeColor="text1"/>
        </w:rPr>
        <w:t>des</w:t>
      </w:r>
      <w:r w:rsidRPr="00697F3B">
        <w:rPr>
          <w:rFonts w:ascii="Times New Roman" w:hAnsi="Times New Roman" w:cs="Times New Roman"/>
          <w:color w:val="000000" w:themeColor="text1"/>
        </w:rPr>
        <w:t xml:space="preserve"> fonds d’investissement socialement responsables et </w:t>
      </w:r>
      <w:r w:rsidR="00673C61" w:rsidRPr="00697F3B">
        <w:rPr>
          <w:rFonts w:ascii="Times New Roman" w:hAnsi="Times New Roman" w:cs="Times New Roman"/>
          <w:color w:val="000000" w:themeColor="text1"/>
        </w:rPr>
        <w:t xml:space="preserve">les indicateurs extra-financiers </w:t>
      </w:r>
      <w:r w:rsidR="00E80497" w:rsidRPr="00697F3B">
        <w:rPr>
          <w:rFonts w:ascii="Times New Roman" w:hAnsi="Times New Roman" w:cs="Times New Roman"/>
        </w:rPr>
        <w:t xml:space="preserve">de </w:t>
      </w:r>
      <w:r w:rsidRPr="00697F3B">
        <w:rPr>
          <w:rFonts w:ascii="Times New Roman" w:hAnsi="Times New Roman" w:cs="Times New Roman"/>
        </w:rPr>
        <w:t>leur</w:t>
      </w:r>
      <w:r w:rsidR="009D39BC" w:rsidRPr="00697F3B">
        <w:rPr>
          <w:rFonts w:ascii="Times New Roman" w:hAnsi="Times New Roman" w:cs="Times New Roman"/>
        </w:rPr>
        <w:t>s</w:t>
      </w:r>
      <w:r w:rsidRPr="00697F3B">
        <w:rPr>
          <w:rFonts w:ascii="Times New Roman" w:hAnsi="Times New Roman" w:cs="Times New Roman"/>
        </w:rPr>
        <w:t xml:space="preserve"> équivalents traditionnels</w:t>
      </w:r>
      <w:r w:rsidR="00232F4C" w:rsidRPr="00697F3B">
        <w:rPr>
          <w:rFonts w:ascii="Times New Roman" w:hAnsi="Times New Roman" w:cs="Times New Roman"/>
        </w:rPr>
        <w:t>.</w:t>
      </w:r>
    </w:p>
    <w:p w14:paraId="07BF09D4" w14:textId="4185BBDF" w:rsidR="003B4336" w:rsidRPr="00697F3B" w:rsidRDefault="00285E5A" w:rsidP="003B4336">
      <w:pPr>
        <w:spacing w:after="240" w:line="360" w:lineRule="auto"/>
        <w:jc w:val="both"/>
      </w:pPr>
      <w:r w:rsidRPr="00697F3B">
        <w:rPr>
          <w:color w:val="000000" w:themeColor="text1"/>
        </w:rPr>
        <w:t>En ce qui concerne la législation en la matière,</w:t>
      </w:r>
      <w:r w:rsidR="0004110E" w:rsidRPr="00697F3B">
        <w:rPr>
          <w:color w:val="000000" w:themeColor="text1"/>
        </w:rPr>
        <w:t xml:space="preserve"> </w:t>
      </w:r>
      <w:r w:rsidR="00586612" w:rsidRPr="00697F3B">
        <w:t>les initiatives à ce niveau, bien que nombreuses, font face à des défaillances en termes d’harmonisation et de cohérence</w:t>
      </w:r>
      <w:r w:rsidRPr="00697F3B">
        <w:t xml:space="preserve"> (</w:t>
      </w:r>
      <w:proofErr w:type="spellStart"/>
      <w:r w:rsidRPr="00697F3B">
        <w:t>Cambourg</w:t>
      </w:r>
      <w:proofErr w:type="spellEnd"/>
      <w:r w:rsidRPr="00697F3B">
        <w:t>, 2019)</w:t>
      </w:r>
      <w:r w:rsidR="00586612" w:rsidRPr="00697F3B">
        <w:t xml:space="preserve">. Néanmoins, selon </w:t>
      </w:r>
      <w:proofErr w:type="spellStart"/>
      <w:r w:rsidR="00586612" w:rsidRPr="00697F3B">
        <w:t>Ferone</w:t>
      </w:r>
      <w:proofErr w:type="spellEnd"/>
      <w:r w:rsidR="00586612" w:rsidRPr="00697F3B">
        <w:t xml:space="preserve"> Creuzet (2021), malgré les difficultés,</w:t>
      </w:r>
      <w:r w:rsidR="008D5037" w:rsidRPr="00697F3B">
        <w:t xml:space="preserve"> ces initiatives</w:t>
      </w:r>
      <w:r w:rsidR="00586612" w:rsidRPr="00697F3B">
        <w:t xml:space="preserve"> se sont déjà fortement développées et continueront </w:t>
      </w:r>
      <w:r w:rsidR="00497341" w:rsidRPr="00697F3B">
        <w:t>à encore se développer</w:t>
      </w:r>
      <w:r w:rsidR="00586612" w:rsidRPr="00697F3B">
        <w:t xml:space="preserve"> à l’avenir. Pour </w:t>
      </w:r>
      <w:proofErr w:type="spellStart"/>
      <w:r w:rsidR="00586612" w:rsidRPr="00697F3B">
        <w:t>Mottis</w:t>
      </w:r>
      <w:proofErr w:type="spellEnd"/>
      <w:r w:rsidR="00586612" w:rsidRPr="00697F3B">
        <w:t xml:space="preserve"> et </w:t>
      </w:r>
      <w:proofErr w:type="spellStart"/>
      <w:r w:rsidR="00586612" w:rsidRPr="00697F3B">
        <w:t>Philipponnat</w:t>
      </w:r>
      <w:proofErr w:type="spellEnd"/>
      <w:r w:rsidR="00586612" w:rsidRPr="00697F3B">
        <w:t xml:space="preserve"> (202</w:t>
      </w:r>
      <w:r w:rsidR="00C2449F" w:rsidRPr="00697F3B">
        <w:t>0</w:t>
      </w:r>
      <w:r w:rsidR="00346D88" w:rsidRPr="00697F3B">
        <w:t xml:space="preserve"> : </w:t>
      </w:r>
      <w:r w:rsidR="00586612" w:rsidRPr="00697F3B">
        <w:t xml:space="preserve">33), </w:t>
      </w:r>
      <w:r w:rsidR="00586612" w:rsidRPr="00697F3B">
        <w:rPr>
          <w:i/>
          <w:iCs/>
        </w:rPr>
        <w:t xml:space="preserve">« nous en sommes actuellement au stade où le régulateur constate le </w:t>
      </w:r>
      <w:proofErr w:type="spellStart"/>
      <w:r w:rsidR="00586612" w:rsidRPr="00697F3B">
        <w:rPr>
          <w:i/>
          <w:iCs/>
        </w:rPr>
        <w:t>sérieux</w:t>
      </w:r>
      <w:proofErr w:type="spellEnd"/>
      <w:r w:rsidR="00586612" w:rsidRPr="00697F3B">
        <w:rPr>
          <w:i/>
          <w:iCs/>
        </w:rPr>
        <w:t xml:space="preserve"> de cette dynamique, s’assure qu’elle est effective et en fixe les règles du jeu »</w:t>
      </w:r>
      <w:r w:rsidR="00586612" w:rsidRPr="00697F3B">
        <w:t xml:space="preserve"> ou encore, d’après </w:t>
      </w:r>
      <w:proofErr w:type="spellStart"/>
      <w:r w:rsidR="00586612" w:rsidRPr="00697F3B">
        <w:t>Chennoufe</w:t>
      </w:r>
      <w:proofErr w:type="spellEnd"/>
      <w:r w:rsidR="00586612" w:rsidRPr="00697F3B">
        <w:t xml:space="preserve"> et </w:t>
      </w:r>
      <w:r w:rsidR="003930E4" w:rsidRPr="00697F3B">
        <w:t>a</w:t>
      </w:r>
      <w:r w:rsidR="0084206C" w:rsidRPr="00697F3B">
        <w:t>l</w:t>
      </w:r>
      <w:r w:rsidR="00586612" w:rsidRPr="00697F3B">
        <w:t>. (2021</w:t>
      </w:r>
      <w:r w:rsidR="00192C80" w:rsidRPr="00697F3B">
        <w:t>b</w:t>
      </w:r>
      <w:r w:rsidR="00346D88" w:rsidRPr="00697F3B">
        <w:t> : 2</w:t>
      </w:r>
      <w:r w:rsidR="00586612" w:rsidRPr="00697F3B">
        <w:t xml:space="preserve">), au niveau européen, </w:t>
      </w:r>
      <w:r w:rsidR="00586612" w:rsidRPr="00697F3B">
        <w:rPr>
          <w:i/>
          <w:iCs/>
        </w:rPr>
        <w:t xml:space="preserve">« l’encadrement de la finance socialement responsable est désormais pris au sérieux par les pouvoirs publics ». </w:t>
      </w:r>
      <w:r w:rsidR="00586612" w:rsidRPr="00697F3B">
        <w:t>En effet, l’Union européenne a développé, récemment, deux outils très importants à ce niveau : le règlement SFDR et la directive CSRD</w:t>
      </w:r>
      <w:r w:rsidR="00EA0107" w:rsidRPr="00697F3B">
        <w:t xml:space="preserve"> (</w:t>
      </w:r>
      <w:proofErr w:type="spellStart"/>
      <w:r w:rsidR="00EA0107" w:rsidRPr="00697F3B">
        <w:t>Fidelity</w:t>
      </w:r>
      <w:proofErr w:type="spellEnd"/>
      <w:r w:rsidR="00EA0107" w:rsidRPr="00697F3B">
        <w:t xml:space="preserve"> International, 2021)</w:t>
      </w:r>
      <w:r w:rsidR="00586612" w:rsidRPr="00697F3B">
        <w:t>. Tout d’abord, le règlement SFD</w:t>
      </w:r>
      <w:r w:rsidR="00F5373F">
        <w:t>R</w:t>
      </w:r>
      <w:r w:rsidR="00586612" w:rsidRPr="00697F3B">
        <w:t xml:space="preserve"> (</w:t>
      </w:r>
      <w:proofErr w:type="spellStart"/>
      <w:r w:rsidR="00586612" w:rsidRPr="00697F3B">
        <w:rPr>
          <w:i/>
          <w:iCs/>
        </w:rPr>
        <w:t>Sustainable</w:t>
      </w:r>
      <w:proofErr w:type="spellEnd"/>
      <w:r w:rsidR="00586612" w:rsidRPr="00697F3B">
        <w:rPr>
          <w:i/>
          <w:iCs/>
        </w:rPr>
        <w:t xml:space="preserve"> Finance Disclosure </w:t>
      </w:r>
      <w:proofErr w:type="spellStart"/>
      <w:r w:rsidR="00586612" w:rsidRPr="00697F3B">
        <w:rPr>
          <w:i/>
          <w:iCs/>
        </w:rPr>
        <w:t>Regulation</w:t>
      </w:r>
      <w:proofErr w:type="spellEnd"/>
      <w:r w:rsidR="00586612" w:rsidRPr="00697F3B">
        <w:t xml:space="preserve">) en application depuis le 10 mars 2021 est un règlement qui réclame de la part </w:t>
      </w:r>
      <w:r w:rsidR="00586612" w:rsidRPr="00697F3B">
        <w:rPr>
          <w:i/>
          <w:iCs/>
        </w:rPr>
        <w:t xml:space="preserve">« […] du secteur financier plus de transparence </w:t>
      </w:r>
      <w:r w:rsidR="00586612" w:rsidRPr="00697F3B">
        <w:rPr>
          <w:i/>
          <w:iCs/>
        </w:rPr>
        <w:lastRenderedPageBreak/>
        <w:t>et une classification des produits financiers selon leur "</w:t>
      </w:r>
      <w:proofErr w:type="spellStart"/>
      <w:r w:rsidR="00586612" w:rsidRPr="00697F3B">
        <w:rPr>
          <w:i/>
          <w:iCs/>
        </w:rPr>
        <w:t>purete</w:t>
      </w:r>
      <w:proofErr w:type="spellEnd"/>
      <w:r w:rsidR="00586612" w:rsidRPr="00697F3B">
        <w:rPr>
          <w:i/>
          <w:iCs/>
        </w:rPr>
        <w:t>́" ESG […] </w:t>
      </w:r>
      <w:r w:rsidR="00586612" w:rsidRPr="00697F3B">
        <w:t>»</w:t>
      </w:r>
      <w:r w:rsidR="00EA0107" w:rsidRPr="00697F3B">
        <w:t xml:space="preserve"> (</w:t>
      </w:r>
      <w:proofErr w:type="spellStart"/>
      <w:r w:rsidR="00EA0107" w:rsidRPr="00697F3B">
        <w:t>Fidelity</w:t>
      </w:r>
      <w:proofErr w:type="spellEnd"/>
      <w:r w:rsidR="00EA0107" w:rsidRPr="00697F3B">
        <w:t xml:space="preserve"> International, 2021)</w:t>
      </w:r>
      <w:r w:rsidR="00586612" w:rsidRPr="00697F3B">
        <w:rPr>
          <w:rStyle w:val="Appelnotedebasdep"/>
        </w:rPr>
        <w:footnoteReference w:id="3"/>
      </w:r>
      <w:r w:rsidR="00586612" w:rsidRPr="00697F3B">
        <w:t xml:space="preserve">. </w:t>
      </w:r>
    </w:p>
    <w:p w14:paraId="72EEF1C7" w14:textId="67F79357" w:rsidR="003B4336" w:rsidRPr="00697F3B" w:rsidRDefault="003B4336" w:rsidP="0073059A">
      <w:pPr>
        <w:spacing w:line="360" w:lineRule="auto"/>
        <w:jc w:val="both"/>
        <w:rPr>
          <w:rFonts w:eastAsiaTheme="minorHAnsi"/>
          <w:i/>
          <w:iCs/>
          <w:lang w:eastAsia="en-US"/>
        </w:rPr>
      </w:pPr>
      <w:r w:rsidRPr="00697F3B">
        <w:rPr>
          <w:i/>
          <w:iCs/>
        </w:rPr>
        <w:t>« </w:t>
      </w:r>
      <w:r w:rsidRPr="00697F3B">
        <w:rPr>
          <w:rFonts w:eastAsiaTheme="minorHAnsi"/>
          <w:i/>
          <w:iCs/>
          <w:lang w:eastAsia="en-US"/>
        </w:rPr>
        <w:t>Le règlement définit notamment 3 types de produits : </w:t>
      </w:r>
    </w:p>
    <w:p w14:paraId="53BE54A1" w14:textId="51AADD98" w:rsidR="003B4336" w:rsidRPr="00697F3B" w:rsidRDefault="003B4336" w:rsidP="0073059A">
      <w:pPr>
        <w:pStyle w:val="Paragraphedeliste"/>
        <w:numPr>
          <w:ilvl w:val="0"/>
          <w:numId w:val="6"/>
        </w:numPr>
        <w:spacing w:after="240" w:line="360" w:lineRule="auto"/>
        <w:jc w:val="both"/>
        <w:rPr>
          <w:rFonts w:ascii="Times New Roman" w:hAnsi="Times New Roman" w:cs="Times New Roman"/>
          <w:i/>
          <w:iCs/>
        </w:rPr>
      </w:pPr>
      <w:r w:rsidRPr="00697F3B">
        <w:rPr>
          <w:rFonts w:ascii="Times New Roman" w:hAnsi="Times New Roman" w:cs="Times New Roman"/>
          <w:i/>
          <w:iCs/>
        </w:rPr>
        <w:t>les placements dits « Article 9 » qui présentent un objectif d'investissement durable ;</w:t>
      </w:r>
    </w:p>
    <w:p w14:paraId="47C18F90" w14:textId="3A2B9F09" w:rsidR="003B4336" w:rsidRPr="00697F3B" w:rsidRDefault="003B4336" w:rsidP="0073059A">
      <w:pPr>
        <w:pStyle w:val="Paragraphedeliste"/>
        <w:numPr>
          <w:ilvl w:val="0"/>
          <w:numId w:val="6"/>
        </w:numPr>
        <w:spacing w:after="240" w:line="360" w:lineRule="auto"/>
        <w:jc w:val="both"/>
        <w:rPr>
          <w:rFonts w:ascii="Times New Roman" w:hAnsi="Times New Roman" w:cs="Times New Roman"/>
          <w:i/>
          <w:iCs/>
        </w:rPr>
      </w:pPr>
      <w:r w:rsidRPr="00697F3B">
        <w:rPr>
          <w:rFonts w:ascii="Times New Roman" w:hAnsi="Times New Roman" w:cs="Times New Roman"/>
          <w:i/>
          <w:iCs/>
        </w:rPr>
        <w:t>les placements dits « Article 8 » qui déclarent la prise en compte de critères sociaux et/ou environnementaux ;</w:t>
      </w:r>
    </w:p>
    <w:p w14:paraId="67AD5071" w14:textId="03AF3584" w:rsidR="003B4336" w:rsidRPr="00697F3B" w:rsidRDefault="003B4336" w:rsidP="0073059A">
      <w:pPr>
        <w:pStyle w:val="Paragraphedeliste"/>
        <w:numPr>
          <w:ilvl w:val="0"/>
          <w:numId w:val="6"/>
        </w:numPr>
        <w:spacing w:after="240" w:line="360" w:lineRule="auto"/>
        <w:jc w:val="both"/>
        <w:rPr>
          <w:rFonts w:ascii="Times New Roman" w:hAnsi="Times New Roman" w:cs="Times New Roman"/>
          <w:i/>
          <w:iCs/>
        </w:rPr>
      </w:pPr>
      <w:r w:rsidRPr="00697F3B">
        <w:rPr>
          <w:rFonts w:ascii="Times New Roman" w:hAnsi="Times New Roman" w:cs="Times New Roman"/>
          <w:i/>
          <w:iCs/>
        </w:rPr>
        <w:t>les placements dits « Article 6 » qui n'ont pas d'objectif d'investissement durable et ne déclarent pas prendre en compte les critères ESG. Ce sont tous les autres placements qui ne sont ni « Article 8 » ni « Article 9 ». »</w:t>
      </w:r>
      <w:r w:rsidR="008D4AF8" w:rsidRPr="00697F3B">
        <w:rPr>
          <w:rFonts w:ascii="Times New Roman" w:hAnsi="Times New Roman" w:cs="Times New Roman"/>
          <w:i/>
          <w:iCs/>
        </w:rPr>
        <w:t xml:space="preserve"> (AMF, 2022)</w:t>
      </w:r>
      <w:r w:rsidRPr="00697F3B">
        <w:rPr>
          <w:rStyle w:val="Appelnotedebasdep"/>
          <w:rFonts w:ascii="Times New Roman" w:hAnsi="Times New Roman" w:cs="Times New Roman"/>
          <w:i/>
          <w:iCs/>
        </w:rPr>
        <w:footnoteReference w:id="4"/>
      </w:r>
    </w:p>
    <w:p w14:paraId="13112469" w14:textId="0F13E999" w:rsidR="00E80497" w:rsidRPr="00697F3B" w:rsidRDefault="00586612" w:rsidP="003739A1">
      <w:pPr>
        <w:spacing w:after="240" w:line="360" w:lineRule="auto"/>
        <w:jc w:val="both"/>
        <w:rPr>
          <w:i/>
          <w:iCs/>
        </w:rPr>
      </w:pPr>
      <w:r w:rsidRPr="00697F3B">
        <w:t>Ensuite, la directive CSRD (</w:t>
      </w:r>
      <w:proofErr w:type="spellStart"/>
      <w:r w:rsidRPr="00697F3B">
        <w:rPr>
          <w:i/>
          <w:iCs/>
        </w:rPr>
        <w:t>Corporate</w:t>
      </w:r>
      <w:proofErr w:type="spellEnd"/>
      <w:r w:rsidRPr="00697F3B">
        <w:rPr>
          <w:i/>
          <w:iCs/>
        </w:rPr>
        <w:t xml:space="preserve"> </w:t>
      </w:r>
      <w:proofErr w:type="spellStart"/>
      <w:r w:rsidRPr="00697F3B">
        <w:rPr>
          <w:i/>
          <w:iCs/>
        </w:rPr>
        <w:t>Sustainability</w:t>
      </w:r>
      <w:proofErr w:type="spellEnd"/>
      <w:r w:rsidRPr="00697F3B">
        <w:rPr>
          <w:i/>
          <w:iCs/>
        </w:rPr>
        <w:t xml:space="preserve"> </w:t>
      </w:r>
      <w:proofErr w:type="spellStart"/>
      <w:r w:rsidRPr="00697F3B">
        <w:rPr>
          <w:i/>
          <w:iCs/>
        </w:rPr>
        <w:t>Reporting</w:t>
      </w:r>
      <w:proofErr w:type="spellEnd"/>
      <w:r w:rsidRPr="00697F3B">
        <w:rPr>
          <w:i/>
          <w:iCs/>
        </w:rPr>
        <w:t xml:space="preserve"> Directive</w:t>
      </w:r>
      <w:r w:rsidRPr="00697F3B">
        <w:t xml:space="preserve">), venant réviser la NFRD (Non-Financial </w:t>
      </w:r>
      <w:proofErr w:type="spellStart"/>
      <w:r w:rsidRPr="00697F3B">
        <w:t>Reporting</w:t>
      </w:r>
      <w:proofErr w:type="spellEnd"/>
      <w:r w:rsidRPr="00697F3B">
        <w:t xml:space="preserve"> Directive) en application depuis 2017, </w:t>
      </w:r>
      <w:r w:rsidR="003B4336" w:rsidRPr="00697F3B">
        <w:t>est quant à elle</w:t>
      </w:r>
      <w:r w:rsidRPr="00697F3B">
        <w:t xml:space="preserve"> en application </w:t>
      </w:r>
      <w:r w:rsidR="003B4336" w:rsidRPr="00697F3B">
        <w:t>depuis</w:t>
      </w:r>
      <w:r w:rsidRPr="00697F3B">
        <w:t xml:space="preserve"> 2023 (COM(2021) 189 final). Celle-ci </w:t>
      </w:r>
      <w:r w:rsidRPr="00697F3B">
        <w:rPr>
          <w:i/>
          <w:iCs/>
        </w:rPr>
        <w:t xml:space="preserve">« […] contraindra </w:t>
      </w:r>
      <w:proofErr w:type="spellStart"/>
      <w:r w:rsidRPr="00697F3B">
        <w:rPr>
          <w:i/>
          <w:iCs/>
        </w:rPr>
        <w:t>dès</w:t>
      </w:r>
      <w:proofErr w:type="spellEnd"/>
      <w:r w:rsidRPr="00697F3B">
        <w:rPr>
          <w:i/>
          <w:iCs/>
        </w:rPr>
        <w:t xml:space="preserve"> l</w:t>
      </w:r>
      <w:r w:rsidR="00EA0107" w:rsidRPr="00697F3B">
        <w:rPr>
          <w:i/>
          <w:iCs/>
        </w:rPr>
        <w:t>’</w:t>
      </w:r>
      <w:r w:rsidRPr="00697F3B">
        <w:rPr>
          <w:i/>
          <w:iCs/>
        </w:rPr>
        <w:t>exercice fiscal 2023 les entreprises cotées à communiquer de manière standardisée sur certains indicateurs ESG (émissions de CO2, équité́ des rémunérations, etc.), avec pour objectif d’afficher une qualit</w:t>
      </w:r>
      <w:r w:rsidR="00D46F4A" w:rsidRPr="00697F3B">
        <w:rPr>
          <w:i/>
          <w:iCs/>
        </w:rPr>
        <w:t>é</w:t>
      </w:r>
      <w:r w:rsidRPr="00697F3B">
        <w:rPr>
          <w:i/>
          <w:iCs/>
        </w:rPr>
        <w:t xml:space="preserve"> des données digne des données financières »</w:t>
      </w:r>
      <w:r w:rsidR="00EA0107" w:rsidRPr="00697F3B">
        <w:rPr>
          <w:i/>
          <w:iCs/>
        </w:rPr>
        <w:t xml:space="preserve"> </w:t>
      </w:r>
      <w:r w:rsidR="00EA0107" w:rsidRPr="00697F3B">
        <w:t>(</w:t>
      </w:r>
      <w:proofErr w:type="spellStart"/>
      <w:r w:rsidR="00EA0107" w:rsidRPr="00697F3B">
        <w:t>Fidelity</w:t>
      </w:r>
      <w:proofErr w:type="spellEnd"/>
      <w:r w:rsidR="00EA0107" w:rsidRPr="00697F3B">
        <w:t xml:space="preserve"> International, 2021</w:t>
      </w:r>
      <w:r w:rsidR="00161ABE" w:rsidRPr="00697F3B">
        <w:rPr>
          <w:i/>
          <w:iCs/>
        </w:rPr>
        <w:t>)</w:t>
      </w:r>
      <w:r w:rsidRPr="00697F3B">
        <w:rPr>
          <w:rStyle w:val="Appelnotedebasdep"/>
        </w:rPr>
        <w:footnoteReference w:id="5"/>
      </w:r>
      <w:r w:rsidRPr="00697F3B">
        <w:rPr>
          <w:i/>
          <w:iCs/>
        </w:rPr>
        <w:t xml:space="preserve">. </w:t>
      </w:r>
      <w:r w:rsidR="00D46F4A" w:rsidRPr="00697F3B">
        <w:t xml:space="preserve">Notons également, qu’au niveau mondial, fin 2021, la fondation IFRS a révélé qu’elle allait mettre en place </w:t>
      </w:r>
      <w:r w:rsidR="00D46F4A" w:rsidRPr="00697F3B">
        <w:rPr>
          <w:i/>
          <w:iCs/>
        </w:rPr>
        <w:t xml:space="preserve">l’International </w:t>
      </w:r>
      <w:proofErr w:type="spellStart"/>
      <w:r w:rsidR="00D46F4A" w:rsidRPr="00697F3B">
        <w:rPr>
          <w:i/>
          <w:iCs/>
        </w:rPr>
        <w:t>Sustainability</w:t>
      </w:r>
      <w:proofErr w:type="spellEnd"/>
      <w:r w:rsidR="00D46F4A" w:rsidRPr="00697F3B">
        <w:rPr>
          <w:i/>
          <w:iCs/>
        </w:rPr>
        <w:t xml:space="preserve"> Standards </w:t>
      </w:r>
      <w:proofErr w:type="spellStart"/>
      <w:r w:rsidR="00D46F4A" w:rsidRPr="00697F3B">
        <w:rPr>
          <w:i/>
          <w:iCs/>
        </w:rPr>
        <w:t>Board</w:t>
      </w:r>
      <w:proofErr w:type="spellEnd"/>
      <w:r w:rsidR="00D46F4A" w:rsidRPr="00697F3B">
        <w:t xml:space="preserve"> (ISSB), ce qui devrait également permettre d’uniformiser davantage les pratiques en matière de </w:t>
      </w:r>
      <w:proofErr w:type="spellStart"/>
      <w:r w:rsidR="00D46F4A" w:rsidRPr="00697F3B">
        <w:rPr>
          <w:i/>
          <w:iCs/>
        </w:rPr>
        <w:t>reporting</w:t>
      </w:r>
      <w:proofErr w:type="spellEnd"/>
      <w:r w:rsidR="00D46F4A" w:rsidRPr="00697F3B">
        <w:rPr>
          <w:i/>
          <w:iCs/>
        </w:rPr>
        <w:t xml:space="preserve"> </w:t>
      </w:r>
      <w:r w:rsidR="00D46F4A" w:rsidRPr="00697F3B">
        <w:t>extra-financier</w:t>
      </w:r>
      <w:r w:rsidR="00D46F4A" w:rsidRPr="00697F3B">
        <w:rPr>
          <w:rStyle w:val="Appelnotedebasdep"/>
        </w:rPr>
        <w:footnoteReference w:id="6"/>
      </w:r>
      <w:r w:rsidR="00D46F4A" w:rsidRPr="00697F3B">
        <w:t>.</w:t>
      </w:r>
      <w:r w:rsidR="00D46F4A" w:rsidRPr="00697F3B">
        <w:rPr>
          <w:i/>
          <w:iCs/>
        </w:rPr>
        <w:t xml:space="preserve"> </w:t>
      </w:r>
      <w:r w:rsidRPr="00697F3B">
        <w:t>Ainsi, ces outils auront sans doute un impact favorable sur la qualité extra-financière des fonds d’investissement socialement responsables en Europe</w:t>
      </w:r>
      <w:r w:rsidR="00D46F4A" w:rsidRPr="00697F3B">
        <w:t xml:space="preserve"> à long terme</w:t>
      </w:r>
      <w:r w:rsidRPr="00697F3B">
        <w:t>. En effet, selon Pfister (2021</w:t>
      </w:r>
      <w:r w:rsidR="00D46F4A" w:rsidRPr="00697F3B">
        <w:t> </w:t>
      </w:r>
      <w:r w:rsidR="00346D88" w:rsidRPr="00697F3B">
        <w:t xml:space="preserve">: </w:t>
      </w:r>
      <w:r w:rsidRPr="00697F3B">
        <w:t xml:space="preserve">10), ces changements devraient </w:t>
      </w:r>
      <w:r w:rsidRPr="00697F3B">
        <w:rPr>
          <w:i/>
          <w:iCs/>
        </w:rPr>
        <w:t xml:space="preserve">« […] entraîner une saine compétition entre les acteurs financiers et une montée en gamme des bonnes pratiques. En clair, il ne sera pas possible de faire de la finance responsable sans le démontrer clairement ». </w:t>
      </w:r>
      <w:r w:rsidR="003B4336" w:rsidRPr="00697F3B">
        <w:t xml:space="preserve">Pourtant, d’après </w:t>
      </w:r>
      <w:proofErr w:type="spellStart"/>
      <w:r w:rsidR="003B4336" w:rsidRPr="00697F3B">
        <w:t>Novethic</w:t>
      </w:r>
      <w:proofErr w:type="spellEnd"/>
      <w:r w:rsidR="003B4336" w:rsidRPr="00697F3B">
        <w:t xml:space="preserve"> (2023a</w:t>
      </w:r>
      <w:r w:rsidR="008D4AF8" w:rsidRPr="00697F3B">
        <w:t xml:space="preserve"> : </w:t>
      </w:r>
      <w:r w:rsidR="003B4336" w:rsidRPr="00697F3B">
        <w:t xml:space="preserve">1), </w:t>
      </w:r>
      <w:r w:rsidR="003B4336" w:rsidRPr="00697F3B">
        <w:rPr>
          <w:i/>
          <w:iCs/>
        </w:rPr>
        <w:t>« Les fonds Article 9 sont encore loin des exigences du règlement SFDR »</w:t>
      </w:r>
      <w:r w:rsidR="003B4336" w:rsidRPr="00697F3B">
        <w:t xml:space="preserve"> et beaucoup de fonds Article 9 ont été reclassés Article 8 (moins stricte)</w:t>
      </w:r>
      <w:r w:rsidR="00D46F4A" w:rsidRPr="00697F3B">
        <w:t xml:space="preserve"> récemment</w:t>
      </w:r>
      <w:r w:rsidR="003B4336" w:rsidRPr="00697F3B">
        <w:t xml:space="preserve">. </w:t>
      </w:r>
      <w:r w:rsidR="00E80497" w:rsidRPr="00697F3B">
        <w:t xml:space="preserve">Nous </w:t>
      </w:r>
      <w:r w:rsidR="00E80497" w:rsidRPr="00697F3B">
        <w:lastRenderedPageBreak/>
        <w:t xml:space="preserve">avons donc également décidé de tester </w:t>
      </w:r>
      <w:r w:rsidR="004911F8" w:rsidRPr="00697F3B">
        <w:t xml:space="preserve">l’hypothèse ci-dessous pour déterminer si les fonds Article 8 diffèrent des fonds Article 9 en </w:t>
      </w:r>
      <w:r w:rsidR="00E355AC">
        <w:t>matière</w:t>
      </w:r>
      <w:r w:rsidR="004911F8" w:rsidRPr="00697F3B">
        <w:t xml:space="preserve"> de performance extra-financière</w:t>
      </w:r>
      <w:r w:rsidR="00E80497" w:rsidRPr="00697F3B">
        <w:t xml:space="preserve"> : </w:t>
      </w:r>
    </w:p>
    <w:p w14:paraId="46502C11" w14:textId="7B8FAAAA" w:rsidR="0039292C" w:rsidRDefault="00E80497" w:rsidP="0039292C">
      <w:pPr>
        <w:pStyle w:val="Paragraphedeliste"/>
        <w:numPr>
          <w:ilvl w:val="0"/>
          <w:numId w:val="6"/>
        </w:numPr>
        <w:spacing w:after="240" w:line="360" w:lineRule="auto"/>
        <w:jc w:val="both"/>
        <w:rPr>
          <w:rFonts w:ascii="Times New Roman" w:hAnsi="Times New Roman" w:cs="Times New Roman"/>
        </w:rPr>
      </w:pPr>
      <w:r w:rsidRPr="00697F3B">
        <w:rPr>
          <w:rFonts w:ascii="Times New Roman" w:hAnsi="Times New Roman" w:cs="Times New Roman"/>
        </w:rPr>
        <w:t>H</w:t>
      </w:r>
      <w:r w:rsidR="00927103" w:rsidRPr="00697F3B">
        <w:rPr>
          <w:rFonts w:ascii="Times New Roman" w:hAnsi="Times New Roman" w:cs="Times New Roman"/>
          <w:vertAlign w:val="subscript"/>
        </w:rPr>
        <w:t>3</w:t>
      </w:r>
      <w:r w:rsidRPr="00697F3B">
        <w:rPr>
          <w:rFonts w:ascii="Times New Roman" w:hAnsi="Times New Roman" w:cs="Times New Roman"/>
        </w:rPr>
        <w:t xml:space="preserve"> : Il y  a une différence statistiquement significative entre les  indicateurs extra-financiers des fonds Article </w:t>
      </w:r>
      <w:r w:rsidR="00914D9B" w:rsidRPr="00697F3B">
        <w:rPr>
          <w:rFonts w:ascii="Times New Roman" w:hAnsi="Times New Roman" w:cs="Times New Roman"/>
        </w:rPr>
        <w:t>8</w:t>
      </w:r>
      <w:r w:rsidRPr="00697F3B">
        <w:rPr>
          <w:rFonts w:ascii="Times New Roman" w:hAnsi="Times New Roman" w:cs="Times New Roman"/>
        </w:rPr>
        <w:t xml:space="preserve"> et des fonds Article </w:t>
      </w:r>
      <w:r w:rsidR="00914D9B" w:rsidRPr="00697F3B">
        <w:rPr>
          <w:rFonts w:ascii="Times New Roman" w:hAnsi="Times New Roman" w:cs="Times New Roman"/>
        </w:rPr>
        <w:t>9</w:t>
      </w:r>
      <w:r w:rsidRPr="00697F3B">
        <w:rPr>
          <w:rFonts w:ascii="Times New Roman" w:hAnsi="Times New Roman" w:cs="Times New Roman"/>
        </w:rPr>
        <w:t xml:space="preserve">. </w:t>
      </w:r>
    </w:p>
    <w:p w14:paraId="090D147E" w14:textId="77777777" w:rsidR="00697F3B" w:rsidRPr="00697F3B" w:rsidRDefault="00697F3B" w:rsidP="00697F3B">
      <w:pPr>
        <w:pStyle w:val="Paragraphedeliste"/>
        <w:spacing w:after="240" w:line="360" w:lineRule="auto"/>
        <w:jc w:val="both"/>
        <w:rPr>
          <w:rFonts w:ascii="Times New Roman" w:hAnsi="Times New Roman" w:cs="Times New Roman"/>
        </w:rPr>
      </w:pPr>
    </w:p>
    <w:p w14:paraId="35A61A59" w14:textId="3C5311D6" w:rsidR="00223F22" w:rsidRPr="00697F3B" w:rsidRDefault="00223F22" w:rsidP="00B108BD">
      <w:pPr>
        <w:pStyle w:val="Paragraphedeliste"/>
        <w:numPr>
          <w:ilvl w:val="0"/>
          <w:numId w:val="8"/>
        </w:numPr>
        <w:spacing w:before="240" w:after="240" w:line="360" w:lineRule="auto"/>
        <w:rPr>
          <w:rFonts w:ascii="Times New Roman" w:hAnsi="Times New Roman" w:cs="Times New Roman"/>
          <w:b/>
          <w:bCs/>
          <w:smallCaps/>
          <w:sz w:val="28"/>
          <w:szCs w:val="28"/>
          <w:lang w:val="fr-FR"/>
        </w:rPr>
      </w:pPr>
      <w:r w:rsidRPr="00697F3B">
        <w:rPr>
          <w:rFonts w:ascii="Times New Roman" w:hAnsi="Times New Roman" w:cs="Times New Roman"/>
          <w:b/>
          <w:bCs/>
          <w:smallCaps/>
          <w:sz w:val="28"/>
          <w:szCs w:val="28"/>
          <w:lang w:val="fr-FR"/>
        </w:rPr>
        <w:t>Méthodologie</w:t>
      </w:r>
    </w:p>
    <w:p w14:paraId="73783BA3" w14:textId="06C20E1F" w:rsidR="00B06276" w:rsidRPr="00697F3B" w:rsidRDefault="00B06276" w:rsidP="003739A1">
      <w:pPr>
        <w:pStyle w:val="Paragraphedeliste"/>
        <w:numPr>
          <w:ilvl w:val="1"/>
          <w:numId w:val="8"/>
        </w:numPr>
        <w:spacing w:before="240" w:after="240" w:line="360" w:lineRule="auto"/>
        <w:jc w:val="both"/>
        <w:rPr>
          <w:rFonts w:ascii="Times New Roman" w:hAnsi="Times New Roman" w:cs="Times New Roman"/>
          <w:b/>
          <w:bCs/>
          <w:sz w:val="28"/>
          <w:szCs w:val="28"/>
          <w:lang w:val="fr-FR"/>
        </w:rPr>
      </w:pPr>
      <w:r w:rsidRPr="00697F3B">
        <w:rPr>
          <w:rFonts w:ascii="Times New Roman" w:hAnsi="Times New Roman" w:cs="Times New Roman"/>
          <w:b/>
          <w:bCs/>
          <w:sz w:val="28"/>
          <w:szCs w:val="28"/>
          <w:lang w:val="fr-FR"/>
        </w:rPr>
        <w:t>Échantillon et données</w:t>
      </w:r>
    </w:p>
    <w:p w14:paraId="09E8FE4B" w14:textId="0D222BEE" w:rsidR="00A67E04" w:rsidRPr="00697F3B" w:rsidRDefault="008745DA" w:rsidP="00E72E2C">
      <w:pPr>
        <w:spacing w:line="360" w:lineRule="auto"/>
        <w:jc w:val="both"/>
        <w:rPr>
          <w:color w:val="000000" w:themeColor="text1"/>
        </w:rPr>
      </w:pPr>
      <w:r w:rsidRPr="00697F3B">
        <w:rPr>
          <w:color w:val="000000" w:themeColor="text1"/>
        </w:rPr>
        <w:t>N</w:t>
      </w:r>
      <w:r w:rsidR="00EA7A87" w:rsidRPr="00697F3B">
        <w:rPr>
          <w:color w:val="000000" w:themeColor="text1"/>
        </w:rPr>
        <w:t xml:space="preserve">ous avons veillé à garantir la représentativité du marché belge en incluant </w:t>
      </w:r>
      <w:r w:rsidR="00C356B8" w:rsidRPr="00697F3B">
        <w:rPr>
          <w:color w:val="000000" w:themeColor="text1"/>
        </w:rPr>
        <w:t>à</w:t>
      </w:r>
      <w:r w:rsidR="00EA7A87" w:rsidRPr="00697F3B">
        <w:rPr>
          <w:color w:val="000000" w:themeColor="text1"/>
        </w:rPr>
        <w:t xml:space="preserve"> notre échantillon des fonds d'investissement socialement responsables offerts par les principaux promoteurs actifs sur ce marché. Ces derniers se partagent à cinq (</w:t>
      </w:r>
      <w:proofErr w:type="spellStart"/>
      <w:r w:rsidR="00EA7A87" w:rsidRPr="00697F3B">
        <w:rPr>
          <w:color w:val="000000" w:themeColor="text1"/>
        </w:rPr>
        <w:t>Candriam</w:t>
      </w:r>
      <w:proofErr w:type="spellEnd"/>
      <w:r w:rsidR="00EA7A87" w:rsidRPr="00697F3B">
        <w:rPr>
          <w:color w:val="000000" w:themeColor="text1"/>
        </w:rPr>
        <w:t>, NN Investment, Belfius, BNP Paribas et KBC</w:t>
      </w:r>
      <w:r w:rsidR="002907B9" w:rsidRPr="00697F3B">
        <w:rPr>
          <w:color w:val="000000" w:themeColor="text1"/>
        </w:rPr>
        <w:t>, minimum 8% de parts marché chacun</w:t>
      </w:r>
      <w:r w:rsidR="00EA7A87" w:rsidRPr="00697F3B">
        <w:rPr>
          <w:color w:val="000000" w:themeColor="text1"/>
        </w:rPr>
        <w:t xml:space="preserve">) 66% du marché belge avec 73 fonds (Bayot et al., 2023). </w:t>
      </w:r>
      <w:r w:rsidR="00A67E04" w:rsidRPr="00697F3B">
        <w:rPr>
          <w:color w:val="000000" w:themeColor="text1"/>
        </w:rPr>
        <w:t xml:space="preserve">Sur base des rapports de </w:t>
      </w:r>
      <w:proofErr w:type="spellStart"/>
      <w:r w:rsidR="00A67E04" w:rsidRPr="00697F3B">
        <w:rPr>
          <w:color w:val="000000" w:themeColor="text1"/>
        </w:rPr>
        <w:t>Financité</w:t>
      </w:r>
      <w:proofErr w:type="spellEnd"/>
      <w:r w:rsidR="00C555B2" w:rsidRPr="00697F3B">
        <w:rPr>
          <w:color w:val="000000" w:themeColor="text1"/>
        </w:rPr>
        <w:t xml:space="preserve"> (2009, 2016, 2023)</w:t>
      </w:r>
      <w:r w:rsidR="00A67E04" w:rsidRPr="00697F3B">
        <w:rPr>
          <w:color w:val="000000" w:themeColor="text1"/>
        </w:rPr>
        <w:t xml:space="preserve">, il est à noter qu’historiquement, ce sont Dexia et KBC, présents avant les années 2000 dans les fonds ISR, qui étaient les pionniers sur ce marché en Belgique. BNP Paribas et NN Investment ne sont apparus que bien plus tard. </w:t>
      </w:r>
      <w:r w:rsidR="003278DD">
        <w:rPr>
          <w:color w:val="000000" w:themeColor="text1"/>
        </w:rPr>
        <w:t xml:space="preserve">À </w:t>
      </w:r>
      <w:r w:rsidR="00A67E04" w:rsidRPr="00697F3B">
        <w:rPr>
          <w:color w:val="000000" w:themeColor="text1"/>
        </w:rPr>
        <w:t xml:space="preserve">ce jour, </w:t>
      </w:r>
      <w:proofErr w:type="spellStart"/>
      <w:r w:rsidR="00A67E04" w:rsidRPr="00697F3B">
        <w:rPr>
          <w:color w:val="000000" w:themeColor="text1"/>
        </w:rPr>
        <w:t>Candriam</w:t>
      </w:r>
      <w:proofErr w:type="spellEnd"/>
      <w:r w:rsidR="00A67E04" w:rsidRPr="00697F3B">
        <w:rPr>
          <w:color w:val="000000" w:themeColor="text1"/>
        </w:rPr>
        <w:t xml:space="preserve"> constitue l’acteur majeur sur ce marché.</w:t>
      </w:r>
    </w:p>
    <w:p w14:paraId="06674EF2" w14:textId="77777777" w:rsidR="00A67E04" w:rsidRPr="00697F3B" w:rsidRDefault="00A67E04" w:rsidP="00E72E2C">
      <w:pPr>
        <w:spacing w:line="360" w:lineRule="auto"/>
        <w:jc w:val="both"/>
        <w:rPr>
          <w:color w:val="000000" w:themeColor="text1"/>
        </w:rPr>
      </w:pPr>
    </w:p>
    <w:p w14:paraId="67E74BC3" w14:textId="56F180DA" w:rsidR="00E72E2C" w:rsidRPr="00697F3B" w:rsidRDefault="00EE77E6" w:rsidP="00E72E2C">
      <w:pPr>
        <w:spacing w:line="360" w:lineRule="auto"/>
        <w:jc w:val="both"/>
        <w:rPr>
          <w:color w:val="000000" w:themeColor="text1"/>
        </w:rPr>
      </w:pPr>
      <w:r w:rsidRPr="00697F3B">
        <w:rPr>
          <w:color w:val="000000" w:themeColor="text1"/>
        </w:rPr>
        <w:t xml:space="preserve">Parmi </w:t>
      </w:r>
      <w:r w:rsidR="00A67E04" w:rsidRPr="00697F3B">
        <w:rPr>
          <w:color w:val="000000" w:themeColor="text1"/>
        </w:rPr>
        <w:t>c</w:t>
      </w:r>
      <w:r w:rsidRPr="00697F3B">
        <w:rPr>
          <w:color w:val="000000" w:themeColor="text1"/>
        </w:rPr>
        <w:t xml:space="preserve">es fonds, cinq n'ont pas pu être intégrés à notre échantillon en raison du manque de données. Cependant, chaque promoteur a au moins un fonds représenté dans notre échantillon. </w:t>
      </w:r>
      <w:r w:rsidR="00EA7A87" w:rsidRPr="00697F3B">
        <w:rPr>
          <w:color w:val="000000" w:themeColor="text1"/>
        </w:rPr>
        <w:t xml:space="preserve">Ainsi, notre échantillon est composé </w:t>
      </w:r>
      <w:r w:rsidR="00BF799B" w:rsidRPr="00697F3B">
        <w:rPr>
          <w:color w:val="000000" w:themeColor="text1"/>
        </w:rPr>
        <w:t xml:space="preserve">à ce stade </w:t>
      </w:r>
      <w:r w:rsidR="00EA7A87" w:rsidRPr="00697F3B">
        <w:rPr>
          <w:color w:val="000000" w:themeColor="text1"/>
        </w:rPr>
        <w:t xml:space="preserve">de 68 fonds </w:t>
      </w:r>
      <w:r w:rsidR="00BF799B" w:rsidRPr="00697F3B">
        <w:rPr>
          <w:color w:val="000000" w:themeColor="text1"/>
        </w:rPr>
        <w:t>reconnu</w:t>
      </w:r>
      <w:r w:rsidR="00C356B8" w:rsidRPr="00697F3B">
        <w:rPr>
          <w:color w:val="000000" w:themeColor="text1"/>
        </w:rPr>
        <w:t>s</w:t>
      </w:r>
      <w:r w:rsidR="00BF799B" w:rsidRPr="00697F3B">
        <w:rPr>
          <w:color w:val="000000" w:themeColor="text1"/>
        </w:rPr>
        <w:t xml:space="preserve"> comme socialement responsables par </w:t>
      </w:r>
      <w:proofErr w:type="spellStart"/>
      <w:r w:rsidR="00BF799B" w:rsidRPr="00697F3B">
        <w:rPr>
          <w:color w:val="000000" w:themeColor="text1"/>
        </w:rPr>
        <w:t>Financité</w:t>
      </w:r>
      <w:proofErr w:type="spellEnd"/>
      <w:r w:rsidR="00EA7A87" w:rsidRPr="00697F3B">
        <w:rPr>
          <w:color w:val="000000" w:themeColor="text1"/>
        </w:rPr>
        <w:t>.</w:t>
      </w:r>
      <w:r w:rsidR="00E41EA7" w:rsidRPr="00697F3B">
        <w:rPr>
          <w:color w:val="000000" w:themeColor="text1"/>
        </w:rPr>
        <w:t xml:space="preserve"> En effet, </w:t>
      </w:r>
      <w:proofErr w:type="spellStart"/>
      <w:r w:rsidR="00E41EA7" w:rsidRPr="00697F3B">
        <w:rPr>
          <w:color w:val="000000" w:themeColor="text1"/>
        </w:rPr>
        <w:t>Financité</w:t>
      </w:r>
      <w:proofErr w:type="spellEnd"/>
      <w:r w:rsidR="00E41EA7" w:rsidRPr="00697F3B">
        <w:rPr>
          <w:color w:val="000000" w:themeColor="text1"/>
        </w:rPr>
        <w:t xml:space="preserve"> affirme que les fonds considérés dans son rapport sont tous Article 9 mais nous avons constaté que certains avaient été reclassifiés Article 8 </w:t>
      </w:r>
      <w:r w:rsidR="0082429E" w:rsidRPr="00697F3B">
        <w:rPr>
          <w:color w:val="000000" w:themeColor="text1"/>
        </w:rPr>
        <w:t>au moment où notre étude a été réalisée.</w:t>
      </w:r>
      <w:r w:rsidR="00E41EA7" w:rsidRPr="00697F3B">
        <w:rPr>
          <w:color w:val="000000" w:themeColor="text1"/>
        </w:rPr>
        <w:t xml:space="preserve"> N</w:t>
      </w:r>
      <w:r w:rsidR="00BF799B" w:rsidRPr="00697F3B">
        <w:rPr>
          <w:color w:val="000000" w:themeColor="text1"/>
        </w:rPr>
        <w:t xml:space="preserve">ous avons </w:t>
      </w:r>
      <w:r w:rsidR="00914D9B" w:rsidRPr="00697F3B">
        <w:rPr>
          <w:color w:val="000000" w:themeColor="text1"/>
        </w:rPr>
        <w:t xml:space="preserve">donc </w:t>
      </w:r>
      <w:r w:rsidR="00BF799B" w:rsidRPr="00697F3B">
        <w:rPr>
          <w:color w:val="000000" w:themeColor="text1"/>
        </w:rPr>
        <w:t>choisi d’effectuer une seconde vérification du caractère socialement responsable de nos fonds. Pour ce faire, nous avons réduit notre échantillon aux</w:t>
      </w:r>
      <w:r w:rsidR="000964CD" w:rsidRPr="00697F3B">
        <w:rPr>
          <w:color w:val="000000" w:themeColor="text1"/>
        </w:rPr>
        <w:t xml:space="preserve"> </w:t>
      </w:r>
      <w:r w:rsidR="00787CF8" w:rsidRPr="00697F3B">
        <w:rPr>
          <w:color w:val="000000" w:themeColor="text1"/>
        </w:rPr>
        <w:t>37</w:t>
      </w:r>
      <w:r w:rsidR="000964CD" w:rsidRPr="00697F3B">
        <w:rPr>
          <w:color w:val="000000" w:themeColor="text1"/>
        </w:rPr>
        <w:t xml:space="preserve"> </w:t>
      </w:r>
      <w:r w:rsidR="00BF799B" w:rsidRPr="00697F3B">
        <w:rPr>
          <w:color w:val="000000" w:themeColor="text1"/>
        </w:rPr>
        <w:t xml:space="preserve">fonds Article </w:t>
      </w:r>
      <w:r w:rsidR="00914D9B" w:rsidRPr="00697F3B">
        <w:rPr>
          <w:color w:val="000000" w:themeColor="text1"/>
        </w:rPr>
        <w:t>8</w:t>
      </w:r>
      <w:r w:rsidR="00BF799B" w:rsidRPr="00697F3B">
        <w:rPr>
          <w:color w:val="000000" w:themeColor="text1"/>
        </w:rPr>
        <w:t xml:space="preserve"> ou Article </w:t>
      </w:r>
      <w:r w:rsidR="00914D9B" w:rsidRPr="00697F3B">
        <w:rPr>
          <w:color w:val="000000" w:themeColor="text1"/>
        </w:rPr>
        <w:t>9</w:t>
      </w:r>
      <w:r w:rsidR="00BF799B" w:rsidRPr="00697F3B">
        <w:rPr>
          <w:color w:val="000000" w:themeColor="text1"/>
        </w:rPr>
        <w:t xml:space="preserve"> p</w:t>
      </w:r>
      <w:r w:rsidR="0038433A" w:rsidRPr="00697F3B">
        <w:rPr>
          <w:color w:val="000000" w:themeColor="text1"/>
        </w:rPr>
        <w:t xml:space="preserve">our </w:t>
      </w:r>
      <w:r w:rsidR="0039292C" w:rsidRPr="00697F3B">
        <w:rPr>
          <w:color w:val="000000" w:themeColor="text1"/>
        </w:rPr>
        <w:t>lesquels</w:t>
      </w:r>
      <w:r w:rsidR="0038433A" w:rsidRPr="00697F3B">
        <w:rPr>
          <w:color w:val="000000" w:themeColor="text1"/>
        </w:rPr>
        <w:t xml:space="preserve"> nous avions une confirmation sur le site de </w:t>
      </w:r>
      <w:r w:rsidR="00BF799B" w:rsidRPr="00697F3B">
        <w:rPr>
          <w:color w:val="000000" w:themeColor="text1"/>
        </w:rPr>
        <w:t>L’</w:t>
      </w:r>
      <w:proofErr w:type="spellStart"/>
      <w:r w:rsidR="00BF799B" w:rsidRPr="00697F3B">
        <w:rPr>
          <w:color w:val="000000" w:themeColor="text1"/>
        </w:rPr>
        <w:t>Echo</w:t>
      </w:r>
      <w:proofErr w:type="spellEnd"/>
      <w:r w:rsidR="00E41EA7" w:rsidRPr="00697F3B">
        <w:rPr>
          <w:color w:val="000000" w:themeColor="text1"/>
        </w:rPr>
        <w:t>.</w:t>
      </w:r>
      <w:r w:rsidR="005D3EB5" w:rsidRPr="00697F3B">
        <w:rPr>
          <w:color w:val="000000" w:themeColor="text1"/>
        </w:rPr>
        <w:t xml:space="preserve"> Ceci constitue notre échantillon de contrôle.</w:t>
      </w:r>
      <w:r w:rsidR="00E41EA7" w:rsidRPr="00697F3B">
        <w:rPr>
          <w:color w:val="000000" w:themeColor="text1"/>
        </w:rPr>
        <w:t xml:space="preserve"> </w:t>
      </w:r>
      <w:r w:rsidR="00E72E2C" w:rsidRPr="00697F3B">
        <w:rPr>
          <w:color w:val="000000" w:themeColor="text1"/>
        </w:rPr>
        <w:t>Les fonds pour lesquels nous ne disposions pas de suffisamment d’information n’ont donc pas été inclus à ce sous-échantillon</w:t>
      </w:r>
      <w:r w:rsidR="00C356B8" w:rsidRPr="00697F3B">
        <w:rPr>
          <w:color w:val="000000" w:themeColor="text1"/>
        </w:rPr>
        <w:t xml:space="preserve"> de contrôle</w:t>
      </w:r>
      <w:r w:rsidR="00E72E2C" w:rsidRPr="00697F3B">
        <w:rPr>
          <w:color w:val="000000" w:themeColor="text1"/>
        </w:rPr>
        <w:t>.</w:t>
      </w:r>
    </w:p>
    <w:p w14:paraId="29E0BBA5" w14:textId="3DCB8179" w:rsidR="00E72E2C" w:rsidRPr="00697F3B" w:rsidRDefault="00FA3E8B" w:rsidP="009A0498">
      <w:pPr>
        <w:spacing w:before="240" w:after="240" w:line="360" w:lineRule="auto"/>
        <w:jc w:val="both"/>
        <w:rPr>
          <w:color w:val="000000" w:themeColor="text1"/>
        </w:rPr>
      </w:pPr>
      <w:r w:rsidRPr="00697F3B">
        <w:rPr>
          <w:color w:val="000000" w:themeColor="text1"/>
        </w:rPr>
        <w:t xml:space="preserve">Une fois notre échantillon de fonds d’investissement socialement responsables constitué, nous avons utilisé la méthode du </w:t>
      </w:r>
      <w:r w:rsidRPr="00697F3B">
        <w:rPr>
          <w:i/>
          <w:iCs/>
          <w:color w:val="000000" w:themeColor="text1"/>
        </w:rPr>
        <w:t>pair-</w:t>
      </w:r>
      <w:proofErr w:type="spellStart"/>
      <w:r w:rsidRPr="00697F3B">
        <w:rPr>
          <w:i/>
          <w:iCs/>
          <w:color w:val="000000" w:themeColor="text1"/>
        </w:rPr>
        <w:t>matching</w:t>
      </w:r>
      <w:proofErr w:type="spellEnd"/>
      <w:r w:rsidRPr="00697F3B">
        <w:rPr>
          <w:color w:val="000000" w:themeColor="text1"/>
        </w:rPr>
        <w:t xml:space="preserve"> pour choisir leur</w:t>
      </w:r>
      <w:r w:rsidR="009D39BC" w:rsidRPr="00697F3B">
        <w:rPr>
          <w:color w:val="000000" w:themeColor="text1"/>
        </w:rPr>
        <w:t xml:space="preserve">s </w:t>
      </w:r>
      <w:r w:rsidRPr="00697F3B">
        <w:rPr>
          <w:color w:val="000000" w:themeColor="text1"/>
        </w:rPr>
        <w:t>équivalents traditionnels à inclure dans notre échantillon.</w:t>
      </w:r>
      <w:r w:rsidR="00E72E2C" w:rsidRPr="00697F3B">
        <w:rPr>
          <w:color w:val="000000" w:themeColor="text1"/>
        </w:rPr>
        <w:t> N</w:t>
      </w:r>
      <w:r w:rsidRPr="00697F3B">
        <w:rPr>
          <w:color w:val="000000" w:themeColor="text1"/>
        </w:rPr>
        <w:t>ous avons, à nouveau, utilisé le site internet L’</w:t>
      </w:r>
      <w:r w:rsidR="005C0A6C" w:rsidRPr="00697F3B">
        <w:rPr>
          <w:color w:val="000000" w:themeColor="text1"/>
        </w:rPr>
        <w:t>Écho</w:t>
      </w:r>
      <w:r w:rsidRPr="00697F3B">
        <w:rPr>
          <w:color w:val="000000" w:themeColor="text1"/>
        </w:rPr>
        <w:t xml:space="preserve"> et </w:t>
      </w:r>
      <w:r w:rsidR="002907B9" w:rsidRPr="00697F3B">
        <w:rPr>
          <w:color w:val="000000" w:themeColor="text1"/>
        </w:rPr>
        <w:t xml:space="preserve">plus </w:t>
      </w:r>
      <w:r w:rsidRPr="00697F3B">
        <w:rPr>
          <w:color w:val="000000" w:themeColor="text1"/>
        </w:rPr>
        <w:lastRenderedPageBreak/>
        <w:t>spécifiquement l’outil de recherche avancée des fonds</w:t>
      </w:r>
      <w:r w:rsidRPr="00697F3B">
        <w:rPr>
          <w:rStyle w:val="Appelnotedebasdep"/>
          <w:color w:val="000000" w:themeColor="text1"/>
        </w:rPr>
        <w:footnoteReference w:id="7"/>
      </w:r>
      <w:r w:rsidRPr="00697F3B">
        <w:rPr>
          <w:color w:val="000000" w:themeColor="text1"/>
        </w:rPr>
        <w:t xml:space="preserve"> disponible sur celui-ci. Grâce à cet outil, nous avons pu effectuer  des recherches avec les caractéristiques </w:t>
      </w:r>
      <w:r w:rsidR="00882795" w:rsidRPr="00697F3B">
        <w:rPr>
          <w:color w:val="000000" w:themeColor="text1"/>
        </w:rPr>
        <w:t>suivantes</w:t>
      </w:r>
      <w:r w:rsidRPr="00697F3B">
        <w:rPr>
          <w:color w:val="000000" w:themeColor="text1"/>
        </w:rPr>
        <w:t xml:space="preserve"> de chacun de nos fonds d’investissement socialement responsables</w:t>
      </w:r>
      <w:r w:rsidR="00914D9B" w:rsidRPr="00697F3B">
        <w:rPr>
          <w:color w:val="000000" w:themeColor="text1"/>
        </w:rPr>
        <w:t> </w:t>
      </w:r>
      <w:r w:rsidRPr="00697F3B">
        <w:rPr>
          <w:color w:val="000000" w:themeColor="text1"/>
        </w:rPr>
        <w:t>: répartition type de placement, catégorie</w:t>
      </w:r>
      <w:r w:rsidR="00E72E2C" w:rsidRPr="00697F3B">
        <w:rPr>
          <w:color w:val="000000" w:themeColor="text1"/>
        </w:rPr>
        <w:t xml:space="preserve"> </w:t>
      </w:r>
      <w:r w:rsidRPr="00697F3B">
        <w:rPr>
          <w:color w:val="000000" w:themeColor="text1"/>
        </w:rPr>
        <w:t>et devise. Lors de notre choix, nous avons également tenu compte du risque (SRRI) et du droit duquel dépendait chaque fonds</w:t>
      </w:r>
      <w:r w:rsidR="00E72E2C" w:rsidRPr="00697F3B">
        <w:rPr>
          <w:color w:val="000000" w:themeColor="text1"/>
        </w:rPr>
        <w:t xml:space="preserve"> au minimum. </w:t>
      </w:r>
      <w:r w:rsidRPr="00697F3B">
        <w:rPr>
          <w:color w:val="000000" w:themeColor="text1"/>
        </w:rPr>
        <w:t xml:space="preserve">De plus, nous avons, à chaque fois, privilégié le fonds d’investissement traditionnel se rapprochant le plus du fonds d’investissement socialement responsable au niveau </w:t>
      </w:r>
      <w:r w:rsidR="00C356B8" w:rsidRPr="00697F3B">
        <w:rPr>
          <w:color w:val="000000" w:themeColor="text1"/>
        </w:rPr>
        <w:t xml:space="preserve">du promoteur du fonds lorsque c’était possible. </w:t>
      </w:r>
      <w:r w:rsidR="002907B9" w:rsidRPr="00697F3B">
        <w:rPr>
          <w:color w:val="000000" w:themeColor="text1"/>
        </w:rPr>
        <w:t xml:space="preserve"> </w:t>
      </w:r>
      <w:r w:rsidR="00E72E2C" w:rsidRPr="00697F3B">
        <w:rPr>
          <w:color w:val="000000" w:themeColor="text1"/>
        </w:rPr>
        <w:t xml:space="preserve">Par ailleurs, nous avons vérifié l’appartenance à l’Article 6 de la SFDR </w:t>
      </w:r>
      <w:r w:rsidR="00C356B8" w:rsidRPr="00697F3B">
        <w:rPr>
          <w:color w:val="000000" w:themeColor="text1"/>
        </w:rPr>
        <w:t>de</w:t>
      </w:r>
      <w:r w:rsidR="00E72E2C" w:rsidRPr="00697F3B">
        <w:rPr>
          <w:color w:val="000000" w:themeColor="text1"/>
        </w:rPr>
        <w:t xml:space="preserve"> nos équivalents traditionnels</w:t>
      </w:r>
      <w:r w:rsidR="002907B9" w:rsidRPr="00697F3B">
        <w:rPr>
          <w:color w:val="000000" w:themeColor="text1"/>
        </w:rPr>
        <w:t xml:space="preserve"> via L’</w:t>
      </w:r>
      <w:r w:rsidR="00A67C2D" w:rsidRPr="00697F3B">
        <w:rPr>
          <w:color w:val="000000" w:themeColor="text1"/>
        </w:rPr>
        <w:t>Écho</w:t>
      </w:r>
      <w:r w:rsidR="008751EA" w:rsidRPr="00697F3B">
        <w:rPr>
          <w:color w:val="000000" w:themeColor="text1"/>
        </w:rPr>
        <w:t xml:space="preserve"> </w:t>
      </w:r>
      <w:r w:rsidR="002907B9" w:rsidRPr="00697F3B">
        <w:rPr>
          <w:color w:val="000000" w:themeColor="text1"/>
        </w:rPr>
        <w:t>également</w:t>
      </w:r>
      <w:r w:rsidR="00E72E2C" w:rsidRPr="00697F3B">
        <w:rPr>
          <w:color w:val="000000" w:themeColor="text1"/>
        </w:rPr>
        <w:t xml:space="preserve">. </w:t>
      </w:r>
      <w:r w:rsidR="00C356B8" w:rsidRPr="00697F3B">
        <w:rPr>
          <w:color w:val="000000" w:themeColor="text1"/>
        </w:rPr>
        <w:t>Notre échantillon de comparaison est ainsi constitué de 35 fonds ISR</w:t>
      </w:r>
      <w:r w:rsidR="0055430C" w:rsidRPr="00697F3B">
        <w:rPr>
          <w:color w:val="000000" w:themeColor="text1"/>
        </w:rPr>
        <w:t xml:space="preserve"> </w:t>
      </w:r>
      <w:r w:rsidR="00436BD4" w:rsidRPr="00697F3B">
        <w:rPr>
          <w:color w:val="000000" w:themeColor="text1"/>
        </w:rPr>
        <w:t xml:space="preserve">selon le site de </w:t>
      </w:r>
      <w:proofErr w:type="spellStart"/>
      <w:r w:rsidR="00436BD4" w:rsidRPr="00697F3B">
        <w:rPr>
          <w:color w:val="000000" w:themeColor="text1"/>
          <w:lang w:val="fr-FR"/>
        </w:rPr>
        <w:t>Financité</w:t>
      </w:r>
      <w:proofErr w:type="spellEnd"/>
      <w:r w:rsidR="008751EA" w:rsidRPr="00697F3B">
        <w:rPr>
          <w:color w:val="000000" w:themeColor="text1"/>
        </w:rPr>
        <w:t xml:space="preserve">, dont </w:t>
      </w:r>
      <w:r w:rsidR="00C356B8" w:rsidRPr="00697F3B">
        <w:rPr>
          <w:color w:val="000000" w:themeColor="text1"/>
        </w:rPr>
        <w:t xml:space="preserve"> </w:t>
      </w:r>
      <w:r w:rsidR="008751EA" w:rsidRPr="00697F3B">
        <w:rPr>
          <w:color w:val="000000" w:themeColor="text1"/>
        </w:rPr>
        <w:t xml:space="preserve">26 pour lesquels la classification </w:t>
      </w:r>
      <w:r w:rsidR="00C356B8" w:rsidRPr="00697F3B">
        <w:rPr>
          <w:color w:val="000000" w:themeColor="text1"/>
        </w:rPr>
        <w:t>Article</w:t>
      </w:r>
      <w:r w:rsidR="00914D9B" w:rsidRPr="00697F3B">
        <w:rPr>
          <w:color w:val="000000" w:themeColor="text1"/>
        </w:rPr>
        <w:t>s</w:t>
      </w:r>
      <w:r w:rsidR="00C356B8" w:rsidRPr="00697F3B">
        <w:rPr>
          <w:color w:val="000000" w:themeColor="text1"/>
        </w:rPr>
        <w:t xml:space="preserve"> </w:t>
      </w:r>
      <w:r w:rsidR="00914D9B" w:rsidRPr="00697F3B">
        <w:rPr>
          <w:color w:val="000000" w:themeColor="text1"/>
        </w:rPr>
        <w:t xml:space="preserve">8 </w:t>
      </w:r>
      <w:r w:rsidR="008751EA" w:rsidRPr="00697F3B">
        <w:rPr>
          <w:color w:val="000000" w:themeColor="text1"/>
        </w:rPr>
        <w:t xml:space="preserve">ou </w:t>
      </w:r>
      <w:r w:rsidR="00914D9B" w:rsidRPr="00697F3B">
        <w:rPr>
          <w:color w:val="000000" w:themeColor="text1"/>
        </w:rPr>
        <w:t>9</w:t>
      </w:r>
      <w:r w:rsidR="008751EA" w:rsidRPr="00697F3B">
        <w:rPr>
          <w:color w:val="000000" w:themeColor="text1"/>
        </w:rPr>
        <w:t xml:space="preserve"> est confirmée</w:t>
      </w:r>
      <w:r w:rsidR="00C356B8" w:rsidRPr="00697F3B">
        <w:rPr>
          <w:color w:val="000000" w:themeColor="text1"/>
        </w:rPr>
        <w:t xml:space="preserve"> </w:t>
      </w:r>
      <w:r w:rsidR="008751EA" w:rsidRPr="00697F3B">
        <w:rPr>
          <w:color w:val="000000" w:themeColor="text1"/>
        </w:rPr>
        <w:t>par L’</w:t>
      </w:r>
      <w:r w:rsidR="00A67C2D" w:rsidRPr="00697F3B">
        <w:rPr>
          <w:color w:val="000000" w:themeColor="text1"/>
        </w:rPr>
        <w:t>Écho</w:t>
      </w:r>
      <w:r w:rsidR="00232F4C" w:rsidRPr="00697F3B">
        <w:rPr>
          <w:color w:val="000000" w:themeColor="text1"/>
        </w:rPr>
        <w:t xml:space="preserve"> (à nouveau, utilisés pour l’échantillon de contrôle)</w:t>
      </w:r>
      <w:r w:rsidR="008751EA" w:rsidRPr="00697F3B">
        <w:rPr>
          <w:color w:val="000000" w:themeColor="text1"/>
        </w:rPr>
        <w:t xml:space="preserve">, </w:t>
      </w:r>
      <w:r w:rsidR="00C356B8" w:rsidRPr="00697F3B">
        <w:rPr>
          <w:color w:val="000000" w:themeColor="text1"/>
        </w:rPr>
        <w:t>et de</w:t>
      </w:r>
      <w:r w:rsidR="001032A1" w:rsidRPr="00697F3B">
        <w:rPr>
          <w:color w:val="000000" w:themeColor="text1"/>
        </w:rPr>
        <w:t xml:space="preserve"> leurs </w:t>
      </w:r>
      <w:r w:rsidR="00C356B8" w:rsidRPr="00697F3B">
        <w:rPr>
          <w:color w:val="000000" w:themeColor="text1"/>
        </w:rPr>
        <w:t>équivalents traditionnels (Article 6)</w:t>
      </w:r>
      <w:r w:rsidR="001032A1" w:rsidRPr="00697F3B">
        <w:rPr>
          <w:color w:val="000000" w:themeColor="text1"/>
        </w:rPr>
        <w:t>.</w:t>
      </w:r>
    </w:p>
    <w:p w14:paraId="15D2893B" w14:textId="7DE7642C" w:rsidR="00967078" w:rsidRPr="00697F3B" w:rsidRDefault="002907B9" w:rsidP="009A0498">
      <w:pPr>
        <w:spacing w:after="240" w:line="360" w:lineRule="auto"/>
        <w:jc w:val="both"/>
        <w:rPr>
          <w:color w:val="000000" w:themeColor="text1"/>
        </w:rPr>
      </w:pPr>
      <w:r w:rsidRPr="00697F3B">
        <w:rPr>
          <w:color w:val="000000" w:themeColor="text1"/>
        </w:rPr>
        <w:t>Finalement, n</w:t>
      </w:r>
      <w:r w:rsidR="00C356B8" w:rsidRPr="00697F3B">
        <w:rPr>
          <w:color w:val="000000" w:themeColor="text1"/>
        </w:rPr>
        <w:t>ous avons</w:t>
      </w:r>
      <w:r w:rsidRPr="00697F3B">
        <w:rPr>
          <w:color w:val="000000" w:themeColor="text1"/>
        </w:rPr>
        <w:t xml:space="preserve"> </w:t>
      </w:r>
      <w:r w:rsidR="00C356B8" w:rsidRPr="00697F3B">
        <w:rPr>
          <w:color w:val="000000" w:themeColor="text1"/>
        </w:rPr>
        <w:t>récolté</w:t>
      </w:r>
      <w:r w:rsidRPr="00697F3B">
        <w:rPr>
          <w:color w:val="000000" w:themeColor="text1"/>
        </w:rPr>
        <w:t xml:space="preserve"> (et agrégé au besoin)</w:t>
      </w:r>
      <w:r w:rsidR="00C356B8" w:rsidRPr="00697F3B">
        <w:rPr>
          <w:color w:val="000000" w:themeColor="text1"/>
        </w:rPr>
        <w:t xml:space="preserve"> </w:t>
      </w:r>
      <w:r w:rsidRPr="00697F3B">
        <w:rPr>
          <w:color w:val="000000" w:themeColor="text1"/>
        </w:rPr>
        <w:t>les</w:t>
      </w:r>
      <w:r w:rsidR="00C356B8" w:rsidRPr="00697F3B">
        <w:rPr>
          <w:color w:val="000000" w:themeColor="text1"/>
        </w:rPr>
        <w:t xml:space="preserve"> données </w:t>
      </w:r>
      <w:r w:rsidRPr="00697F3B">
        <w:rPr>
          <w:color w:val="000000" w:themeColor="text1"/>
        </w:rPr>
        <w:t xml:space="preserve">nécessaires à nos analyses </w:t>
      </w:r>
      <w:r w:rsidR="00C356B8" w:rsidRPr="00697F3B">
        <w:rPr>
          <w:color w:val="000000" w:themeColor="text1"/>
        </w:rPr>
        <w:t>via deux canaux </w:t>
      </w:r>
      <w:r w:rsidRPr="00697F3B">
        <w:rPr>
          <w:color w:val="000000" w:themeColor="text1"/>
        </w:rPr>
        <w:t xml:space="preserve">, </w:t>
      </w:r>
      <w:proofErr w:type="spellStart"/>
      <w:r w:rsidR="00C356B8" w:rsidRPr="00697F3B">
        <w:rPr>
          <w:color w:val="000000" w:themeColor="text1"/>
        </w:rPr>
        <w:t>FactSet</w:t>
      </w:r>
      <w:proofErr w:type="spellEnd"/>
      <w:r w:rsidR="00C70509" w:rsidRPr="00697F3B">
        <w:rPr>
          <w:color w:val="000000" w:themeColor="text1"/>
        </w:rPr>
        <w:t xml:space="preserve"> </w:t>
      </w:r>
      <w:r w:rsidR="00C356B8" w:rsidRPr="00697F3B">
        <w:rPr>
          <w:color w:val="000000" w:themeColor="text1"/>
        </w:rPr>
        <w:t xml:space="preserve">et le site internet de </w:t>
      </w:r>
      <w:proofErr w:type="spellStart"/>
      <w:r w:rsidR="00C356B8" w:rsidRPr="00697F3B">
        <w:rPr>
          <w:color w:val="000000" w:themeColor="text1"/>
        </w:rPr>
        <w:t>Morningstar</w:t>
      </w:r>
      <w:proofErr w:type="spellEnd"/>
      <w:r w:rsidR="00AF144B" w:rsidRPr="00697F3B">
        <w:rPr>
          <w:rStyle w:val="Appelnotedebasdep"/>
          <w:color w:val="000000" w:themeColor="text1"/>
        </w:rPr>
        <w:footnoteReference w:id="8"/>
      </w:r>
      <w:r w:rsidR="00C356B8" w:rsidRPr="00697F3B">
        <w:rPr>
          <w:color w:val="000000" w:themeColor="text1"/>
        </w:rPr>
        <w:t>. Ces données comprennent les informations ci-après :</w:t>
      </w:r>
    </w:p>
    <w:p w14:paraId="0AD79528" w14:textId="2174B864" w:rsidR="00C70509" w:rsidRPr="00697F3B" w:rsidRDefault="00967078" w:rsidP="00C70509">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La c</w:t>
      </w:r>
      <w:r w:rsidR="00C70509" w:rsidRPr="00697F3B">
        <w:rPr>
          <w:rFonts w:ascii="Times New Roman" w:hAnsi="Times New Roman" w:cs="Times New Roman"/>
          <w:color w:val="000000" w:themeColor="text1"/>
        </w:rPr>
        <w:t xml:space="preserve">ôte de durabilité de </w:t>
      </w:r>
      <w:proofErr w:type="spellStart"/>
      <w:r w:rsidR="00C70509" w:rsidRPr="00697F3B">
        <w:rPr>
          <w:rFonts w:ascii="Times New Roman" w:hAnsi="Times New Roman" w:cs="Times New Roman"/>
          <w:color w:val="000000" w:themeColor="text1"/>
        </w:rPr>
        <w:t>Morningstar</w:t>
      </w:r>
      <w:proofErr w:type="spellEnd"/>
      <w:r w:rsidRPr="00697F3B">
        <w:rPr>
          <w:rFonts w:ascii="Times New Roman" w:hAnsi="Times New Roman" w:cs="Times New Roman"/>
          <w:color w:val="000000" w:themeColor="text1"/>
        </w:rPr>
        <w:t xml:space="preserve"> (/5)</w:t>
      </w:r>
    </w:p>
    <w:p w14:paraId="08F20C4E" w14:textId="6B8459BD" w:rsidR="00954F6D" w:rsidRPr="00697F3B" w:rsidRDefault="00967078" w:rsidP="00954F6D">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La n</w:t>
      </w:r>
      <w:r w:rsidR="00C70509" w:rsidRPr="00697F3B">
        <w:rPr>
          <w:rFonts w:ascii="Times New Roman" w:hAnsi="Times New Roman" w:cs="Times New Roman"/>
          <w:color w:val="000000" w:themeColor="text1"/>
        </w:rPr>
        <w:t xml:space="preserve">ote extra-financière </w:t>
      </w:r>
      <w:r w:rsidRPr="00697F3B">
        <w:rPr>
          <w:rFonts w:ascii="Times New Roman" w:hAnsi="Times New Roman" w:cs="Times New Roman"/>
          <w:color w:val="000000" w:themeColor="text1"/>
        </w:rPr>
        <w:t xml:space="preserve">de </w:t>
      </w:r>
      <w:r w:rsidR="00C70509" w:rsidRPr="00697F3B">
        <w:rPr>
          <w:rFonts w:ascii="Times New Roman" w:hAnsi="Times New Roman" w:cs="Times New Roman"/>
          <w:color w:val="000000" w:themeColor="text1"/>
        </w:rPr>
        <w:t xml:space="preserve">MSCI </w:t>
      </w:r>
      <w:r w:rsidRPr="00697F3B">
        <w:rPr>
          <w:rFonts w:ascii="Times New Roman" w:hAnsi="Times New Roman" w:cs="Times New Roman"/>
          <w:color w:val="000000" w:themeColor="text1"/>
        </w:rPr>
        <w:t xml:space="preserve">disponible sur </w:t>
      </w:r>
      <w:proofErr w:type="spellStart"/>
      <w:r w:rsidRPr="00697F3B">
        <w:rPr>
          <w:rFonts w:ascii="Times New Roman" w:hAnsi="Times New Roman" w:cs="Times New Roman"/>
          <w:color w:val="000000" w:themeColor="text1"/>
        </w:rPr>
        <w:t>FactSet</w:t>
      </w:r>
      <w:proofErr w:type="spellEnd"/>
      <w:r w:rsidRPr="00697F3B">
        <w:rPr>
          <w:rFonts w:ascii="Times New Roman" w:hAnsi="Times New Roman" w:cs="Times New Roman"/>
          <w:color w:val="000000" w:themeColor="text1"/>
        </w:rPr>
        <w:t xml:space="preserve"> (/10)</w:t>
      </w:r>
    </w:p>
    <w:p w14:paraId="2E1A7DD4" w14:textId="6243BA43" w:rsidR="00C70509" w:rsidRPr="00697F3B" w:rsidRDefault="00967078" w:rsidP="00954F6D">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L’e</w:t>
      </w:r>
      <w:r w:rsidR="00954F6D" w:rsidRPr="00697F3B">
        <w:rPr>
          <w:rFonts w:ascii="Times New Roman" w:hAnsi="Times New Roman" w:cs="Times New Roman"/>
          <w:color w:val="000000" w:themeColor="text1"/>
        </w:rPr>
        <w:t>xposition du chiffre d'affaires aux solutions à impact durable de MSCI</w:t>
      </w:r>
      <w:r w:rsidRPr="00697F3B">
        <w:rPr>
          <w:rFonts w:ascii="Times New Roman" w:hAnsi="Times New Roman" w:cs="Times New Roman"/>
          <w:color w:val="000000" w:themeColor="text1"/>
        </w:rPr>
        <w:t xml:space="preserve"> (%)</w:t>
      </w:r>
    </w:p>
    <w:p w14:paraId="57198D05" w14:textId="5191B592" w:rsidR="00954F6D" w:rsidRPr="00697F3B" w:rsidRDefault="002907B9" w:rsidP="00954F6D">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L’e</w:t>
      </w:r>
      <w:r w:rsidR="00954F6D" w:rsidRPr="00697F3B">
        <w:rPr>
          <w:rFonts w:ascii="Times New Roman" w:hAnsi="Times New Roman" w:cs="Times New Roman"/>
          <w:color w:val="000000" w:themeColor="text1"/>
        </w:rPr>
        <w:t>xposition des revenus aux critères d’exclusion SFI de MSCI</w:t>
      </w:r>
      <w:r w:rsidR="00967078" w:rsidRPr="00697F3B">
        <w:rPr>
          <w:rFonts w:ascii="Times New Roman" w:hAnsi="Times New Roman" w:cs="Times New Roman"/>
          <w:color w:val="000000" w:themeColor="text1"/>
        </w:rPr>
        <w:t xml:space="preserve"> (%)</w:t>
      </w:r>
    </w:p>
    <w:p w14:paraId="153F46EF" w14:textId="0F906FF9" w:rsidR="00954F6D" w:rsidRPr="00697F3B" w:rsidRDefault="00967078" w:rsidP="00954F6D">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Le s</w:t>
      </w:r>
      <w:r w:rsidR="00954F6D" w:rsidRPr="00697F3B">
        <w:rPr>
          <w:rFonts w:ascii="Times New Roman" w:hAnsi="Times New Roman" w:cs="Times New Roman"/>
          <w:color w:val="000000" w:themeColor="text1"/>
        </w:rPr>
        <w:t xml:space="preserve">core de durabilité entreprise (12 mois) de </w:t>
      </w:r>
      <w:proofErr w:type="spellStart"/>
      <w:r w:rsidR="00954F6D" w:rsidRPr="00697F3B">
        <w:rPr>
          <w:rFonts w:ascii="Times New Roman" w:hAnsi="Times New Roman" w:cs="Times New Roman"/>
          <w:color w:val="000000" w:themeColor="text1"/>
        </w:rPr>
        <w:t>Morningstar</w:t>
      </w:r>
      <w:proofErr w:type="spellEnd"/>
      <w:r w:rsidR="00954F6D" w:rsidRPr="00697F3B">
        <w:rPr>
          <w:rFonts w:ascii="Times New Roman" w:hAnsi="Times New Roman" w:cs="Times New Roman"/>
          <w:color w:val="000000" w:themeColor="text1"/>
        </w:rPr>
        <w:t xml:space="preserve"> </w:t>
      </w:r>
    </w:p>
    <w:p w14:paraId="2F1C74C5" w14:textId="60D79354" w:rsidR="00C62488" w:rsidRPr="00697F3B" w:rsidRDefault="00C62488" w:rsidP="00C62488">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 xml:space="preserve">Le risque environnemental de </w:t>
      </w:r>
      <w:proofErr w:type="spellStart"/>
      <w:r w:rsidRPr="00697F3B">
        <w:rPr>
          <w:rFonts w:ascii="Times New Roman" w:hAnsi="Times New Roman" w:cs="Times New Roman"/>
          <w:color w:val="000000" w:themeColor="text1"/>
        </w:rPr>
        <w:t>Morningstar</w:t>
      </w:r>
      <w:proofErr w:type="spellEnd"/>
      <w:r w:rsidRPr="00697F3B">
        <w:rPr>
          <w:rStyle w:val="Appelnotedebasdep"/>
          <w:rFonts w:ascii="Times New Roman" w:hAnsi="Times New Roman" w:cs="Times New Roman"/>
          <w:color w:val="000000" w:themeColor="text1"/>
        </w:rPr>
        <w:footnoteReference w:id="9"/>
      </w:r>
      <w:r w:rsidRPr="00697F3B">
        <w:rPr>
          <w:rFonts w:ascii="Times New Roman" w:hAnsi="Times New Roman" w:cs="Times New Roman"/>
          <w:color w:val="000000" w:themeColor="text1"/>
        </w:rPr>
        <w:t xml:space="preserve"> </w:t>
      </w:r>
    </w:p>
    <w:p w14:paraId="7B7F8AE5" w14:textId="0841C441" w:rsidR="00C62488" w:rsidRPr="00697F3B" w:rsidRDefault="00C62488" w:rsidP="00C62488">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 xml:space="preserve">Le risque social de </w:t>
      </w:r>
      <w:proofErr w:type="spellStart"/>
      <w:r w:rsidRPr="00697F3B">
        <w:rPr>
          <w:rFonts w:ascii="Times New Roman" w:hAnsi="Times New Roman" w:cs="Times New Roman"/>
          <w:color w:val="000000" w:themeColor="text1"/>
        </w:rPr>
        <w:t>Morningstar</w:t>
      </w:r>
      <w:proofErr w:type="spellEnd"/>
      <w:r w:rsidRPr="00697F3B">
        <w:rPr>
          <w:rFonts w:ascii="Times New Roman" w:hAnsi="Times New Roman" w:cs="Times New Roman"/>
          <w:color w:val="000000" w:themeColor="text1"/>
        </w:rPr>
        <w:t xml:space="preserve"> </w:t>
      </w:r>
    </w:p>
    <w:p w14:paraId="42C59232" w14:textId="4110A457" w:rsidR="00C62488" w:rsidRPr="00697F3B" w:rsidRDefault="00C62488" w:rsidP="00C62488">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 xml:space="preserve">Le risque de gouvernance de </w:t>
      </w:r>
      <w:proofErr w:type="spellStart"/>
      <w:r w:rsidRPr="00697F3B">
        <w:rPr>
          <w:rFonts w:ascii="Times New Roman" w:hAnsi="Times New Roman" w:cs="Times New Roman"/>
          <w:color w:val="000000" w:themeColor="text1"/>
        </w:rPr>
        <w:t>Morningstar</w:t>
      </w:r>
      <w:proofErr w:type="spellEnd"/>
      <w:r w:rsidRPr="00697F3B">
        <w:rPr>
          <w:rFonts w:ascii="Times New Roman" w:hAnsi="Times New Roman" w:cs="Times New Roman"/>
          <w:color w:val="000000" w:themeColor="text1"/>
        </w:rPr>
        <w:t xml:space="preserve"> </w:t>
      </w:r>
    </w:p>
    <w:p w14:paraId="187C640D" w14:textId="70A370DC" w:rsidR="00967078" w:rsidRPr="00697F3B" w:rsidRDefault="00954F6D" w:rsidP="002163E6">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Le nombre de domaines contestables dans lequel le fonds est présent</w:t>
      </w:r>
      <w:r w:rsidR="00967078" w:rsidRPr="00697F3B">
        <w:rPr>
          <w:rFonts w:ascii="Times New Roman" w:hAnsi="Times New Roman" w:cs="Times New Roman"/>
          <w:color w:val="000000" w:themeColor="text1"/>
        </w:rPr>
        <w:t xml:space="preserve"> (/15). En effet, </w:t>
      </w:r>
      <w:proofErr w:type="spellStart"/>
      <w:r w:rsidR="00967078" w:rsidRPr="00697F3B">
        <w:rPr>
          <w:rFonts w:ascii="Times New Roman" w:hAnsi="Times New Roman" w:cs="Times New Roman"/>
          <w:color w:val="000000" w:themeColor="text1"/>
        </w:rPr>
        <w:t>Morningstar</w:t>
      </w:r>
      <w:proofErr w:type="spellEnd"/>
      <w:r w:rsidR="00967078" w:rsidRPr="00697F3B">
        <w:rPr>
          <w:rFonts w:ascii="Times New Roman" w:hAnsi="Times New Roman" w:cs="Times New Roman"/>
          <w:color w:val="000000" w:themeColor="text1"/>
        </w:rPr>
        <w:t xml:space="preserve"> fait référence à 15 domaines contestables : </w:t>
      </w:r>
      <w:r w:rsidR="002163E6" w:rsidRPr="00697F3B">
        <w:rPr>
          <w:rFonts w:ascii="Times New Roman" w:hAnsi="Times New Roman" w:cs="Times New Roman"/>
          <w:color w:val="000000" w:themeColor="text1"/>
        </w:rPr>
        <w:t>tests sur les animaux, fourrure et cuirs spéciaux, armes controversées, contrats militaires, armes légères, nucléaire, charbon thermique, OGM, huile de palme, pesticides, alcool, tabac, éthique de la vie, divertissement pour adultes et jeux d'argent</w:t>
      </w:r>
    </w:p>
    <w:p w14:paraId="1701C3E4" w14:textId="24B15026" w:rsidR="00954F6D" w:rsidRPr="00697F3B" w:rsidRDefault="00954F6D" w:rsidP="00954F6D">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lastRenderedPageBreak/>
        <w:t>Le plus haut pourcentage d</w:t>
      </w:r>
      <w:r w:rsidR="00967078" w:rsidRPr="00697F3B">
        <w:rPr>
          <w:rFonts w:ascii="Times New Roman" w:hAnsi="Times New Roman" w:cs="Times New Roman"/>
          <w:color w:val="000000" w:themeColor="text1"/>
        </w:rPr>
        <w:t>’</w:t>
      </w:r>
      <w:r w:rsidRPr="00697F3B">
        <w:rPr>
          <w:rFonts w:ascii="Times New Roman" w:hAnsi="Times New Roman" w:cs="Times New Roman"/>
          <w:color w:val="000000" w:themeColor="text1"/>
        </w:rPr>
        <w:t>implication dans un domaine contestable</w:t>
      </w:r>
      <w:r w:rsidR="00967078" w:rsidRPr="00697F3B">
        <w:rPr>
          <w:rFonts w:ascii="Times New Roman" w:hAnsi="Times New Roman" w:cs="Times New Roman"/>
          <w:color w:val="000000" w:themeColor="text1"/>
        </w:rPr>
        <w:t xml:space="preserve"> par fonds (%)</w:t>
      </w:r>
    </w:p>
    <w:p w14:paraId="53DC4C2B" w14:textId="2F3311A3" w:rsidR="00436BD4" w:rsidRPr="00697F3B" w:rsidRDefault="00C70509" w:rsidP="00B108BD">
      <w:pPr>
        <w:spacing w:after="240" w:line="360" w:lineRule="auto"/>
        <w:jc w:val="both"/>
        <w:rPr>
          <w:color w:val="000000" w:themeColor="text1"/>
        </w:rPr>
      </w:pPr>
      <w:r w:rsidRPr="00697F3B">
        <w:rPr>
          <w:color w:val="000000" w:themeColor="text1"/>
        </w:rPr>
        <w:t xml:space="preserve">Il est </w:t>
      </w:r>
      <w:r w:rsidR="00A33909" w:rsidRPr="00697F3B">
        <w:rPr>
          <w:color w:val="000000" w:themeColor="text1"/>
        </w:rPr>
        <w:t>à</w:t>
      </w:r>
      <w:r w:rsidRPr="00697F3B">
        <w:rPr>
          <w:color w:val="000000" w:themeColor="text1"/>
        </w:rPr>
        <w:t xml:space="preserve"> not</w:t>
      </w:r>
      <w:r w:rsidR="00A33909" w:rsidRPr="00697F3B">
        <w:rPr>
          <w:color w:val="000000" w:themeColor="text1"/>
        </w:rPr>
        <w:t>er</w:t>
      </w:r>
      <w:r w:rsidRPr="00697F3B">
        <w:rPr>
          <w:color w:val="000000" w:themeColor="text1"/>
        </w:rPr>
        <w:t xml:space="preserve"> que nous ne possédons pas les données complètes pour l’ensemble de</w:t>
      </w:r>
      <w:r w:rsidR="00967078" w:rsidRPr="00697F3B">
        <w:rPr>
          <w:color w:val="000000" w:themeColor="text1"/>
        </w:rPr>
        <w:t xml:space="preserve">s </w:t>
      </w:r>
      <w:r w:rsidRPr="00697F3B">
        <w:rPr>
          <w:color w:val="000000" w:themeColor="text1"/>
        </w:rPr>
        <w:t xml:space="preserve">fonds </w:t>
      </w:r>
      <w:r w:rsidR="00967078" w:rsidRPr="00697F3B">
        <w:rPr>
          <w:color w:val="000000" w:themeColor="text1"/>
        </w:rPr>
        <w:t xml:space="preserve">de notre échantillon </w:t>
      </w:r>
      <w:r w:rsidRPr="00697F3B">
        <w:rPr>
          <w:color w:val="000000" w:themeColor="text1"/>
        </w:rPr>
        <w:t xml:space="preserve">mais que nous avons conservé </w:t>
      </w:r>
      <w:r w:rsidR="00E7601B" w:rsidRPr="00697F3B">
        <w:rPr>
          <w:color w:val="000000" w:themeColor="text1"/>
        </w:rPr>
        <w:t xml:space="preserve">à l’étape du </w:t>
      </w:r>
      <w:r w:rsidR="00E7601B" w:rsidRPr="00697F3B">
        <w:rPr>
          <w:i/>
          <w:iCs/>
          <w:color w:val="000000" w:themeColor="text1"/>
        </w:rPr>
        <w:t>pair-</w:t>
      </w:r>
      <w:proofErr w:type="spellStart"/>
      <w:r w:rsidR="00E7601B" w:rsidRPr="00697F3B">
        <w:rPr>
          <w:i/>
          <w:iCs/>
          <w:color w:val="000000" w:themeColor="text1"/>
        </w:rPr>
        <w:t>matching</w:t>
      </w:r>
      <w:proofErr w:type="spellEnd"/>
      <w:r w:rsidR="00E7601B" w:rsidRPr="00697F3B">
        <w:rPr>
          <w:color w:val="000000" w:themeColor="text1"/>
        </w:rPr>
        <w:t xml:space="preserve"> </w:t>
      </w:r>
      <w:r w:rsidRPr="00697F3B">
        <w:rPr>
          <w:color w:val="000000" w:themeColor="text1"/>
        </w:rPr>
        <w:t xml:space="preserve">les fonds pour lesquels nous avons jugé l’information </w:t>
      </w:r>
      <w:r w:rsidR="00967078" w:rsidRPr="00697F3B">
        <w:rPr>
          <w:color w:val="000000" w:themeColor="text1"/>
        </w:rPr>
        <w:t>suffisamment</w:t>
      </w:r>
      <w:r w:rsidRPr="00697F3B">
        <w:rPr>
          <w:color w:val="000000" w:themeColor="text1"/>
        </w:rPr>
        <w:t xml:space="preserve"> complète. </w:t>
      </w:r>
    </w:p>
    <w:p w14:paraId="32EF6825" w14:textId="3C98FADA" w:rsidR="00F87580" w:rsidRPr="00697F3B" w:rsidRDefault="00D27CD5" w:rsidP="0073059A">
      <w:pPr>
        <w:pStyle w:val="Paragraphedeliste"/>
        <w:numPr>
          <w:ilvl w:val="1"/>
          <w:numId w:val="8"/>
        </w:numPr>
        <w:spacing w:before="240" w:after="240" w:line="360" w:lineRule="auto"/>
        <w:jc w:val="both"/>
        <w:rPr>
          <w:rFonts w:ascii="Times New Roman" w:hAnsi="Times New Roman" w:cs="Times New Roman"/>
          <w:b/>
          <w:bCs/>
          <w:sz w:val="28"/>
          <w:szCs w:val="28"/>
          <w:lang w:val="fr-FR"/>
        </w:rPr>
      </w:pPr>
      <w:r w:rsidRPr="00697F3B">
        <w:rPr>
          <w:rFonts w:ascii="Times New Roman" w:hAnsi="Times New Roman" w:cs="Times New Roman"/>
          <w:b/>
          <w:bCs/>
          <w:sz w:val="28"/>
          <w:szCs w:val="28"/>
          <w:lang w:val="fr-FR"/>
        </w:rPr>
        <w:t xml:space="preserve">Contexte </w:t>
      </w:r>
      <w:r w:rsidR="00C56E62" w:rsidRPr="00697F3B">
        <w:rPr>
          <w:rFonts w:ascii="Times New Roman" w:hAnsi="Times New Roman" w:cs="Times New Roman"/>
          <w:b/>
          <w:bCs/>
          <w:sz w:val="28"/>
          <w:szCs w:val="28"/>
          <w:lang w:val="fr-FR"/>
        </w:rPr>
        <w:t>d</w:t>
      </w:r>
      <w:r w:rsidR="00EB6362" w:rsidRPr="00697F3B">
        <w:rPr>
          <w:rFonts w:ascii="Times New Roman" w:hAnsi="Times New Roman" w:cs="Times New Roman"/>
          <w:b/>
          <w:bCs/>
          <w:sz w:val="28"/>
          <w:szCs w:val="28"/>
          <w:lang w:val="fr-FR"/>
        </w:rPr>
        <w:t>u marché belge de</w:t>
      </w:r>
      <w:r w:rsidR="00C56E62" w:rsidRPr="00697F3B">
        <w:rPr>
          <w:rFonts w:ascii="Times New Roman" w:hAnsi="Times New Roman" w:cs="Times New Roman"/>
          <w:b/>
          <w:bCs/>
          <w:sz w:val="28"/>
          <w:szCs w:val="28"/>
          <w:lang w:val="fr-FR"/>
        </w:rPr>
        <w:t>s</w:t>
      </w:r>
      <w:r w:rsidRPr="00697F3B">
        <w:rPr>
          <w:rFonts w:ascii="Times New Roman" w:hAnsi="Times New Roman" w:cs="Times New Roman"/>
          <w:b/>
          <w:bCs/>
          <w:sz w:val="28"/>
          <w:szCs w:val="28"/>
          <w:lang w:val="fr-FR"/>
        </w:rPr>
        <w:t xml:space="preserve"> fonds ISR </w:t>
      </w:r>
    </w:p>
    <w:p w14:paraId="439E5A52" w14:textId="007BADB6" w:rsidR="00835E98" w:rsidRPr="00697F3B" w:rsidRDefault="00EB6362" w:rsidP="00EB6362">
      <w:pPr>
        <w:spacing w:before="240" w:after="240" w:line="360" w:lineRule="auto"/>
        <w:jc w:val="both"/>
        <w:rPr>
          <w:color w:val="000000" w:themeColor="text1"/>
        </w:rPr>
      </w:pPr>
      <w:r w:rsidRPr="00697F3B">
        <w:rPr>
          <w:color w:val="000000" w:themeColor="text1"/>
        </w:rPr>
        <w:t>Une description du marché belge des fonds ISR nous semble nécessaire</w:t>
      </w:r>
      <w:r w:rsidR="002907B9" w:rsidRPr="00697F3B">
        <w:rPr>
          <w:color w:val="000000" w:themeColor="text1"/>
        </w:rPr>
        <w:t xml:space="preserve"> à ce stade</w:t>
      </w:r>
      <w:r w:rsidRPr="00697F3B">
        <w:rPr>
          <w:color w:val="000000" w:themeColor="text1"/>
        </w:rPr>
        <w:t>.</w:t>
      </w:r>
      <w:r w:rsidR="0020076F" w:rsidRPr="00697F3B">
        <w:rPr>
          <w:color w:val="000000" w:themeColor="text1"/>
        </w:rPr>
        <w:t xml:space="preserve"> Cette description reprend principalement les informations issues du rapport </w:t>
      </w:r>
      <w:r w:rsidR="00835E98" w:rsidRPr="00697F3B">
        <w:rPr>
          <w:color w:val="000000" w:themeColor="text1"/>
        </w:rPr>
        <w:t>202</w:t>
      </w:r>
      <w:r w:rsidR="00470506" w:rsidRPr="00697F3B">
        <w:rPr>
          <w:color w:val="000000" w:themeColor="text1"/>
        </w:rPr>
        <w:t>3</w:t>
      </w:r>
      <w:r w:rsidR="00835E98" w:rsidRPr="00697F3B">
        <w:rPr>
          <w:color w:val="000000" w:themeColor="text1"/>
        </w:rPr>
        <w:t xml:space="preserve"> de </w:t>
      </w:r>
      <w:proofErr w:type="spellStart"/>
      <w:r w:rsidR="00835E98" w:rsidRPr="00697F3B">
        <w:rPr>
          <w:color w:val="000000" w:themeColor="text1"/>
        </w:rPr>
        <w:t>Financité</w:t>
      </w:r>
      <w:proofErr w:type="spellEnd"/>
      <w:r w:rsidR="00835E98" w:rsidRPr="00697F3B">
        <w:rPr>
          <w:color w:val="000000" w:themeColor="text1"/>
        </w:rPr>
        <w:t xml:space="preserve"> (Bayot et al., 202</w:t>
      </w:r>
      <w:r w:rsidR="00831EB5" w:rsidRPr="00697F3B">
        <w:rPr>
          <w:color w:val="000000" w:themeColor="text1"/>
        </w:rPr>
        <w:t>3</w:t>
      </w:r>
      <w:r w:rsidR="00835E98" w:rsidRPr="00697F3B">
        <w:rPr>
          <w:color w:val="000000" w:themeColor="text1"/>
        </w:rPr>
        <w:t xml:space="preserve">).  </w:t>
      </w:r>
    </w:p>
    <w:p w14:paraId="717B6231" w14:textId="503100B5" w:rsidR="003C2DE1" w:rsidRPr="00697F3B" w:rsidRDefault="00835E98" w:rsidP="00EB6362">
      <w:pPr>
        <w:spacing w:before="240" w:after="240" w:line="360" w:lineRule="auto"/>
        <w:jc w:val="both"/>
        <w:rPr>
          <w:color w:val="000000" w:themeColor="text1"/>
        </w:rPr>
      </w:pPr>
      <w:r w:rsidRPr="00697F3B">
        <w:rPr>
          <w:color w:val="000000" w:themeColor="text1"/>
        </w:rPr>
        <w:t xml:space="preserve">Il est important de noter qu’alors que l’encours et le </w:t>
      </w:r>
      <w:r w:rsidR="00E045F1" w:rsidRPr="00697F3B">
        <w:rPr>
          <w:color w:val="000000" w:themeColor="text1"/>
        </w:rPr>
        <w:t xml:space="preserve">nombre de fonds ISR avaient très fortement augmenté </w:t>
      </w:r>
      <w:r w:rsidR="00B85212" w:rsidRPr="00697F3B">
        <w:rPr>
          <w:color w:val="000000" w:themeColor="text1"/>
        </w:rPr>
        <w:t xml:space="preserve">en 2021, </w:t>
      </w:r>
      <w:r w:rsidR="006E0010" w:rsidRPr="00697F3B">
        <w:rPr>
          <w:color w:val="000000" w:themeColor="text1"/>
        </w:rPr>
        <w:t>ils ont fortement diminué</w:t>
      </w:r>
      <w:r w:rsidR="00B023A9" w:rsidRPr="00697F3B">
        <w:rPr>
          <w:color w:val="000000" w:themeColor="text1"/>
        </w:rPr>
        <w:t xml:space="preserve"> en 2022</w:t>
      </w:r>
      <w:r w:rsidR="00121240" w:rsidRPr="00697F3B">
        <w:rPr>
          <w:color w:val="000000" w:themeColor="text1"/>
        </w:rPr>
        <w:t xml:space="preserve">. Fin 2022, l’encours des fonds ISR s’élevait </w:t>
      </w:r>
      <w:r w:rsidR="00B023A9" w:rsidRPr="00697F3B">
        <w:rPr>
          <w:color w:val="000000" w:themeColor="text1"/>
        </w:rPr>
        <w:t xml:space="preserve">à </w:t>
      </w:r>
      <w:r w:rsidR="00121240" w:rsidRPr="00697F3B">
        <w:rPr>
          <w:color w:val="000000" w:themeColor="text1"/>
        </w:rPr>
        <w:t>22,4 milliards d’euros pour un total de 402 fonds.</w:t>
      </w:r>
      <w:r w:rsidR="004E390D" w:rsidRPr="00697F3B">
        <w:rPr>
          <w:color w:val="000000" w:themeColor="text1"/>
        </w:rPr>
        <w:t xml:space="preserve"> Cette forte diminution est liée </w:t>
      </w:r>
      <w:r w:rsidR="00627B18" w:rsidRPr="00697F3B">
        <w:rPr>
          <w:color w:val="000000" w:themeColor="text1"/>
        </w:rPr>
        <w:t xml:space="preserve">au fait que </w:t>
      </w:r>
      <w:proofErr w:type="spellStart"/>
      <w:r w:rsidR="00627B18" w:rsidRPr="00697F3B">
        <w:rPr>
          <w:color w:val="000000" w:themeColor="text1"/>
        </w:rPr>
        <w:t>Financité</w:t>
      </w:r>
      <w:proofErr w:type="spellEnd"/>
      <w:r w:rsidR="00627B18" w:rsidRPr="00697F3B">
        <w:rPr>
          <w:color w:val="000000" w:themeColor="text1"/>
        </w:rPr>
        <w:t xml:space="preserve"> a décidé de se concentrer uniquement sur les fonds </w:t>
      </w:r>
      <w:r w:rsidR="00111E46" w:rsidRPr="00697F3B">
        <w:rPr>
          <w:color w:val="000000" w:themeColor="text1"/>
        </w:rPr>
        <w:t xml:space="preserve">Article 9. Or, </w:t>
      </w:r>
      <w:r w:rsidR="00734318" w:rsidRPr="00697F3B">
        <w:rPr>
          <w:color w:val="000000" w:themeColor="text1"/>
        </w:rPr>
        <w:t>de nombreux fonds Article 9 ont été déclassés en fonds Article 8 en 2022.</w:t>
      </w:r>
      <w:r w:rsidR="00D051AF" w:rsidRPr="00697F3B">
        <w:rPr>
          <w:color w:val="000000" w:themeColor="text1"/>
        </w:rPr>
        <w:t xml:space="preserve"> Les fonds qui n’étaient pas clairement reconnus comme Article 9 n’apparaissaient pas dans le rapport 202</w:t>
      </w:r>
      <w:r w:rsidR="005D1161" w:rsidRPr="00697F3B">
        <w:rPr>
          <w:color w:val="000000" w:themeColor="text1"/>
        </w:rPr>
        <w:t>3</w:t>
      </w:r>
      <w:r w:rsidR="00D051AF" w:rsidRPr="00697F3B">
        <w:rPr>
          <w:color w:val="000000" w:themeColor="text1"/>
        </w:rPr>
        <w:t xml:space="preserve"> de </w:t>
      </w:r>
      <w:proofErr w:type="spellStart"/>
      <w:r w:rsidR="00D051AF" w:rsidRPr="00697F3B">
        <w:rPr>
          <w:color w:val="000000" w:themeColor="text1"/>
        </w:rPr>
        <w:t>Financité</w:t>
      </w:r>
      <w:proofErr w:type="spellEnd"/>
      <w:r w:rsidR="00D051AF" w:rsidRPr="00697F3B">
        <w:rPr>
          <w:color w:val="000000" w:themeColor="text1"/>
        </w:rPr>
        <w:t xml:space="preserve"> (Bayot et al., 202</w:t>
      </w:r>
      <w:r w:rsidR="00831EB5" w:rsidRPr="00697F3B">
        <w:rPr>
          <w:color w:val="000000" w:themeColor="text1"/>
        </w:rPr>
        <w:t>3</w:t>
      </w:r>
      <w:r w:rsidR="00D051AF" w:rsidRPr="00697F3B">
        <w:rPr>
          <w:color w:val="000000" w:themeColor="text1"/>
        </w:rPr>
        <w:t>)</w:t>
      </w:r>
      <w:r w:rsidR="004F3890" w:rsidRPr="00697F3B">
        <w:rPr>
          <w:color w:val="000000" w:themeColor="text1"/>
        </w:rPr>
        <w:t xml:space="preserve">. </w:t>
      </w:r>
      <w:r w:rsidR="001A2FB0" w:rsidRPr="00697F3B">
        <w:rPr>
          <w:color w:val="000000" w:themeColor="text1"/>
        </w:rPr>
        <w:t xml:space="preserve"> Pour 2022,  les </w:t>
      </w:r>
      <w:r w:rsidR="00D007E7" w:rsidRPr="00697F3B">
        <w:rPr>
          <w:color w:val="000000" w:themeColor="text1"/>
        </w:rPr>
        <w:t xml:space="preserve">fonds de placement classiques représentaient </w:t>
      </w:r>
      <w:r w:rsidR="003B664D" w:rsidRPr="00697F3B">
        <w:rPr>
          <w:color w:val="000000" w:themeColor="text1"/>
        </w:rPr>
        <w:t xml:space="preserve">98% des </w:t>
      </w:r>
      <w:r w:rsidR="001A2FB0" w:rsidRPr="00697F3B">
        <w:rPr>
          <w:color w:val="000000" w:themeColor="text1"/>
        </w:rPr>
        <w:t>fonds ISR</w:t>
      </w:r>
      <w:r w:rsidR="003B664D" w:rsidRPr="00697F3B">
        <w:rPr>
          <w:color w:val="000000" w:themeColor="text1"/>
        </w:rPr>
        <w:t xml:space="preserve"> belges.</w:t>
      </w:r>
      <w:r w:rsidR="00FB5162" w:rsidRPr="00697F3B">
        <w:rPr>
          <w:color w:val="000000" w:themeColor="text1"/>
        </w:rPr>
        <w:t xml:space="preserve"> Les gestionnaires d’actifs représentent la majorité (56%) des promoteurs de fonds ISR en Belgique.</w:t>
      </w:r>
      <w:r w:rsidR="006F239A" w:rsidRPr="00697F3B">
        <w:rPr>
          <w:color w:val="000000" w:themeColor="text1"/>
        </w:rPr>
        <w:t xml:space="preserve"> En 2022, on décompte </w:t>
      </w:r>
      <w:r w:rsidR="00FB03FB" w:rsidRPr="00697F3B">
        <w:rPr>
          <w:color w:val="000000" w:themeColor="text1"/>
        </w:rPr>
        <w:t>108 promoteurs qui avaient au moins un fonds ISR sur le marché belge.</w:t>
      </w:r>
    </w:p>
    <w:p w14:paraId="5AF1FC48" w14:textId="3A2F4D99" w:rsidR="00322B45" w:rsidRPr="00697F3B" w:rsidRDefault="00322B45" w:rsidP="00EB6362">
      <w:pPr>
        <w:spacing w:before="240" w:after="240" w:line="360" w:lineRule="auto"/>
        <w:jc w:val="both"/>
        <w:rPr>
          <w:color w:val="000000" w:themeColor="text1"/>
        </w:rPr>
      </w:pPr>
      <w:r w:rsidRPr="00697F3B">
        <w:rPr>
          <w:color w:val="000000" w:themeColor="text1"/>
        </w:rPr>
        <w:t xml:space="preserve">En Belgique, il n’existe pas de label </w:t>
      </w:r>
      <w:r w:rsidR="001B6749" w:rsidRPr="00697F3B">
        <w:rPr>
          <w:color w:val="000000" w:themeColor="text1"/>
        </w:rPr>
        <w:t xml:space="preserve">défini par les pouvoirs publics contrairement à certains pays comme la France ou la Suède. </w:t>
      </w:r>
      <w:r w:rsidR="00487400" w:rsidRPr="00697F3B">
        <w:rPr>
          <w:color w:val="000000" w:themeColor="text1"/>
        </w:rPr>
        <w:t xml:space="preserve">Les fonds ISR belges peuvent </w:t>
      </w:r>
      <w:r w:rsidR="00EE3875" w:rsidRPr="00697F3B">
        <w:rPr>
          <w:color w:val="000000" w:themeColor="text1"/>
        </w:rPr>
        <w:t xml:space="preserve">néanmoins </w:t>
      </w:r>
      <w:r w:rsidR="00487400" w:rsidRPr="00697F3B">
        <w:rPr>
          <w:color w:val="000000" w:themeColor="text1"/>
        </w:rPr>
        <w:t xml:space="preserve">obtenir un label </w:t>
      </w:r>
      <w:r w:rsidR="00EE3875" w:rsidRPr="00697F3B">
        <w:rPr>
          <w:color w:val="000000" w:themeColor="text1"/>
        </w:rPr>
        <w:t xml:space="preserve">privé, à savoir celui </w:t>
      </w:r>
      <w:r w:rsidR="00487400" w:rsidRPr="00697F3B">
        <w:rPr>
          <w:color w:val="000000" w:themeColor="text1"/>
        </w:rPr>
        <w:t>d’</w:t>
      </w:r>
      <w:proofErr w:type="spellStart"/>
      <w:r w:rsidR="00487400" w:rsidRPr="00697F3B">
        <w:rPr>
          <w:color w:val="000000" w:themeColor="text1"/>
        </w:rPr>
        <w:t>Ethibel</w:t>
      </w:r>
      <w:proofErr w:type="spellEnd"/>
      <w:r w:rsidR="00487400" w:rsidRPr="00697F3B">
        <w:rPr>
          <w:color w:val="000000" w:themeColor="text1"/>
        </w:rPr>
        <w:t xml:space="preserve"> </w:t>
      </w:r>
      <w:r w:rsidR="00EE3875" w:rsidRPr="00697F3B">
        <w:rPr>
          <w:color w:val="000000" w:themeColor="text1"/>
        </w:rPr>
        <w:t>ou le</w:t>
      </w:r>
      <w:r w:rsidR="00487400" w:rsidRPr="00697F3B">
        <w:rPr>
          <w:color w:val="000000" w:themeColor="text1"/>
        </w:rPr>
        <w:t xml:space="preserve"> label </w:t>
      </w:r>
      <w:proofErr w:type="spellStart"/>
      <w:r w:rsidR="00487400" w:rsidRPr="00697F3B">
        <w:rPr>
          <w:color w:val="000000" w:themeColor="text1"/>
        </w:rPr>
        <w:t>Towards</w:t>
      </w:r>
      <w:proofErr w:type="spellEnd"/>
      <w:r w:rsidR="00487400" w:rsidRPr="00697F3B">
        <w:rPr>
          <w:color w:val="000000" w:themeColor="text1"/>
        </w:rPr>
        <w:t xml:space="preserve"> </w:t>
      </w:r>
      <w:proofErr w:type="spellStart"/>
      <w:r w:rsidR="00487400" w:rsidRPr="00697F3B">
        <w:rPr>
          <w:color w:val="000000" w:themeColor="text1"/>
        </w:rPr>
        <w:t>Sustainability</w:t>
      </w:r>
      <w:proofErr w:type="spellEnd"/>
      <w:r w:rsidR="005F219D" w:rsidRPr="00697F3B">
        <w:rPr>
          <w:color w:val="000000" w:themeColor="text1"/>
        </w:rPr>
        <w:t xml:space="preserve"> (Bayot</w:t>
      </w:r>
      <w:r w:rsidR="00831EB5" w:rsidRPr="00697F3B">
        <w:rPr>
          <w:color w:val="000000" w:themeColor="text1"/>
        </w:rPr>
        <w:t xml:space="preserve"> et al.</w:t>
      </w:r>
      <w:r w:rsidR="005F219D" w:rsidRPr="00697F3B">
        <w:rPr>
          <w:color w:val="000000" w:themeColor="text1"/>
        </w:rPr>
        <w:t>, 2023)</w:t>
      </w:r>
      <w:r w:rsidR="00487400" w:rsidRPr="00697F3B">
        <w:rPr>
          <w:color w:val="000000" w:themeColor="text1"/>
        </w:rPr>
        <w:t>.</w:t>
      </w:r>
    </w:p>
    <w:p w14:paraId="29AEA857" w14:textId="258FEF81" w:rsidR="002C1354" w:rsidRPr="00697F3B" w:rsidRDefault="00EF7E0E" w:rsidP="00B108BD">
      <w:pPr>
        <w:spacing w:before="240" w:after="240" w:line="360" w:lineRule="auto"/>
        <w:jc w:val="both"/>
        <w:rPr>
          <w:i/>
          <w:iCs/>
          <w:color w:val="000000" w:themeColor="text1"/>
        </w:rPr>
      </w:pPr>
      <w:r w:rsidRPr="00697F3B">
        <w:rPr>
          <w:color w:val="000000" w:themeColor="text1"/>
        </w:rPr>
        <w:t>En ce qui concerne la qualité extra-financière des fonds ISR cotés sur le marché belge</w:t>
      </w:r>
      <w:r w:rsidR="009241ED" w:rsidRPr="00697F3B">
        <w:rPr>
          <w:color w:val="000000" w:themeColor="text1"/>
        </w:rPr>
        <w:t>, elle</w:t>
      </w:r>
      <w:r w:rsidR="005F219D" w:rsidRPr="00697F3B">
        <w:rPr>
          <w:color w:val="000000" w:themeColor="text1"/>
        </w:rPr>
        <w:t xml:space="preserve"> n’est que de 5%. L’étude </w:t>
      </w:r>
      <w:proofErr w:type="spellStart"/>
      <w:r w:rsidR="005F219D" w:rsidRPr="00697F3B">
        <w:rPr>
          <w:color w:val="000000" w:themeColor="text1"/>
        </w:rPr>
        <w:t>Financité</w:t>
      </w:r>
      <w:proofErr w:type="spellEnd"/>
      <w:r w:rsidR="005F219D" w:rsidRPr="00697F3B">
        <w:rPr>
          <w:color w:val="000000" w:themeColor="text1"/>
        </w:rPr>
        <w:t xml:space="preserve"> montre que sur 295 fonds analysés en </w:t>
      </w:r>
      <w:r w:rsidR="009241ED" w:rsidRPr="00697F3B">
        <w:rPr>
          <w:color w:val="000000" w:themeColor="text1"/>
        </w:rPr>
        <w:t>20</w:t>
      </w:r>
      <w:r w:rsidR="005F219D" w:rsidRPr="00697F3B">
        <w:rPr>
          <w:color w:val="000000" w:themeColor="text1"/>
        </w:rPr>
        <w:t>22,  2</w:t>
      </w:r>
      <w:r w:rsidR="00125463" w:rsidRPr="00697F3B">
        <w:rPr>
          <w:color w:val="000000" w:themeColor="text1"/>
        </w:rPr>
        <w:t>3</w:t>
      </w:r>
      <w:r w:rsidR="005F219D" w:rsidRPr="00697F3B">
        <w:rPr>
          <w:color w:val="000000" w:themeColor="text1"/>
        </w:rPr>
        <w:t>5</w:t>
      </w:r>
      <w:r w:rsidR="00873E30" w:rsidRPr="00697F3B">
        <w:rPr>
          <w:color w:val="000000" w:themeColor="text1"/>
        </w:rPr>
        <w:t xml:space="preserve"> ont au moins un actif dans des entreprises et </w:t>
      </w:r>
      <w:r w:rsidR="00125463" w:rsidRPr="00697F3B">
        <w:rPr>
          <w:color w:val="000000" w:themeColor="text1"/>
        </w:rPr>
        <w:t>États</w:t>
      </w:r>
      <w:r w:rsidR="00873E30" w:rsidRPr="00697F3B">
        <w:rPr>
          <w:color w:val="000000" w:themeColor="text1"/>
        </w:rPr>
        <w:t xml:space="preserve"> ne respectant  pas les droits fondamentaux, 113 financent des </w:t>
      </w:r>
      <w:r w:rsidR="002907B9" w:rsidRPr="00697F3B">
        <w:rPr>
          <w:color w:val="000000" w:themeColor="text1"/>
        </w:rPr>
        <w:t>États</w:t>
      </w:r>
      <w:r w:rsidR="00873E30" w:rsidRPr="00697F3B">
        <w:rPr>
          <w:color w:val="000000" w:themeColor="text1"/>
        </w:rPr>
        <w:t xml:space="preserve"> </w:t>
      </w:r>
      <w:r w:rsidR="004A4509" w:rsidRPr="00697F3B">
        <w:rPr>
          <w:color w:val="000000" w:themeColor="text1"/>
        </w:rPr>
        <w:t>qui appuient</w:t>
      </w:r>
      <w:r w:rsidR="00A62373" w:rsidRPr="00697F3B">
        <w:rPr>
          <w:color w:val="000000" w:themeColor="text1"/>
        </w:rPr>
        <w:t xml:space="preserve"> l’industrie nucléaire ou des entreprises qui sont </w:t>
      </w:r>
      <w:r w:rsidR="00A219EF" w:rsidRPr="00697F3B">
        <w:rPr>
          <w:color w:val="000000" w:themeColor="text1"/>
        </w:rPr>
        <w:t xml:space="preserve">engagées </w:t>
      </w:r>
      <w:r w:rsidR="00A62373" w:rsidRPr="00697F3B">
        <w:rPr>
          <w:color w:val="000000" w:themeColor="text1"/>
        </w:rPr>
        <w:t>dans cette industrie</w:t>
      </w:r>
      <w:r w:rsidR="00412DBC" w:rsidRPr="00697F3B">
        <w:rPr>
          <w:color w:val="000000" w:themeColor="text1"/>
        </w:rPr>
        <w:t>, 172 ont investi dans des énergies fossiles ou activités liées à la déforestation</w:t>
      </w:r>
      <w:r w:rsidR="00BB4D59" w:rsidRPr="00697F3B">
        <w:rPr>
          <w:color w:val="000000" w:themeColor="text1"/>
        </w:rPr>
        <w:t xml:space="preserve"> et 107 sont </w:t>
      </w:r>
      <w:r w:rsidR="00EB5B7F" w:rsidRPr="00697F3B">
        <w:rPr>
          <w:color w:val="000000" w:themeColor="text1"/>
        </w:rPr>
        <w:t>exposés aux armes de guerre (Bayot</w:t>
      </w:r>
      <w:r w:rsidR="00831EB5" w:rsidRPr="00697F3B">
        <w:rPr>
          <w:color w:val="000000" w:themeColor="text1"/>
        </w:rPr>
        <w:t xml:space="preserve"> et al.</w:t>
      </w:r>
      <w:r w:rsidR="00EB5B7F" w:rsidRPr="00697F3B">
        <w:rPr>
          <w:color w:val="000000" w:themeColor="text1"/>
        </w:rPr>
        <w:t xml:space="preserve">, 2023). Les fonds labellisés </w:t>
      </w:r>
      <w:proofErr w:type="spellStart"/>
      <w:r w:rsidR="00EB5B7F" w:rsidRPr="00697F3B">
        <w:rPr>
          <w:color w:val="000000" w:themeColor="text1"/>
        </w:rPr>
        <w:t>Towards</w:t>
      </w:r>
      <w:proofErr w:type="spellEnd"/>
      <w:r w:rsidR="00EB5B7F" w:rsidRPr="00697F3B">
        <w:rPr>
          <w:color w:val="000000" w:themeColor="text1"/>
        </w:rPr>
        <w:t xml:space="preserve"> </w:t>
      </w:r>
      <w:proofErr w:type="spellStart"/>
      <w:r w:rsidR="00EB5B7F" w:rsidRPr="00697F3B">
        <w:rPr>
          <w:color w:val="000000" w:themeColor="text1"/>
        </w:rPr>
        <w:t>Sustainability</w:t>
      </w:r>
      <w:proofErr w:type="spellEnd"/>
      <w:r w:rsidR="00EB5B7F" w:rsidRPr="00697F3B">
        <w:rPr>
          <w:color w:val="000000" w:themeColor="text1"/>
        </w:rPr>
        <w:t xml:space="preserve"> ne semblent pas faire beaucoup mieux</w:t>
      </w:r>
      <w:r w:rsidR="00054B4D" w:rsidRPr="00697F3B">
        <w:rPr>
          <w:color w:val="000000" w:themeColor="text1"/>
        </w:rPr>
        <w:t xml:space="preserve"> comme le montre la figure suivante (voir Figure 1). </w:t>
      </w:r>
      <w:r w:rsidR="00831EB5" w:rsidRPr="00697F3B">
        <w:rPr>
          <w:color w:val="000000" w:themeColor="text1"/>
        </w:rPr>
        <w:t>Bayot et al. (2023</w:t>
      </w:r>
      <w:r w:rsidR="003A4D54" w:rsidRPr="00697F3B">
        <w:rPr>
          <w:color w:val="000000" w:themeColor="text1"/>
        </w:rPr>
        <w:t>, p.121</w:t>
      </w:r>
      <w:r w:rsidR="00831EB5" w:rsidRPr="00697F3B">
        <w:rPr>
          <w:color w:val="000000" w:themeColor="text1"/>
        </w:rPr>
        <w:t xml:space="preserve">) affirment à ce sujet </w:t>
      </w:r>
      <w:r w:rsidR="00F71737" w:rsidRPr="00697F3B">
        <w:rPr>
          <w:i/>
          <w:iCs/>
          <w:color w:val="000000" w:themeColor="text1"/>
        </w:rPr>
        <w:t>« </w:t>
      </w:r>
      <w:r w:rsidR="00125463" w:rsidRPr="00697F3B">
        <w:rPr>
          <w:i/>
          <w:iCs/>
          <w:color w:val="000000" w:themeColor="text1"/>
        </w:rPr>
        <w:t xml:space="preserve">… que </w:t>
      </w:r>
      <w:r w:rsidR="00F71737" w:rsidRPr="00697F3B">
        <w:rPr>
          <w:i/>
          <w:iCs/>
          <w:color w:val="000000" w:themeColor="text1"/>
        </w:rPr>
        <w:t xml:space="preserve">le label </w:t>
      </w:r>
      <w:proofErr w:type="spellStart"/>
      <w:r w:rsidR="00F71737" w:rsidRPr="00697F3B">
        <w:rPr>
          <w:i/>
          <w:iCs/>
          <w:color w:val="000000" w:themeColor="text1"/>
        </w:rPr>
        <w:t>Towards</w:t>
      </w:r>
      <w:proofErr w:type="spellEnd"/>
      <w:r w:rsidR="00F71737" w:rsidRPr="00697F3B">
        <w:rPr>
          <w:i/>
          <w:iCs/>
          <w:color w:val="000000" w:themeColor="text1"/>
        </w:rPr>
        <w:t xml:space="preserve"> </w:t>
      </w:r>
      <w:proofErr w:type="spellStart"/>
      <w:r w:rsidR="00F71737" w:rsidRPr="00697F3B">
        <w:rPr>
          <w:i/>
          <w:iCs/>
          <w:color w:val="000000" w:themeColor="text1"/>
        </w:rPr>
        <w:lastRenderedPageBreak/>
        <w:t>Sustainability</w:t>
      </w:r>
      <w:proofErr w:type="spellEnd"/>
      <w:r w:rsidR="00F71737" w:rsidRPr="00697F3B">
        <w:rPr>
          <w:i/>
          <w:iCs/>
          <w:color w:val="000000" w:themeColor="text1"/>
        </w:rPr>
        <w:t xml:space="preserve"> n’apporte à ce stade que peu de garantie qualitative supplémentaire aux fonds durables sur les quatre thématiques »</w:t>
      </w:r>
      <w:r w:rsidR="00125463" w:rsidRPr="00697F3B">
        <w:rPr>
          <w:i/>
          <w:iCs/>
          <w:color w:val="000000" w:themeColor="text1"/>
        </w:rPr>
        <w:t>.</w:t>
      </w:r>
      <w:r w:rsidR="00E57DBA" w:rsidRPr="00697F3B">
        <w:rPr>
          <w:color w:val="000000" w:themeColor="text1"/>
        </w:rPr>
        <w:t xml:space="preserve"> </w:t>
      </w:r>
    </w:p>
    <w:p w14:paraId="5D24326D" w14:textId="56609DB2" w:rsidR="00054B4D" w:rsidRPr="00697F3B" w:rsidRDefault="001670CE" w:rsidP="00054B4D">
      <w:pPr>
        <w:spacing w:before="240" w:after="240" w:line="360" w:lineRule="auto"/>
        <w:jc w:val="center"/>
        <w:rPr>
          <w:color w:val="000000" w:themeColor="text1"/>
          <w:sz w:val="18"/>
          <w:szCs w:val="18"/>
        </w:rPr>
      </w:pPr>
      <w:r w:rsidRPr="00697F3B">
        <w:rPr>
          <w:color w:val="000000" w:themeColor="text1"/>
          <w:sz w:val="18"/>
          <w:szCs w:val="18"/>
        </w:rPr>
        <w:t xml:space="preserve">Figure 1 : </w:t>
      </w:r>
      <w:r w:rsidR="00054B4D" w:rsidRPr="00697F3B">
        <w:rPr>
          <w:color w:val="000000" w:themeColor="text1"/>
          <w:sz w:val="18"/>
          <w:szCs w:val="18"/>
        </w:rPr>
        <w:t xml:space="preserve">Comparaison entre les fonds ISR labellisés </w:t>
      </w:r>
      <w:proofErr w:type="spellStart"/>
      <w:r w:rsidR="00054B4D" w:rsidRPr="00697F3B">
        <w:rPr>
          <w:color w:val="000000" w:themeColor="text1"/>
          <w:sz w:val="18"/>
          <w:szCs w:val="18"/>
        </w:rPr>
        <w:t>Towards</w:t>
      </w:r>
      <w:proofErr w:type="spellEnd"/>
      <w:r w:rsidR="00054B4D" w:rsidRPr="00697F3B">
        <w:rPr>
          <w:color w:val="000000" w:themeColor="text1"/>
          <w:sz w:val="18"/>
          <w:szCs w:val="18"/>
        </w:rPr>
        <w:t xml:space="preserve"> </w:t>
      </w:r>
      <w:proofErr w:type="spellStart"/>
      <w:r w:rsidR="00054B4D" w:rsidRPr="00697F3B">
        <w:rPr>
          <w:color w:val="000000" w:themeColor="text1"/>
          <w:sz w:val="18"/>
          <w:szCs w:val="18"/>
        </w:rPr>
        <w:t>Sustainability</w:t>
      </w:r>
      <w:proofErr w:type="spellEnd"/>
      <w:r w:rsidR="00054B4D" w:rsidRPr="00697F3B">
        <w:rPr>
          <w:color w:val="000000" w:themeColor="text1"/>
          <w:sz w:val="18"/>
          <w:szCs w:val="18"/>
        </w:rPr>
        <w:t xml:space="preserve"> et les fonds ISR non labellisés en </w:t>
      </w:r>
      <w:r w:rsidRPr="00697F3B">
        <w:rPr>
          <w:color w:val="000000" w:themeColor="text1"/>
          <w:sz w:val="18"/>
          <w:szCs w:val="18"/>
        </w:rPr>
        <w:t>Belgique.</w:t>
      </w:r>
    </w:p>
    <w:p w14:paraId="691B5210" w14:textId="00A6D750" w:rsidR="00054B4D" w:rsidRPr="00697F3B" w:rsidRDefault="00054B4D" w:rsidP="0073059A">
      <w:pPr>
        <w:spacing w:before="240" w:after="240" w:line="360" w:lineRule="auto"/>
        <w:jc w:val="center"/>
        <w:rPr>
          <w:color w:val="00B050"/>
        </w:rPr>
      </w:pPr>
      <w:r w:rsidRPr="00697F3B">
        <w:rPr>
          <w:noProof/>
          <w:color w:val="00B050"/>
        </w:rPr>
        <w:drawing>
          <wp:inline distT="0" distB="0" distL="0" distR="0" wp14:anchorId="1B9EDAFA" wp14:editId="230D924C">
            <wp:extent cx="3368843" cy="1696720"/>
            <wp:effectExtent l="0" t="0" r="0" b="5080"/>
            <wp:docPr id="1950889425" name="Image 1" descr="Une image contenant texte, Police, diagramm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89425" name="Image 1" descr="Une image contenant texte, Police, diagramme, Tracé&#10;&#10;Description générée automatiquement"/>
                    <pic:cNvPicPr/>
                  </pic:nvPicPr>
                  <pic:blipFill rotWithShape="1">
                    <a:blip r:embed="rId8"/>
                    <a:srcRect r="19906"/>
                    <a:stretch/>
                  </pic:blipFill>
                  <pic:spPr bwMode="auto">
                    <a:xfrm>
                      <a:off x="0" y="0"/>
                      <a:ext cx="3387058" cy="1705894"/>
                    </a:xfrm>
                    <a:prstGeom prst="rect">
                      <a:avLst/>
                    </a:prstGeom>
                    <a:ln>
                      <a:noFill/>
                    </a:ln>
                    <a:extLst>
                      <a:ext uri="{53640926-AAD7-44D8-BBD7-CCE9431645EC}">
                        <a14:shadowObscured xmlns:a14="http://schemas.microsoft.com/office/drawing/2010/main"/>
                      </a:ext>
                    </a:extLst>
                  </pic:spPr>
                </pic:pic>
              </a:graphicData>
            </a:graphic>
          </wp:inline>
        </w:drawing>
      </w:r>
    </w:p>
    <w:p w14:paraId="4FD974B8" w14:textId="1E2CE4A9" w:rsidR="002907B9" w:rsidRPr="00697F3B" w:rsidRDefault="00054B4D" w:rsidP="001670CE">
      <w:pPr>
        <w:spacing w:before="240" w:after="240" w:line="360" w:lineRule="auto"/>
        <w:ind w:left="12" w:firstLine="708"/>
        <w:jc w:val="center"/>
        <w:rPr>
          <w:i/>
          <w:iCs/>
          <w:color w:val="000000" w:themeColor="text1"/>
          <w:sz w:val="20"/>
          <w:szCs w:val="20"/>
        </w:rPr>
      </w:pPr>
      <w:r w:rsidRPr="00697F3B">
        <w:rPr>
          <w:i/>
          <w:iCs/>
          <w:color w:val="000000" w:themeColor="text1"/>
          <w:sz w:val="20"/>
          <w:szCs w:val="20"/>
        </w:rPr>
        <w:t>Source : Bayot et al. (202</w:t>
      </w:r>
      <w:r w:rsidR="001670CE" w:rsidRPr="00697F3B">
        <w:rPr>
          <w:i/>
          <w:iCs/>
          <w:color w:val="000000" w:themeColor="text1"/>
          <w:sz w:val="20"/>
          <w:szCs w:val="20"/>
        </w:rPr>
        <w:t>3, p.121</w:t>
      </w:r>
      <w:r w:rsidRPr="00697F3B">
        <w:rPr>
          <w:i/>
          <w:iCs/>
          <w:color w:val="000000" w:themeColor="text1"/>
          <w:sz w:val="20"/>
          <w:szCs w:val="20"/>
        </w:rPr>
        <w:t>)</w:t>
      </w:r>
    </w:p>
    <w:p w14:paraId="0BC0D447" w14:textId="188790BD" w:rsidR="00EB5B7F" w:rsidRPr="00697F3B" w:rsidRDefault="002907B9" w:rsidP="0073059A">
      <w:pPr>
        <w:spacing w:before="240" w:after="240" w:line="360" w:lineRule="auto"/>
        <w:ind w:left="12"/>
        <w:jc w:val="both"/>
        <w:rPr>
          <w:i/>
          <w:iCs/>
          <w:color w:val="000000" w:themeColor="text1"/>
          <w:sz w:val="20"/>
          <w:szCs w:val="20"/>
        </w:rPr>
      </w:pPr>
      <w:r w:rsidRPr="00697F3B">
        <w:rPr>
          <w:color w:val="000000" w:themeColor="text1"/>
        </w:rPr>
        <w:t xml:space="preserve">C’est également ce que </w:t>
      </w:r>
      <w:proofErr w:type="spellStart"/>
      <w:r w:rsidRPr="00697F3B">
        <w:rPr>
          <w:color w:val="000000" w:themeColor="text1"/>
        </w:rPr>
        <w:t>Novethic</w:t>
      </w:r>
      <w:proofErr w:type="spellEnd"/>
      <w:r w:rsidRPr="00697F3B">
        <w:rPr>
          <w:color w:val="000000" w:themeColor="text1"/>
        </w:rPr>
        <w:t xml:space="preserve"> (2023b) met en avant pour un ensemble de fonds labélisés </w:t>
      </w:r>
      <w:proofErr w:type="spellStart"/>
      <w:r w:rsidRPr="00697F3B">
        <w:rPr>
          <w:color w:val="000000" w:themeColor="text1"/>
        </w:rPr>
        <w:t>Towards</w:t>
      </w:r>
      <w:proofErr w:type="spellEnd"/>
      <w:r w:rsidRPr="00697F3B">
        <w:rPr>
          <w:color w:val="000000" w:themeColor="text1"/>
        </w:rPr>
        <w:t xml:space="preserve"> </w:t>
      </w:r>
      <w:proofErr w:type="spellStart"/>
      <w:r w:rsidRPr="00697F3B">
        <w:rPr>
          <w:color w:val="000000" w:themeColor="text1"/>
        </w:rPr>
        <w:t>Sustainability</w:t>
      </w:r>
      <w:proofErr w:type="spellEnd"/>
      <w:r w:rsidRPr="00697F3B">
        <w:rPr>
          <w:color w:val="000000" w:themeColor="text1"/>
        </w:rPr>
        <w:t xml:space="preserve"> ou autres au niveau européen. Effectivement, il n’y aurait qu’une corrélation faible entre les démarches de labellisation et la décision de proposer des fonds avec un objectif de développement durable (Article 9 de la SFDR)</w:t>
      </w:r>
      <w:r w:rsidRPr="00697F3B">
        <w:rPr>
          <w:i/>
          <w:iCs/>
          <w:color w:val="000000" w:themeColor="text1"/>
        </w:rPr>
        <w:t> : « Près de 80 % des fonds labellisés européens sont classés en Article 8 SFDR et le chiffre est sensiblement le même pour les fonds labellisés ISR »</w:t>
      </w:r>
      <w:r w:rsidRPr="00697F3B">
        <w:rPr>
          <w:color w:val="000000" w:themeColor="text1"/>
        </w:rPr>
        <w:t xml:space="preserve"> (</w:t>
      </w:r>
      <w:proofErr w:type="spellStart"/>
      <w:r w:rsidRPr="00697F3B">
        <w:rPr>
          <w:color w:val="000000" w:themeColor="text1"/>
        </w:rPr>
        <w:t>Novethic</w:t>
      </w:r>
      <w:proofErr w:type="spellEnd"/>
      <w:r w:rsidRPr="00697F3B">
        <w:rPr>
          <w:color w:val="000000" w:themeColor="text1"/>
        </w:rPr>
        <w:t>, 2023b, p.2)</w:t>
      </w:r>
    </w:p>
    <w:p w14:paraId="4449A529" w14:textId="2A91C7F7" w:rsidR="00182C5F" w:rsidRPr="00697F3B" w:rsidRDefault="00B06276" w:rsidP="0051736D">
      <w:pPr>
        <w:pStyle w:val="Paragraphedeliste"/>
        <w:numPr>
          <w:ilvl w:val="1"/>
          <w:numId w:val="8"/>
        </w:numPr>
        <w:spacing w:before="240" w:after="240" w:line="360" w:lineRule="auto"/>
        <w:jc w:val="both"/>
        <w:rPr>
          <w:rFonts w:ascii="Times New Roman" w:hAnsi="Times New Roman" w:cs="Times New Roman"/>
          <w:b/>
          <w:bCs/>
          <w:sz w:val="28"/>
          <w:szCs w:val="28"/>
          <w:lang w:val="fr-FR"/>
        </w:rPr>
      </w:pPr>
      <w:r w:rsidRPr="00697F3B">
        <w:rPr>
          <w:rFonts w:ascii="Times New Roman" w:hAnsi="Times New Roman" w:cs="Times New Roman"/>
          <w:b/>
          <w:bCs/>
          <w:sz w:val="28"/>
          <w:szCs w:val="28"/>
          <w:lang w:val="fr-FR"/>
        </w:rPr>
        <w:t xml:space="preserve">Méthode de traitement </w:t>
      </w:r>
    </w:p>
    <w:p w14:paraId="23F44C12" w14:textId="762C0398" w:rsidR="00B108BD" w:rsidRDefault="00182C5F" w:rsidP="00B108BD">
      <w:pPr>
        <w:spacing w:line="360" w:lineRule="auto"/>
        <w:jc w:val="both"/>
        <w:rPr>
          <w:rFonts w:ascii="Helvetica Neue" w:hAnsi="Helvetica Neue" w:cs="Helvetica Neue"/>
          <w:color w:val="000000" w:themeColor="text1"/>
          <w:sz w:val="26"/>
          <w:szCs w:val="26"/>
          <w:lang w:val="fr-FR"/>
        </w:rPr>
      </w:pPr>
      <w:r w:rsidRPr="00697F3B">
        <w:rPr>
          <w:color w:val="000000" w:themeColor="text1"/>
        </w:rPr>
        <w:t>Pour tester les hypothèses mentionnées plus haut, nous avons</w:t>
      </w:r>
      <w:r w:rsidR="00E844B1" w:rsidRPr="00697F3B">
        <w:rPr>
          <w:color w:val="000000" w:themeColor="text1"/>
        </w:rPr>
        <w:t xml:space="preserve"> décidé d’utiliser une démarche quantitative. </w:t>
      </w:r>
      <w:r w:rsidR="00E82B7B" w:rsidRPr="00697F3B">
        <w:rPr>
          <w:color w:val="000000" w:themeColor="text1"/>
        </w:rPr>
        <w:t>En premier lieu, n</w:t>
      </w:r>
      <w:r w:rsidR="00E844B1" w:rsidRPr="00697F3B">
        <w:rPr>
          <w:color w:val="000000" w:themeColor="text1"/>
        </w:rPr>
        <w:t xml:space="preserve">ous avons </w:t>
      </w:r>
      <w:r w:rsidR="008C3E20" w:rsidRPr="00697F3B">
        <w:rPr>
          <w:color w:val="000000" w:themeColor="text1"/>
        </w:rPr>
        <w:t xml:space="preserve">dû choisir le </w:t>
      </w:r>
      <w:r w:rsidR="00FA3E8B" w:rsidRPr="00697F3B">
        <w:rPr>
          <w:color w:val="000000" w:themeColor="text1"/>
        </w:rPr>
        <w:t>type de tests statistiques le plus approprié dans notre situation. Il nous a d’abord fallu choisir entre des tests paramétriques et des tests non-paramétriques</w:t>
      </w:r>
      <w:r w:rsidR="00914D9B" w:rsidRPr="00697F3B">
        <w:rPr>
          <w:color w:val="000000" w:themeColor="text1"/>
        </w:rPr>
        <w:t xml:space="preserve"> et notre choix s’est porté vers les seconds. </w:t>
      </w:r>
      <w:r w:rsidR="004E5B6B" w:rsidRPr="00697F3B">
        <w:rPr>
          <w:color w:val="000000" w:themeColor="text1"/>
        </w:rPr>
        <w:t xml:space="preserve">Effectivement, </w:t>
      </w:r>
      <w:r w:rsidR="00EE77E6" w:rsidRPr="00697F3B">
        <w:rPr>
          <w:color w:val="000000" w:themeColor="text1"/>
        </w:rPr>
        <w:t>au-delà</w:t>
      </w:r>
      <w:r w:rsidR="00E82B7B" w:rsidRPr="00697F3B">
        <w:rPr>
          <w:color w:val="000000" w:themeColor="text1"/>
        </w:rPr>
        <w:t xml:space="preserve"> de la petite taille de notre échantillon, </w:t>
      </w:r>
      <w:r w:rsidR="004E5B6B" w:rsidRPr="00697F3B">
        <w:rPr>
          <w:color w:val="000000" w:themeColor="text1"/>
        </w:rPr>
        <w:t>le</w:t>
      </w:r>
      <w:r w:rsidR="006756F0" w:rsidRPr="00697F3B">
        <w:rPr>
          <w:color w:val="000000" w:themeColor="text1"/>
        </w:rPr>
        <w:t xml:space="preserve"> test de Kolmogorov-Smirnov</w:t>
      </w:r>
      <w:r w:rsidR="00824A34" w:rsidRPr="00697F3B">
        <w:rPr>
          <w:color w:val="000000" w:themeColor="text1"/>
        </w:rPr>
        <w:t xml:space="preserve"> à deux échantillons</w:t>
      </w:r>
      <w:r w:rsidR="006756F0" w:rsidRPr="00697F3B">
        <w:rPr>
          <w:color w:val="000000" w:themeColor="text1"/>
        </w:rPr>
        <w:t xml:space="preserve"> </w:t>
      </w:r>
      <w:r w:rsidR="004E5B6B" w:rsidRPr="00697F3B">
        <w:rPr>
          <w:color w:val="000000" w:themeColor="text1"/>
        </w:rPr>
        <w:t>nous a confirmé que pour presque toutes nos variables, la distribution n’</w:t>
      </w:r>
      <w:r w:rsidR="00E82B7B" w:rsidRPr="00697F3B">
        <w:rPr>
          <w:color w:val="000000" w:themeColor="text1"/>
        </w:rPr>
        <w:t>était</w:t>
      </w:r>
      <w:r w:rsidR="004E5B6B" w:rsidRPr="00697F3B">
        <w:rPr>
          <w:color w:val="000000" w:themeColor="text1"/>
        </w:rPr>
        <w:t xml:space="preserve"> pas normale</w:t>
      </w:r>
      <w:r w:rsidR="002949B3" w:rsidRPr="00697F3B">
        <w:rPr>
          <w:color w:val="000000" w:themeColor="text1"/>
        </w:rPr>
        <w:t xml:space="preserve">. </w:t>
      </w:r>
      <w:r w:rsidR="00FA3E8B" w:rsidRPr="00697F3B">
        <w:rPr>
          <w:color w:val="000000" w:themeColor="text1"/>
        </w:rPr>
        <w:t xml:space="preserve">Parmi </w:t>
      </w:r>
      <w:r w:rsidR="00E82B7B" w:rsidRPr="00697F3B">
        <w:rPr>
          <w:color w:val="000000" w:themeColor="text1"/>
        </w:rPr>
        <w:t>ces tests</w:t>
      </w:r>
      <w:r w:rsidR="00EE77E6" w:rsidRPr="00697F3B">
        <w:rPr>
          <w:color w:val="000000" w:themeColor="text1"/>
        </w:rPr>
        <w:t xml:space="preserve"> non-paramétriques</w:t>
      </w:r>
      <w:r w:rsidR="00FA3E8B" w:rsidRPr="00697F3B">
        <w:rPr>
          <w:color w:val="000000" w:themeColor="text1"/>
        </w:rPr>
        <w:t xml:space="preserve">, étant donné que nous désirions comparer des échantillons indépendants deux à deux, nous avons décidé de tester nos différentes hypothèses </w:t>
      </w:r>
      <w:r w:rsidR="00914D9B" w:rsidRPr="00697F3B">
        <w:rPr>
          <w:color w:val="000000" w:themeColor="text1"/>
        </w:rPr>
        <w:t>(sauf H</w:t>
      </w:r>
      <w:r w:rsidR="00914D9B" w:rsidRPr="00697F3B">
        <w:rPr>
          <w:color w:val="000000" w:themeColor="text1"/>
          <w:vertAlign w:val="subscript"/>
        </w:rPr>
        <w:t>1</w:t>
      </w:r>
      <w:r w:rsidR="00914D9B" w:rsidRPr="00697F3B">
        <w:rPr>
          <w:color w:val="000000" w:themeColor="text1"/>
        </w:rPr>
        <w:t xml:space="preserve">) </w:t>
      </w:r>
      <w:r w:rsidR="00FA3E8B" w:rsidRPr="00697F3B">
        <w:rPr>
          <w:color w:val="000000" w:themeColor="text1"/>
        </w:rPr>
        <w:t xml:space="preserve">avec des tests </w:t>
      </w:r>
      <w:r w:rsidR="004E5B6B" w:rsidRPr="00697F3B">
        <w:rPr>
          <w:color w:val="000000" w:themeColor="text1"/>
        </w:rPr>
        <w:t xml:space="preserve">bilatéraux </w:t>
      </w:r>
      <w:r w:rsidR="00FA3E8B" w:rsidRPr="00697F3B">
        <w:rPr>
          <w:color w:val="000000" w:themeColor="text1"/>
        </w:rPr>
        <w:t>de Mann-Whitney et ce à l’aide d</w:t>
      </w:r>
      <w:r w:rsidR="00261A56" w:rsidRPr="00697F3B">
        <w:rPr>
          <w:color w:val="000000" w:themeColor="text1"/>
        </w:rPr>
        <w:t xml:space="preserve">u </w:t>
      </w:r>
      <w:r w:rsidR="00755BF2" w:rsidRPr="00697F3B">
        <w:rPr>
          <w:color w:val="000000" w:themeColor="text1"/>
        </w:rPr>
        <w:t>logiciel</w:t>
      </w:r>
      <w:r w:rsidR="00261A56" w:rsidRPr="00697F3B">
        <w:rPr>
          <w:color w:val="000000" w:themeColor="text1"/>
        </w:rPr>
        <w:t xml:space="preserve"> SPSS IBM </w:t>
      </w:r>
      <w:proofErr w:type="spellStart"/>
      <w:r w:rsidR="00261A56" w:rsidRPr="00697F3B">
        <w:rPr>
          <w:color w:val="000000" w:themeColor="text1"/>
        </w:rPr>
        <w:t>Statistics</w:t>
      </w:r>
      <w:proofErr w:type="spellEnd"/>
      <w:r w:rsidR="00FA3E8B" w:rsidRPr="00697F3B">
        <w:rPr>
          <w:color w:val="000000" w:themeColor="text1"/>
        </w:rPr>
        <w:t>.</w:t>
      </w:r>
      <w:r w:rsidR="004E5B6B" w:rsidRPr="00697F3B">
        <w:rPr>
          <w:color w:val="000000" w:themeColor="text1"/>
        </w:rPr>
        <w:t xml:space="preserve"> </w:t>
      </w:r>
      <w:r w:rsidR="00914D9B" w:rsidRPr="00697F3B">
        <w:rPr>
          <w:color w:val="000000" w:themeColor="text1"/>
        </w:rPr>
        <w:t>Pour H</w:t>
      </w:r>
      <w:r w:rsidR="00914D9B" w:rsidRPr="00697F3B">
        <w:rPr>
          <w:color w:val="000000" w:themeColor="text1"/>
          <w:vertAlign w:val="subscript"/>
        </w:rPr>
        <w:t>1</w:t>
      </w:r>
      <w:r w:rsidR="00914D9B" w:rsidRPr="00697F3B">
        <w:rPr>
          <w:color w:val="000000" w:themeColor="text1"/>
        </w:rPr>
        <w:t>, nous avons utilisé un test de classement de Wilcoxon pour les échantillons liés et, ce puisque la comparaison avait cette fois lieu sur un même échantillon.</w:t>
      </w:r>
      <w:r w:rsidR="00F97224" w:rsidRPr="00697F3B">
        <w:rPr>
          <w:rFonts w:ascii="Helvetica Neue" w:hAnsi="Helvetica Neue" w:cs="Helvetica Neue"/>
          <w:color w:val="000000" w:themeColor="text1"/>
          <w:sz w:val="26"/>
          <w:szCs w:val="26"/>
          <w:lang w:val="fr-FR"/>
        </w:rPr>
        <w:t xml:space="preserve"> </w:t>
      </w:r>
    </w:p>
    <w:p w14:paraId="7751F7C5" w14:textId="77777777" w:rsidR="00697F3B" w:rsidRPr="00697F3B" w:rsidRDefault="00697F3B" w:rsidP="00B108BD">
      <w:pPr>
        <w:spacing w:line="360" w:lineRule="auto"/>
        <w:jc w:val="both"/>
        <w:rPr>
          <w:rFonts w:ascii="Helvetica Neue" w:hAnsi="Helvetica Neue" w:cs="Helvetica Neue"/>
          <w:color w:val="000000" w:themeColor="text1"/>
          <w:sz w:val="26"/>
          <w:szCs w:val="26"/>
          <w:lang w:val="fr-FR"/>
        </w:rPr>
      </w:pPr>
    </w:p>
    <w:p w14:paraId="6E1721EF" w14:textId="77777777" w:rsidR="00B108BD" w:rsidRPr="00697F3B" w:rsidRDefault="00B108BD" w:rsidP="00B108BD">
      <w:pPr>
        <w:pStyle w:val="Paragraphedeliste"/>
        <w:numPr>
          <w:ilvl w:val="0"/>
          <w:numId w:val="8"/>
        </w:numPr>
        <w:spacing w:before="240" w:after="240" w:line="360" w:lineRule="auto"/>
        <w:rPr>
          <w:rFonts w:ascii="Times New Roman" w:hAnsi="Times New Roman" w:cs="Times New Roman"/>
          <w:b/>
          <w:bCs/>
          <w:smallCaps/>
          <w:sz w:val="28"/>
          <w:szCs w:val="28"/>
          <w:lang w:val="fr-FR"/>
        </w:rPr>
      </w:pPr>
      <w:r w:rsidRPr="00697F3B">
        <w:rPr>
          <w:rFonts w:ascii="Times New Roman" w:hAnsi="Times New Roman" w:cs="Times New Roman"/>
          <w:b/>
          <w:bCs/>
          <w:smallCaps/>
          <w:sz w:val="28"/>
          <w:szCs w:val="28"/>
          <w:lang w:val="fr-FR"/>
        </w:rPr>
        <w:lastRenderedPageBreak/>
        <w:t>Résultats</w:t>
      </w:r>
    </w:p>
    <w:p w14:paraId="0EB597D4" w14:textId="3B4CE390" w:rsidR="00F7538D" w:rsidRPr="00697F3B" w:rsidRDefault="00B45EA5" w:rsidP="00F7538D">
      <w:pPr>
        <w:spacing w:after="240" w:line="360" w:lineRule="auto"/>
        <w:jc w:val="both"/>
      </w:pPr>
      <w:r w:rsidRPr="00697F3B">
        <w:t>Avec</w:t>
      </w:r>
      <w:r w:rsidR="00F762CD" w:rsidRPr="00697F3B">
        <w:t xml:space="preserve"> notre étude de la performance extra-financière des fonds d’investissement socialement responsables</w:t>
      </w:r>
      <w:r w:rsidRPr="00697F3B">
        <w:t>, nous avons pu faire différents constats</w:t>
      </w:r>
      <w:r w:rsidR="00270EBB" w:rsidRPr="00697F3B">
        <w:t> </w:t>
      </w:r>
      <w:r w:rsidR="00BE594F" w:rsidRPr="00697F3B">
        <w:t xml:space="preserve">qui nous </w:t>
      </w:r>
      <w:r w:rsidR="00247496" w:rsidRPr="00697F3B">
        <w:t>amène</w:t>
      </w:r>
      <w:r w:rsidR="009F5DEE" w:rsidRPr="00697F3B">
        <w:t>nt</w:t>
      </w:r>
      <w:r w:rsidR="00BE594F" w:rsidRPr="00697F3B">
        <w:t xml:space="preserve"> à dire que</w:t>
      </w:r>
      <w:r w:rsidR="006E6086" w:rsidRPr="00697F3B">
        <w:t xml:space="preserve"> les</w:t>
      </w:r>
      <w:r w:rsidR="00BE594F" w:rsidRPr="00697F3B">
        <w:t xml:space="preserve"> fonds d’investissement socialement responsables le sont peut-être sur certains points mais également que la marge d’amélioration semble grande</w:t>
      </w:r>
      <w:r w:rsidR="00DC5707" w:rsidRPr="00697F3B">
        <w:t xml:space="preserve">. </w:t>
      </w:r>
    </w:p>
    <w:p w14:paraId="59034D84" w14:textId="106617A4" w:rsidR="00A354D9" w:rsidRPr="00697F3B" w:rsidRDefault="00F7538D" w:rsidP="00066245">
      <w:pPr>
        <w:spacing w:after="240" w:line="360" w:lineRule="auto"/>
        <w:jc w:val="both"/>
        <w:rPr>
          <w:color w:val="000000" w:themeColor="text1"/>
        </w:rPr>
      </w:pPr>
      <w:r w:rsidRPr="00697F3B">
        <w:rPr>
          <w:color w:val="000000" w:themeColor="text1"/>
        </w:rPr>
        <w:t>Tout d’abord, en se concentrant sur les moyennes</w:t>
      </w:r>
      <w:r w:rsidR="00D95776" w:rsidRPr="00697F3B">
        <w:rPr>
          <w:color w:val="000000" w:themeColor="text1"/>
        </w:rPr>
        <w:t xml:space="preserve"> des principaux indicateurs extra-financiers</w:t>
      </w:r>
      <w:r w:rsidR="00A86593" w:rsidRPr="00697F3B">
        <w:rPr>
          <w:color w:val="000000" w:themeColor="text1"/>
        </w:rPr>
        <w:t>,</w:t>
      </w:r>
      <w:r w:rsidRPr="00697F3B">
        <w:rPr>
          <w:color w:val="000000" w:themeColor="text1"/>
        </w:rPr>
        <w:t xml:space="preserve"> on observe</w:t>
      </w:r>
      <w:r w:rsidR="00B54746" w:rsidRPr="00697F3B">
        <w:rPr>
          <w:color w:val="000000" w:themeColor="text1"/>
        </w:rPr>
        <w:t xml:space="preserve"> </w:t>
      </w:r>
      <w:r w:rsidR="003E1228" w:rsidRPr="00697F3B">
        <w:rPr>
          <w:color w:val="000000" w:themeColor="text1"/>
        </w:rPr>
        <w:t xml:space="preserve">dans le Tableau 1 </w:t>
      </w:r>
      <w:r w:rsidRPr="00697F3B">
        <w:rPr>
          <w:color w:val="000000" w:themeColor="text1"/>
        </w:rPr>
        <w:t xml:space="preserve">que </w:t>
      </w:r>
      <w:r w:rsidR="00A86593" w:rsidRPr="00697F3B">
        <w:rPr>
          <w:color w:val="000000" w:themeColor="text1"/>
        </w:rPr>
        <w:t>le</w:t>
      </w:r>
      <w:r w:rsidRPr="00697F3B">
        <w:rPr>
          <w:color w:val="000000" w:themeColor="text1"/>
        </w:rPr>
        <w:t>s fonds</w:t>
      </w:r>
      <w:r w:rsidR="00A86593" w:rsidRPr="00697F3B">
        <w:rPr>
          <w:color w:val="000000" w:themeColor="text1"/>
        </w:rPr>
        <w:t xml:space="preserve"> ISR</w:t>
      </w:r>
      <w:r w:rsidRPr="00697F3B">
        <w:rPr>
          <w:color w:val="000000" w:themeColor="text1"/>
        </w:rPr>
        <w:t xml:space="preserve"> semblent surpasser leurs équivalents. De plus, </w:t>
      </w:r>
      <w:r w:rsidR="005E2E77" w:rsidRPr="00697F3B">
        <w:rPr>
          <w:color w:val="000000" w:themeColor="text1"/>
        </w:rPr>
        <w:t>l</w:t>
      </w:r>
      <w:r w:rsidRPr="00697F3B">
        <w:rPr>
          <w:color w:val="000000" w:themeColor="text1"/>
        </w:rPr>
        <w:t xml:space="preserve">es fonds </w:t>
      </w:r>
      <w:r w:rsidR="005E2E77" w:rsidRPr="00697F3B">
        <w:rPr>
          <w:color w:val="000000" w:themeColor="text1"/>
        </w:rPr>
        <w:t xml:space="preserve">ISR </w:t>
      </w:r>
      <w:r w:rsidRPr="00697F3B">
        <w:rPr>
          <w:color w:val="000000" w:themeColor="text1"/>
        </w:rPr>
        <w:t xml:space="preserve">obtiennent en moyenne des évaluations extra-financières assez positives. </w:t>
      </w:r>
      <w:r w:rsidR="007B4D8E" w:rsidRPr="00697F3B">
        <w:rPr>
          <w:color w:val="000000" w:themeColor="text1"/>
        </w:rPr>
        <w:t xml:space="preserve">Les évaluations de </w:t>
      </w:r>
      <w:proofErr w:type="spellStart"/>
      <w:r w:rsidR="007B4D8E" w:rsidRPr="00697F3B">
        <w:rPr>
          <w:color w:val="000000" w:themeColor="text1"/>
        </w:rPr>
        <w:t>Morningstar</w:t>
      </w:r>
      <w:proofErr w:type="spellEnd"/>
      <w:r w:rsidR="007B4D8E" w:rsidRPr="00697F3B">
        <w:rPr>
          <w:color w:val="000000" w:themeColor="text1"/>
        </w:rPr>
        <w:t xml:space="preserve"> varient de 3 à 5 sur 5, tandis que celles de MSCI vont de 4,6 à 8,4 sur 10 pour les fonds socialement responsables. </w:t>
      </w:r>
      <w:r w:rsidR="00AF1E42" w:rsidRPr="00697F3B">
        <w:rPr>
          <w:color w:val="000000" w:themeColor="text1"/>
        </w:rPr>
        <w:t>Néanmoins, c</w:t>
      </w:r>
      <w:r w:rsidR="007B4D8E" w:rsidRPr="00697F3B">
        <w:rPr>
          <w:color w:val="000000" w:themeColor="text1"/>
        </w:rPr>
        <w:t xml:space="preserve">ela suggère que les fonds </w:t>
      </w:r>
      <w:r w:rsidR="005E2E77" w:rsidRPr="00697F3B">
        <w:rPr>
          <w:color w:val="000000" w:themeColor="text1"/>
        </w:rPr>
        <w:t xml:space="preserve">ISR </w:t>
      </w:r>
      <w:r w:rsidR="007B4D8E" w:rsidRPr="00697F3B">
        <w:rPr>
          <w:color w:val="000000" w:themeColor="text1"/>
        </w:rPr>
        <w:t xml:space="preserve">ne performent pas tous de manière optimale. En revanche, pour les fonds traditionnels, les évaluations de </w:t>
      </w:r>
      <w:proofErr w:type="spellStart"/>
      <w:r w:rsidR="007B4D8E" w:rsidRPr="00697F3B">
        <w:rPr>
          <w:color w:val="000000" w:themeColor="text1"/>
        </w:rPr>
        <w:t>Morningstar</w:t>
      </w:r>
      <w:proofErr w:type="spellEnd"/>
      <w:r w:rsidR="007B4D8E" w:rsidRPr="00697F3B">
        <w:rPr>
          <w:color w:val="000000" w:themeColor="text1"/>
        </w:rPr>
        <w:t xml:space="preserve"> vont de 1 à 5, et celles de MSCI vont de 5 à 7,7 sur 10. </w:t>
      </w:r>
      <w:r w:rsidR="00DC5707" w:rsidRPr="00697F3B">
        <w:rPr>
          <w:color w:val="000000" w:themeColor="text1"/>
        </w:rPr>
        <w:t xml:space="preserve">De </w:t>
      </w:r>
      <w:r w:rsidRPr="00697F3B">
        <w:rPr>
          <w:color w:val="000000" w:themeColor="text1"/>
        </w:rPr>
        <w:t>manière similaire</w:t>
      </w:r>
      <w:r w:rsidR="00DC5707" w:rsidRPr="00697F3B">
        <w:rPr>
          <w:color w:val="000000" w:themeColor="text1"/>
        </w:rPr>
        <w:t xml:space="preserve">, le score de durabilité entreprise </w:t>
      </w:r>
      <w:r w:rsidR="007D6AF9" w:rsidRPr="00697F3B">
        <w:rPr>
          <w:color w:val="000000" w:themeColor="text1"/>
        </w:rPr>
        <w:t xml:space="preserve">moyen </w:t>
      </w:r>
      <w:r w:rsidR="00A71BD6" w:rsidRPr="00697F3B">
        <w:rPr>
          <w:color w:val="000000" w:themeColor="text1"/>
        </w:rPr>
        <w:t>(relatif au risque extra-financier)</w:t>
      </w:r>
      <w:r w:rsidR="009F46D4" w:rsidRPr="00697F3B">
        <w:rPr>
          <w:color w:val="000000" w:themeColor="text1"/>
        </w:rPr>
        <w:t xml:space="preserve"> des fonds ISR</w:t>
      </w:r>
      <w:r w:rsidR="00A71BD6" w:rsidRPr="00697F3B">
        <w:rPr>
          <w:color w:val="000000" w:themeColor="text1"/>
        </w:rPr>
        <w:t xml:space="preserve"> se </w:t>
      </w:r>
      <w:r w:rsidRPr="00697F3B">
        <w:rPr>
          <w:color w:val="000000" w:themeColor="text1"/>
        </w:rPr>
        <w:t>situe</w:t>
      </w:r>
      <w:r w:rsidR="00A71BD6" w:rsidRPr="00697F3B">
        <w:rPr>
          <w:color w:val="000000" w:themeColor="text1"/>
        </w:rPr>
        <w:t xml:space="preserve"> dans la zone </w:t>
      </w:r>
      <w:r w:rsidRPr="00697F3B">
        <w:rPr>
          <w:color w:val="000000" w:themeColor="text1"/>
        </w:rPr>
        <w:t>à risque moyen</w:t>
      </w:r>
      <w:r w:rsidR="00A71BD6" w:rsidRPr="00697F3B">
        <w:rPr>
          <w:color w:val="000000" w:themeColor="text1"/>
        </w:rPr>
        <w:t xml:space="preserve"> (0 = risque faible ; 50 = risque sévère)</w:t>
      </w:r>
      <w:r w:rsidR="007D6AF9" w:rsidRPr="00697F3B">
        <w:rPr>
          <w:color w:val="000000" w:themeColor="text1"/>
        </w:rPr>
        <w:t xml:space="preserve"> et est inférieur à la moyenne </w:t>
      </w:r>
      <w:r w:rsidRPr="00697F3B">
        <w:rPr>
          <w:color w:val="000000" w:themeColor="text1"/>
        </w:rPr>
        <w:t>de nos fonds traditionnels.</w:t>
      </w:r>
      <w:r w:rsidR="007D6AF9" w:rsidRPr="00697F3B">
        <w:rPr>
          <w:color w:val="000000" w:themeColor="text1"/>
        </w:rPr>
        <w:t xml:space="preserve"> </w:t>
      </w:r>
      <w:r w:rsidR="00EE3573" w:rsidRPr="00697F3B">
        <w:rPr>
          <w:color w:val="000000" w:themeColor="text1"/>
        </w:rPr>
        <w:t>Le risque extra-financier maximal parmi les fonds ISR est égal à 25,7</w:t>
      </w:r>
      <w:r w:rsidR="0015347A" w:rsidRPr="00697F3B">
        <w:rPr>
          <w:color w:val="000000" w:themeColor="text1"/>
        </w:rPr>
        <w:t>4</w:t>
      </w:r>
      <w:r w:rsidR="00EE3573" w:rsidRPr="00697F3B">
        <w:rPr>
          <w:color w:val="000000" w:themeColor="text1"/>
        </w:rPr>
        <w:t xml:space="preserve"> (vs 30,7</w:t>
      </w:r>
      <w:r w:rsidR="0015347A" w:rsidRPr="00697F3B">
        <w:rPr>
          <w:color w:val="000000" w:themeColor="text1"/>
        </w:rPr>
        <w:t>2</w:t>
      </w:r>
      <w:r w:rsidR="00EE3573" w:rsidRPr="00697F3B">
        <w:rPr>
          <w:color w:val="000000" w:themeColor="text1"/>
        </w:rPr>
        <w:t xml:space="preserve"> pour les fonds classiques). Le minimal est </w:t>
      </w:r>
      <w:r w:rsidR="00B54746" w:rsidRPr="00697F3B">
        <w:rPr>
          <w:color w:val="000000" w:themeColor="text1"/>
        </w:rPr>
        <w:t xml:space="preserve">quant à </w:t>
      </w:r>
      <w:r w:rsidR="00EE3573" w:rsidRPr="00697F3B">
        <w:rPr>
          <w:color w:val="000000" w:themeColor="text1"/>
        </w:rPr>
        <w:t>lui égal à 13,7</w:t>
      </w:r>
      <w:r w:rsidR="0015347A" w:rsidRPr="00697F3B">
        <w:rPr>
          <w:color w:val="000000" w:themeColor="text1"/>
        </w:rPr>
        <w:t>4</w:t>
      </w:r>
      <w:r w:rsidR="00B54746" w:rsidRPr="00697F3B">
        <w:rPr>
          <w:color w:val="000000" w:themeColor="text1"/>
        </w:rPr>
        <w:t xml:space="preserve"> pour les fonds ISR</w:t>
      </w:r>
      <w:r w:rsidR="00EE3573" w:rsidRPr="00697F3B">
        <w:rPr>
          <w:color w:val="000000" w:themeColor="text1"/>
        </w:rPr>
        <w:t xml:space="preserve"> (vs 11,</w:t>
      </w:r>
      <w:r w:rsidR="0015347A" w:rsidRPr="00697F3B">
        <w:rPr>
          <w:color w:val="000000" w:themeColor="text1"/>
        </w:rPr>
        <w:t>27</w:t>
      </w:r>
      <w:r w:rsidR="00B54746" w:rsidRPr="00697F3B">
        <w:rPr>
          <w:color w:val="000000" w:themeColor="text1"/>
        </w:rPr>
        <w:t xml:space="preserve"> pour les fonds classiques</w:t>
      </w:r>
      <w:r w:rsidR="00EE3573" w:rsidRPr="00697F3B">
        <w:rPr>
          <w:color w:val="000000" w:themeColor="text1"/>
        </w:rPr>
        <w:t>).</w:t>
      </w:r>
      <w:r w:rsidR="007B4D8E" w:rsidRPr="00697F3B">
        <w:rPr>
          <w:color w:val="000000" w:themeColor="text1"/>
        </w:rPr>
        <w:t xml:space="preserve"> </w:t>
      </w:r>
      <w:r w:rsidR="007D6AF9" w:rsidRPr="00697F3B">
        <w:rPr>
          <w:color w:val="000000" w:themeColor="text1"/>
        </w:rPr>
        <w:t>De plus, 55</w:t>
      </w:r>
      <w:r w:rsidR="00A7110F" w:rsidRPr="00697F3B">
        <w:rPr>
          <w:color w:val="000000" w:themeColor="text1"/>
        </w:rPr>
        <w:t xml:space="preserve"> fonds </w:t>
      </w:r>
      <w:r w:rsidR="001F37EE" w:rsidRPr="00697F3B">
        <w:rPr>
          <w:color w:val="000000" w:themeColor="text1"/>
        </w:rPr>
        <w:t xml:space="preserve"> ISR de notre échantillon présentent</w:t>
      </w:r>
      <w:r w:rsidR="007D6AF9" w:rsidRPr="00697F3B">
        <w:rPr>
          <w:color w:val="000000" w:themeColor="text1"/>
        </w:rPr>
        <w:t xml:space="preserve"> des risques extra-financiers </w:t>
      </w:r>
      <w:r w:rsidR="001F37EE" w:rsidRPr="00697F3B">
        <w:rPr>
          <w:color w:val="000000" w:themeColor="text1"/>
        </w:rPr>
        <w:t xml:space="preserve">inférieurs à </w:t>
      </w:r>
      <w:r w:rsidR="007D6AF9" w:rsidRPr="00697F3B">
        <w:rPr>
          <w:color w:val="000000" w:themeColor="text1"/>
        </w:rPr>
        <w:t xml:space="preserve">la moyenne </w:t>
      </w:r>
      <w:r w:rsidRPr="00697F3B">
        <w:rPr>
          <w:color w:val="000000" w:themeColor="text1"/>
        </w:rPr>
        <w:t xml:space="preserve">de leur catégorie </w:t>
      </w:r>
      <w:r w:rsidR="007D6AF9" w:rsidRPr="00697F3B">
        <w:rPr>
          <w:color w:val="000000" w:themeColor="text1"/>
        </w:rPr>
        <w:t>mondiale</w:t>
      </w:r>
      <w:r w:rsidRPr="00697F3B">
        <w:rPr>
          <w:color w:val="000000" w:themeColor="text1"/>
        </w:rPr>
        <w:t xml:space="preserve"> respective,</w:t>
      </w:r>
      <w:r w:rsidR="007D6AF9" w:rsidRPr="00697F3B">
        <w:rPr>
          <w:color w:val="000000" w:themeColor="text1"/>
        </w:rPr>
        <w:t xml:space="preserve"> </w:t>
      </w:r>
      <w:r w:rsidRPr="00697F3B">
        <w:rPr>
          <w:color w:val="000000" w:themeColor="text1"/>
        </w:rPr>
        <w:t xml:space="preserve">tandis que seulement deux </w:t>
      </w:r>
      <w:r w:rsidR="00E515E1" w:rsidRPr="00697F3B">
        <w:rPr>
          <w:color w:val="000000" w:themeColor="text1"/>
        </w:rPr>
        <w:t xml:space="preserve">présentent des risques extra-financiers </w:t>
      </w:r>
      <w:r w:rsidR="00EE3573" w:rsidRPr="00697F3B">
        <w:rPr>
          <w:color w:val="000000" w:themeColor="text1"/>
        </w:rPr>
        <w:t xml:space="preserve">égaux ou </w:t>
      </w:r>
      <w:r w:rsidR="00E515E1" w:rsidRPr="00697F3B">
        <w:rPr>
          <w:color w:val="000000" w:themeColor="text1"/>
        </w:rPr>
        <w:t xml:space="preserve">supérieurs à </w:t>
      </w:r>
      <w:r w:rsidR="002A7125" w:rsidRPr="00697F3B">
        <w:rPr>
          <w:color w:val="000000" w:themeColor="text1"/>
        </w:rPr>
        <w:t>la moyenne de leur catégorie mondiale</w:t>
      </w:r>
      <w:r w:rsidRPr="00697F3B">
        <w:rPr>
          <w:color w:val="000000" w:themeColor="text1"/>
        </w:rPr>
        <w:t>.</w:t>
      </w:r>
      <w:r w:rsidR="00EE3573" w:rsidRPr="00697F3B">
        <w:rPr>
          <w:color w:val="000000" w:themeColor="text1"/>
        </w:rPr>
        <w:t xml:space="preserve"> Pour les fonds classiques, la proportion est plus faible : 15 seulement ont des risques extra-financiers sous la moyenne de leur catégorie tandis qu</w:t>
      </w:r>
      <w:r w:rsidR="00086498" w:rsidRPr="00697F3B">
        <w:rPr>
          <w:color w:val="000000" w:themeColor="text1"/>
        </w:rPr>
        <w:t>e pour 19, ils</w:t>
      </w:r>
      <w:r w:rsidR="00EE3573" w:rsidRPr="00697F3B">
        <w:rPr>
          <w:color w:val="000000" w:themeColor="text1"/>
        </w:rPr>
        <w:t xml:space="preserve"> sont égaux ou supérieurs</w:t>
      </w:r>
      <w:r w:rsidR="00086498" w:rsidRPr="00697F3B">
        <w:rPr>
          <w:color w:val="000000" w:themeColor="text1"/>
        </w:rPr>
        <w:t xml:space="preserve"> à cette moyenne</w:t>
      </w:r>
      <w:r w:rsidR="00EE3573" w:rsidRPr="00697F3B">
        <w:rPr>
          <w:color w:val="000000" w:themeColor="text1"/>
        </w:rPr>
        <w:t xml:space="preserve">. </w:t>
      </w:r>
      <w:r w:rsidR="00C62488" w:rsidRPr="00697F3B">
        <w:rPr>
          <w:color w:val="000000" w:themeColor="text1"/>
        </w:rPr>
        <w:t xml:space="preserve">Avec une plus grande précision, les fonds ISR présentent également des risques extra-financiers environnementaux, sociaux et de gouvernance réduits en comparaison avec les fonds classiques. </w:t>
      </w:r>
      <w:r w:rsidR="00C62488" w:rsidRPr="00697F3B">
        <w:rPr>
          <w:color w:val="000000" w:themeColor="text1"/>
        </w:rPr>
        <w:br/>
        <w:t>En outre, il semble que les risques environnementaux soient moins élevés que les risques de gouvernance, tandis que les risques sociaux sont les plus élevés.</w:t>
      </w:r>
      <w:r w:rsidR="007D649F" w:rsidRPr="00697F3B">
        <w:rPr>
          <w:color w:val="000000" w:themeColor="text1"/>
        </w:rPr>
        <w:t xml:space="preserve"> </w:t>
      </w:r>
      <w:r w:rsidR="00A71BD6" w:rsidRPr="00697F3B">
        <w:rPr>
          <w:color w:val="000000" w:themeColor="text1"/>
        </w:rPr>
        <w:t>Le nombre moyen de domaines contestables dans le</w:t>
      </w:r>
      <w:r w:rsidRPr="00697F3B">
        <w:rPr>
          <w:color w:val="000000" w:themeColor="text1"/>
        </w:rPr>
        <w:t>s</w:t>
      </w:r>
      <w:r w:rsidR="00A71BD6" w:rsidRPr="00697F3B">
        <w:rPr>
          <w:color w:val="000000" w:themeColor="text1"/>
        </w:rPr>
        <w:t>quel</w:t>
      </w:r>
      <w:r w:rsidRPr="00697F3B">
        <w:rPr>
          <w:color w:val="000000" w:themeColor="text1"/>
        </w:rPr>
        <w:t>s</w:t>
      </w:r>
      <w:r w:rsidR="00A71BD6" w:rsidRPr="00697F3B">
        <w:rPr>
          <w:color w:val="000000" w:themeColor="text1"/>
        </w:rPr>
        <w:t xml:space="preserve"> </w:t>
      </w:r>
      <w:r w:rsidR="001916D6" w:rsidRPr="00697F3B">
        <w:rPr>
          <w:color w:val="000000" w:themeColor="text1"/>
        </w:rPr>
        <w:t>l</w:t>
      </w:r>
      <w:r w:rsidRPr="00697F3B">
        <w:rPr>
          <w:color w:val="000000" w:themeColor="text1"/>
        </w:rPr>
        <w:t>es</w:t>
      </w:r>
      <w:r w:rsidR="00A71BD6" w:rsidRPr="00697F3B">
        <w:rPr>
          <w:color w:val="000000" w:themeColor="text1"/>
        </w:rPr>
        <w:t xml:space="preserve"> fonds</w:t>
      </w:r>
      <w:r w:rsidR="001916D6" w:rsidRPr="00697F3B">
        <w:rPr>
          <w:color w:val="000000" w:themeColor="text1"/>
        </w:rPr>
        <w:t xml:space="preserve"> ISR</w:t>
      </w:r>
      <w:r w:rsidR="00A71BD6" w:rsidRPr="00697F3B">
        <w:rPr>
          <w:color w:val="000000" w:themeColor="text1"/>
        </w:rPr>
        <w:t xml:space="preserve"> </w:t>
      </w:r>
      <w:r w:rsidRPr="00697F3B">
        <w:rPr>
          <w:color w:val="000000" w:themeColor="text1"/>
        </w:rPr>
        <w:t xml:space="preserve">sont impliqués est également relativement bas </w:t>
      </w:r>
      <w:r w:rsidR="00A71BD6" w:rsidRPr="00697F3B">
        <w:rPr>
          <w:color w:val="000000" w:themeColor="text1"/>
        </w:rPr>
        <w:t>(4</w:t>
      </w:r>
      <w:r w:rsidR="007F5AA0">
        <w:rPr>
          <w:color w:val="000000" w:themeColor="text1"/>
        </w:rPr>
        <w:t>,07</w:t>
      </w:r>
      <w:r w:rsidR="00A71BD6" w:rsidRPr="00697F3B">
        <w:rPr>
          <w:color w:val="000000" w:themeColor="text1"/>
        </w:rPr>
        <w:t>/15)</w:t>
      </w:r>
      <w:r w:rsidRPr="00697F3B">
        <w:rPr>
          <w:color w:val="000000" w:themeColor="text1"/>
        </w:rPr>
        <w:t>, bien</w:t>
      </w:r>
      <w:r w:rsidR="007B4D8E" w:rsidRPr="00697F3B">
        <w:rPr>
          <w:color w:val="000000" w:themeColor="text1"/>
        </w:rPr>
        <w:t xml:space="preserve"> que</w:t>
      </w:r>
      <w:r w:rsidRPr="00697F3B">
        <w:rPr>
          <w:color w:val="000000" w:themeColor="text1"/>
        </w:rPr>
        <w:t xml:space="preserve"> l'objectif, tout comme pour le score de durabilité d'entreprise</w:t>
      </w:r>
      <w:r w:rsidR="001916D6" w:rsidRPr="00697F3B">
        <w:rPr>
          <w:color w:val="000000" w:themeColor="text1"/>
        </w:rPr>
        <w:t xml:space="preserve"> (risque extra-financier)</w:t>
      </w:r>
      <w:r w:rsidRPr="00697F3B">
        <w:rPr>
          <w:color w:val="000000" w:themeColor="text1"/>
        </w:rPr>
        <w:t>, soit d'atteindre 0. Cependant</w:t>
      </w:r>
      <w:r w:rsidR="00D660DB" w:rsidRPr="00697F3B">
        <w:rPr>
          <w:color w:val="000000" w:themeColor="text1"/>
        </w:rPr>
        <w:t xml:space="preserve">, </w:t>
      </w:r>
      <w:r w:rsidR="00FD202F" w:rsidRPr="00697F3B">
        <w:rPr>
          <w:color w:val="000000" w:themeColor="text1"/>
        </w:rPr>
        <w:t>seulement un de nos fonds ISR n’est pas du tout actif dans des domaines contestables</w:t>
      </w:r>
      <w:r w:rsidR="002C38C0" w:rsidRPr="00697F3B">
        <w:rPr>
          <w:color w:val="000000" w:themeColor="text1"/>
        </w:rPr>
        <w:t xml:space="preserve"> alors que les 57 autres le sont</w:t>
      </w:r>
      <w:r w:rsidRPr="00697F3B">
        <w:rPr>
          <w:color w:val="000000" w:themeColor="text1"/>
        </w:rPr>
        <w:t>.</w:t>
      </w:r>
      <w:r w:rsidR="00304A10" w:rsidRPr="00697F3B">
        <w:rPr>
          <w:color w:val="000000" w:themeColor="text1"/>
        </w:rPr>
        <w:t xml:space="preserve"> La tendance est identique pour les fonds classiques (1</w:t>
      </w:r>
      <w:r w:rsidR="002C38C0" w:rsidRPr="00697F3B">
        <w:rPr>
          <w:color w:val="000000" w:themeColor="text1"/>
        </w:rPr>
        <w:t xml:space="preserve"> vs 34</w:t>
      </w:r>
      <w:r w:rsidR="00304A10" w:rsidRPr="00697F3B">
        <w:rPr>
          <w:color w:val="000000" w:themeColor="text1"/>
        </w:rPr>
        <w:t xml:space="preserve">). </w:t>
      </w:r>
      <w:r w:rsidR="004F684B" w:rsidRPr="00697F3B">
        <w:rPr>
          <w:color w:val="000000" w:themeColor="text1"/>
        </w:rPr>
        <w:t xml:space="preserve">Les conclusions sont </w:t>
      </w:r>
      <w:r w:rsidR="00EC2389" w:rsidRPr="00697F3B">
        <w:rPr>
          <w:color w:val="000000" w:themeColor="text1"/>
        </w:rPr>
        <w:t>relativement semblables</w:t>
      </w:r>
      <w:r w:rsidR="004F684B" w:rsidRPr="00697F3B">
        <w:rPr>
          <w:color w:val="000000" w:themeColor="text1"/>
        </w:rPr>
        <w:t xml:space="preserve"> en se basant sur l'échantillon de contrôle.</w:t>
      </w:r>
      <w:r w:rsidR="00787CF8" w:rsidRPr="00697F3B">
        <w:rPr>
          <w:color w:val="000000" w:themeColor="text1"/>
        </w:rPr>
        <w:t xml:space="preserve"> Tout de même, il est important de noter une distinction en ce qui </w:t>
      </w:r>
      <w:r w:rsidR="00787CF8" w:rsidRPr="00697F3B">
        <w:rPr>
          <w:color w:val="000000" w:themeColor="text1"/>
        </w:rPr>
        <w:lastRenderedPageBreak/>
        <w:t>concerne les données extra-financières, où aucune note négative n'est observée dans ce sous-ensemble de contrôle.</w:t>
      </w:r>
      <w:r w:rsidR="00C163BA" w:rsidRPr="00697F3B">
        <w:rPr>
          <w:color w:val="000000" w:themeColor="text1"/>
        </w:rPr>
        <w:t xml:space="preserve"> </w:t>
      </w:r>
      <w:r w:rsidR="00787CF8" w:rsidRPr="00697F3B">
        <w:rPr>
          <w:color w:val="000000" w:themeColor="text1"/>
        </w:rPr>
        <w:t>Cependant, après examen, il est apparu qu'au sein de l'échantillon global, cela ne se produit qu'une seule fois (minimum MSCI</w:t>
      </w:r>
      <w:r w:rsidR="00496B4F" w:rsidRPr="00697F3B">
        <w:rPr>
          <w:color w:val="000000" w:themeColor="text1"/>
        </w:rPr>
        <w:t>= 4,6</w:t>
      </w:r>
      <w:r w:rsidR="00787CF8" w:rsidRPr="00697F3B">
        <w:rPr>
          <w:color w:val="000000" w:themeColor="text1"/>
        </w:rPr>
        <w:t>).</w:t>
      </w:r>
    </w:p>
    <w:p w14:paraId="77BAFB4F" w14:textId="000F83BB" w:rsidR="00C82070" w:rsidRPr="00697F3B" w:rsidRDefault="002C1354" w:rsidP="00066245">
      <w:pPr>
        <w:spacing w:after="240" w:line="360" w:lineRule="auto"/>
        <w:jc w:val="center"/>
        <w:rPr>
          <w:color w:val="000000" w:themeColor="text1"/>
        </w:rPr>
      </w:pPr>
      <w:r w:rsidRPr="00697F3B">
        <w:rPr>
          <w:color w:val="000000" w:themeColor="text1"/>
          <w:sz w:val="18"/>
          <w:szCs w:val="18"/>
        </w:rPr>
        <w:t>Tableau 1</w:t>
      </w:r>
      <w:r w:rsidR="00C82070" w:rsidRPr="00697F3B">
        <w:rPr>
          <w:color w:val="000000" w:themeColor="text1"/>
          <w:sz w:val="18"/>
          <w:szCs w:val="18"/>
        </w:rPr>
        <w:t xml:space="preserve"> : </w:t>
      </w:r>
      <w:r w:rsidR="004F684B" w:rsidRPr="00697F3B">
        <w:rPr>
          <w:color w:val="000000" w:themeColor="text1"/>
          <w:sz w:val="18"/>
          <w:szCs w:val="18"/>
        </w:rPr>
        <w:t>Principaux indicateurs extra-financiers des fonds ISR et traditionnels.</w:t>
      </w:r>
    </w:p>
    <w:tbl>
      <w:tblPr>
        <w:tblStyle w:val="Tableausimple3"/>
        <w:tblW w:w="9493" w:type="dxa"/>
        <w:jc w:val="center"/>
        <w:tblLook w:val="04A0" w:firstRow="1" w:lastRow="0" w:firstColumn="1" w:lastColumn="0" w:noHBand="0" w:noVBand="1"/>
      </w:tblPr>
      <w:tblGrid>
        <w:gridCol w:w="3455"/>
        <w:gridCol w:w="1665"/>
        <w:gridCol w:w="2394"/>
        <w:gridCol w:w="1979"/>
      </w:tblGrid>
      <w:tr w:rsidR="0073059A" w:rsidRPr="00697F3B" w14:paraId="26A40345" w14:textId="125AA66E" w:rsidTr="00B17FD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455" w:type="dxa"/>
          </w:tcPr>
          <w:p w14:paraId="1F3E4553" w14:textId="2F2CEF72" w:rsidR="00C163BA" w:rsidRPr="00697F3B" w:rsidRDefault="00C163BA" w:rsidP="00904F0B">
            <w:pPr>
              <w:spacing w:line="360" w:lineRule="auto"/>
              <w:jc w:val="both"/>
              <w:rPr>
                <w:color w:val="000000" w:themeColor="text1"/>
                <w:sz w:val="21"/>
                <w:szCs w:val="21"/>
              </w:rPr>
            </w:pPr>
          </w:p>
        </w:tc>
        <w:tc>
          <w:tcPr>
            <w:tcW w:w="1665" w:type="dxa"/>
          </w:tcPr>
          <w:p w14:paraId="32F633F4" w14:textId="77777777" w:rsidR="00C163BA" w:rsidRPr="00697F3B" w:rsidRDefault="00C163BA" w:rsidP="0073059A">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1"/>
                <w:szCs w:val="21"/>
              </w:rPr>
            </w:pPr>
            <w:r w:rsidRPr="00697F3B">
              <w:rPr>
                <w:color w:val="000000" w:themeColor="text1"/>
                <w:sz w:val="21"/>
                <w:szCs w:val="21"/>
              </w:rPr>
              <w:t>Fonds ISR</w:t>
            </w:r>
          </w:p>
        </w:tc>
        <w:tc>
          <w:tcPr>
            <w:tcW w:w="2394" w:type="dxa"/>
          </w:tcPr>
          <w:p w14:paraId="42D6B999" w14:textId="77777777" w:rsidR="00C163BA" w:rsidRPr="00697F3B" w:rsidRDefault="00C163BA" w:rsidP="004F684B">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1"/>
                <w:szCs w:val="21"/>
              </w:rPr>
            </w:pPr>
            <w:r w:rsidRPr="00697F3B">
              <w:rPr>
                <w:color w:val="000000" w:themeColor="text1"/>
                <w:sz w:val="21"/>
                <w:szCs w:val="21"/>
              </w:rPr>
              <w:t xml:space="preserve">Fonds ISR </w:t>
            </w:r>
          </w:p>
          <w:p w14:paraId="58F0451D" w14:textId="3A0DE9FF" w:rsidR="00C163BA" w:rsidRPr="00697F3B" w:rsidRDefault="00C163BA" w:rsidP="0073059A">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1"/>
                <w:szCs w:val="21"/>
              </w:rPr>
            </w:pPr>
            <w:r w:rsidRPr="00697F3B">
              <w:rPr>
                <w:color w:val="000000" w:themeColor="text1"/>
                <w:sz w:val="21"/>
                <w:szCs w:val="21"/>
              </w:rPr>
              <w:t>–</w:t>
            </w:r>
          </w:p>
          <w:p w14:paraId="560B22C0" w14:textId="2B7A3ECE" w:rsidR="00C163BA" w:rsidRPr="00697F3B" w:rsidRDefault="00C163BA" w:rsidP="0073059A">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1"/>
                <w:szCs w:val="21"/>
              </w:rPr>
            </w:pPr>
            <w:r w:rsidRPr="00697F3B">
              <w:rPr>
                <w:color w:val="000000" w:themeColor="text1"/>
                <w:sz w:val="21"/>
                <w:szCs w:val="21"/>
              </w:rPr>
              <w:t>Échantillon de contrôle</w:t>
            </w:r>
          </w:p>
        </w:tc>
        <w:tc>
          <w:tcPr>
            <w:tcW w:w="1979" w:type="dxa"/>
          </w:tcPr>
          <w:p w14:paraId="2A33F753" w14:textId="26FDCE6E" w:rsidR="00C163BA" w:rsidRPr="00697F3B" w:rsidRDefault="00C163BA" w:rsidP="0073059A">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1"/>
                <w:szCs w:val="21"/>
              </w:rPr>
            </w:pPr>
            <w:r w:rsidRPr="00697F3B">
              <w:rPr>
                <w:color w:val="000000" w:themeColor="text1"/>
                <w:sz w:val="21"/>
                <w:szCs w:val="21"/>
              </w:rPr>
              <w:t>Fonds traditionnels</w:t>
            </w:r>
          </w:p>
        </w:tc>
      </w:tr>
      <w:tr w:rsidR="0073059A" w:rsidRPr="00697F3B" w14:paraId="008B3A95" w14:textId="7A017CA2" w:rsidTr="00B17F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55" w:type="dxa"/>
            <w:vAlign w:val="center"/>
          </w:tcPr>
          <w:p w14:paraId="7D1E38EB" w14:textId="7B1B9DDA" w:rsidR="00C163BA" w:rsidRPr="00697F3B" w:rsidRDefault="00C163BA" w:rsidP="00282628">
            <w:pPr>
              <w:spacing w:after="240" w:line="360" w:lineRule="auto"/>
              <w:jc w:val="center"/>
              <w:rPr>
                <w:color w:val="000000" w:themeColor="text1"/>
                <w:sz w:val="21"/>
                <w:szCs w:val="21"/>
              </w:rPr>
            </w:pPr>
            <w:r w:rsidRPr="00697F3B">
              <w:rPr>
                <w:color w:val="000000" w:themeColor="text1"/>
                <w:sz w:val="21"/>
                <w:szCs w:val="21"/>
              </w:rPr>
              <w:t>C</w:t>
            </w:r>
            <w:r w:rsidR="001653BB" w:rsidRPr="00697F3B">
              <w:rPr>
                <w:color w:val="000000" w:themeColor="text1"/>
                <w:sz w:val="21"/>
                <w:szCs w:val="21"/>
              </w:rPr>
              <w:t>o</w:t>
            </w:r>
            <w:r w:rsidRPr="00697F3B">
              <w:rPr>
                <w:color w:val="000000" w:themeColor="text1"/>
                <w:sz w:val="21"/>
                <w:szCs w:val="21"/>
              </w:rPr>
              <w:t>te de durabilité Morningstar (/5)</w:t>
            </w:r>
          </w:p>
        </w:tc>
        <w:tc>
          <w:tcPr>
            <w:tcW w:w="1665" w:type="dxa"/>
            <w:vAlign w:val="center"/>
          </w:tcPr>
          <w:p w14:paraId="2866C183" w14:textId="77777777" w:rsidR="00C163BA" w:rsidRPr="00697F3B" w:rsidRDefault="003E557F"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w:t>
            </w:r>
            <w:r w:rsidR="00C163BA" w:rsidRPr="00697F3B">
              <w:rPr>
                <w:color w:val="000000" w:themeColor="text1"/>
                <w:sz w:val="20"/>
                <w:szCs w:val="20"/>
              </w:rPr>
              <w:t>4,14</w:t>
            </w:r>
          </w:p>
          <w:p w14:paraId="308B992C" w14:textId="77777777" w:rsidR="003E557F" w:rsidRPr="00697F3B" w:rsidRDefault="003E557F"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Min : </w:t>
            </w:r>
            <w:r w:rsidR="008F5110" w:rsidRPr="00697F3B">
              <w:rPr>
                <w:color w:val="000000" w:themeColor="text1"/>
                <w:sz w:val="20"/>
                <w:szCs w:val="20"/>
              </w:rPr>
              <w:t>3</w:t>
            </w:r>
          </w:p>
          <w:p w14:paraId="0B7A7AD2" w14:textId="08201DA6" w:rsidR="008F5110" w:rsidRPr="00697F3B" w:rsidRDefault="008F5110"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5</w:t>
            </w:r>
          </w:p>
        </w:tc>
        <w:tc>
          <w:tcPr>
            <w:tcW w:w="2394" w:type="dxa"/>
            <w:vAlign w:val="center"/>
          </w:tcPr>
          <w:p w14:paraId="51D294F7" w14:textId="77777777" w:rsidR="00C163BA" w:rsidRPr="00697F3B" w:rsidRDefault="008F5110"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w:t>
            </w:r>
            <w:r w:rsidR="00C163BA" w:rsidRPr="00697F3B">
              <w:rPr>
                <w:color w:val="000000" w:themeColor="text1"/>
                <w:sz w:val="20"/>
                <w:szCs w:val="20"/>
              </w:rPr>
              <w:t>4,18</w:t>
            </w:r>
          </w:p>
          <w:p w14:paraId="6D2DC34A" w14:textId="77777777" w:rsidR="008F5110" w:rsidRPr="00697F3B" w:rsidRDefault="008F5110"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3</w:t>
            </w:r>
          </w:p>
          <w:p w14:paraId="4D6BB3BD" w14:textId="11FA6020" w:rsidR="008F5110" w:rsidRPr="00697F3B" w:rsidRDefault="008F5110"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5</w:t>
            </w:r>
          </w:p>
        </w:tc>
        <w:tc>
          <w:tcPr>
            <w:tcW w:w="1979" w:type="dxa"/>
            <w:vAlign w:val="center"/>
          </w:tcPr>
          <w:p w14:paraId="45575C96" w14:textId="22B3E167" w:rsidR="00C163BA"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w:t>
            </w:r>
            <w:r w:rsidR="00C163BA" w:rsidRPr="00697F3B">
              <w:rPr>
                <w:color w:val="000000" w:themeColor="text1"/>
                <w:sz w:val="20"/>
                <w:szCs w:val="20"/>
              </w:rPr>
              <w:t>2,57</w:t>
            </w:r>
          </w:p>
          <w:p w14:paraId="1008009F" w14:textId="27BA5138" w:rsidR="00750F3D"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1</w:t>
            </w:r>
          </w:p>
          <w:p w14:paraId="74C68FE5" w14:textId="31CAA869" w:rsidR="00750F3D"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5</w:t>
            </w:r>
          </w:p>
        </w:tc>
      </w:tr>
      <w:tr w:rsidR="0073059A" w:rsidRPr="00697F3B" w14:paraId="6F183EE6" w14:textId="646A7968" w:rsidTr="00B17FD8">
        <w:trPr>
          <w:jc w:val="center"/>
        </w:trPr>
        <w:tc>
          <w:tcPr>
            <w:cnfStyle w:val="001000000000" w:firstRow="0" w:lastRow="0" w:firstColumn="1" w:lastColumn="0" w:oddVBand="0" w:evenVBand="0" w:oddHBand="0" w:evenHBand="0" w:firstRowFirstColumn="0" w:firstRowLastColumn="0" w:lastRowFirstColumn="0" w:lastRowLastColumn="0"/>
            <w:tcW w:w="3455" w:type="dxa"/>
            <w:vAlign w:val="center"/>
          </w:tcPr>
          <w:p w14:paraId="7853194D" w14:textId="77777777" w:rsidR="00C163BA" w:rsidRPr="00697F3B" w:rsidRDefault="00C163BA" w:rsidP="00282628">
            <w:pPr>
              <w:spacing w:line="360" w:lineRule="auto"/>
              <w:jc w:val="center"/>
              <w:rPr>
                <w:color w:val="000000" w:themeColor="text1"/>
                <w:sz w:val="21"/>
                <w:szCs w:val="21"/>
              </w:rPr>
            </w:pPr>
            <w:r w:rsidRPr="00697F3B">
              <w:rPr>
                <w:color w:val="000000" w:themeColor="text1"/>
                <w:sz w:val="21"/>
                <w:szCs w:val="21"/>
              </w:rPr>
              <w:t>Note extra-financière MSCI (/10)</w:t>
            </w:r>
          </w:p>
        </w:tc>
        <w:tc>
          <w:tcPr>
            <w:tcW w:w="1665" w:type="dxa"/>
            <w:vAlign w:val="center"/>
          </w:tcPr>
          <w:p w14:paraId="3FD710B6" w14:textId="77777777" w:rsidR="00C163BA" w:rsidRPr="00697F3B" w:rsidRDefault="00750F3D" w:rsidP="0028262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w:t>
            </w:r>
            <w:r w:rsidR="00C163BA" w:rsidRPr="00697F3B">
              <w:rPr>
                <w:color w:val="000000" w:themeColor="text1"/>
                <w:sz w:val="20"/>
                <w:szCs w:val="20"/>
              </w:rPr>
              <w:t>7,37</w:t>
            </w:r>
          </w:p>
          <w:p w14:paraId="40E83938" w14:textId="12B6E1E2" w:rsidR="00750F3D" w:rsidRPr="00697F3B" w:rsidRDefault="00750F3D" w:rsidP="0028262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Min : 4,6</w:t>
            </w:r>
          </w:p>
          <w:p w14:paraId="26FEA180" w14:textId="06AB5B8A" w:rsidR="00750F3D" w:rsidRPr="00697F3B" w:rsidRDefault="00750F3D" w:rsidP="0028262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Max : 8,4</w:t>
            </w:r>
          </w:p>
        </w:tc>
        <w:tc>
          <w:tcPr>
            <w:tcW w:w="2394" w:type="dxa"/>
            <w:vAlign w:val="center"/>
          </w:tcPr>
          <w:p w14:paraId="5F3D49EE" w14:textId="77777777" w:rsidR="00C163BA" w:rsidRPr="00697F3B" w:rsidRDefault="00750F3D" w:rsidP="0028262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w:t>
            </w:r>
            <w:r w:rsidR="00C163BA" w:rsidRPr="00697F3B">
              <w:rPr>
                <w:color w:val="000000" w:themeColor="text1"/>
                <w:sz w:val="20"/>
                <w:szCs w:val="20"/>
              </w:rPr>
              <w:t>7,48</w:t>
            </w:r>
          </w:p>
          <w:p w14:paraId="2FE2D7A6" w14:textId="17CFCF81" w:rsidR="00750F3D" w:rsidRPr="00697F3B" w:rsidRDefault="00750F3D" w:rsidP="0028262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Min : 5,9</w:t>
            </w:r>
          </w:p>
          <w:p w14:paraId="49F13BD9" w14:textId="05A072BC" w:rsidR="00750F3D" w:rsidRPr="00697F3B" w:rsidRDefault="00750F3D" w:rsidP="0028262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Max : 8,4</w:t>
            </w:r>
          </w:p>
          <w:p w14:paraId="72810292" w14:textId="2E4E6262" w:rsidR="00750F3D" w:rsidRPr="00697F3B" w:rsidRDefault="00750F3D" w:rsidP="0028262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979" w:type="dxa"/>
            <w:vAlign w:val="center"/>
          </w:tcPr>
          <w:p w14:paraId="2310A3E2" w14:textId="4E709F24" w:rsidR="00C163BA" w:rsidRPr="00697F3B" w:rsidRDefault="00750F3D" w:rsidP="0028262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w:t>
            </w:r>
            <w:r w:rsidR="00C163BA" w:rsidRPr="00697F3B">
              <w:rPr>
                <w:color w:val="000000" w:themeColor="text1"/>
                <w:sz w:val="20"/>
                <w:szCs w:val="20"/>
              </w:rPr>
              <w:t>6,46</w:t>
            </w:r>
          </w:p>
          <w:p w14:paraId="5F6ED631" w14:textId="77777777" w:rsidR="00750F3D" w:rsidRPr="00697F3B" w:rsidRDefault="00750F3D" w:rsidP="0028262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Min : 5</w:t>
            </w:r>
          </w:p>
          <w:p w14:paraId="11867A8D" w14:textId="7A14DB89" w:rsidR="00750F3D" w:rsidRPr="00697F3B" w:rsidRDefault="00750F3D" w:rsidP="0028262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Max : 7,7</w:t>
            </w:r>
          </w:p>
        </w:tc>
      </w:tr>
      <w:tr w:rsidR="0073059A" w:rsidRPr="00697F3B" w14:paraId="4DB411E9" w14:textId="671D56B7" w:rsidTr="00B17FD8">
        <w:trPr>
          <w:cnfStyle w:val="000000100000" w:firstRow="0" w:lastRow="0" w:firstColumn="0" w:lastColumn="0" w:oddVBand="0" w:evenVBand="0" w:oddHBand="1" w:evenHBand="0" w:firstRowFirstColumn="0" w:firstRowLastColumn="0" w:lastRowFirstColumn="0" w:lastRowLastColumn="0"/>
          <w:trHeight w:val="1381"/>
          <w:jc w:val="center"/>
        </w:trPr>
        <w:tc>
          <w:tcPr>
            <w:cnfStyle w:val="001000000000" w:firstRow="0" w:lastRow="0" w:firstColumn="1" w:lastColumn="0" w:oddVBand="0" w:evenVBand="0" w:oddHBand="0" w:evenHBand="0" w:firstRowFirstColumn="0" w:firstRowLastColumn="0" w:lastRowFirstColumn="0" w:lastRowLastColumn="0"/>
            <w:tcW w:w="3455" w:type="dxa"/>
            <w:vAlign w:val="center"/>
          </w:tcPr>
          <w:p w14:paraId="1031E8EE" w14:textId="6732D12C" w:rsidR="00C163BA" w:rsidRPr="00697F3B" w:rsidRDefault="00C163BA" w:rsidP="00282628">
            <w:pPr>
              <w:spacing w:after="240" w:line="360" w:lineRule="auto"/>
              <w:jc w:val="center"/>
              <w:rPr>
                <w:color w:val="000000" w:themeColor="text1"/>
                <w:sz w:val="21"/>
                <w:szCs w:val="21"/>
              </w:rPr>
            </w:pPr>
            <w:r w:rsidRPr="00697F3B">
              <w:rPr>
                <w:color w:val="000000" w:themeColor="text1"/>
                <w:sz w:val="21"/>
                <w:szCs w:val="21"/>
              </w:rPr>
              <w:t xml:space="preserve">Score de durabilité entreprise (12 mois) de Morningstar </w:t>
            </w:r>
            <w:r w:rsidR="001653BB" w:rsidRPr="00697F3B">
              <w:rPr>
                <w:color w:val="000000" w:themeColor="text1"/>
                <w:sz w:val="21"/>
                <w:szCs w:val="21"/>
              </w:rPr>
              <w:t xml:space="preserve"> (risque extra-financier)</w:t>
            </w:r>
          </w:p>
        </w:tc>
        <w:tc>
          <w:tcPr>
            <w:tcW w:w="1665" w:type="dxa"/>
            <w:vAlign w:val="center"/>
          </w:tcPr>
          <w:p w14:paraId="42F940E0" w14:textId="238F6A5D" w:rsidR="00C163BA"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Moyenne :</w:t>
            </w:r>
            <w:r w:rsidR="00896AE7">
              <w:rPr>
                <w:color w:val="000000" w:themeColor="text1"/>
                <w:sz w:val="20"/>
                <w:szCs w:val="20"/>
              </w:rPr>
              <w:t xml:space="preserve"> </w:t>
            </w:r>
            <w:r w:rsidR="00C163BA" w:rsidRPr="00697F3B">
              <w:rPr>
                <w:color w:val="000000" w:themeColor="text1"/>
                <w:sz w:val="20"/>
                <w:szCs w:val="20"/>
              </w:rPr>
              <w:t>19,25</w:t>
            </w:r>
          </w:p>
          <w:p w14:paraId="7C039EC6" w14:textId="77777777" w:rsidR="00750F3D"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13,74</w:t>
            </w:r>
          </w:p>
          <w:p w14:paraId="65C1B12D" w14:textId="2289C642" w:rsidR="00750F3D"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25,74</w:t>
            </w:r>
          </w:p>
        </w:tc>
        <w:tc>
          <w:tcPr>
            <w:tcW w:w="2394" w:type="dxa"/>
            <w:vAlign w:val="center"/>
          </w:tcPr>
          <w:p w14:paraId="0A52E5D5" w14:textId="77777777" w:rsidR="00C163BA"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w:t>
            </w:r>
            <w:r w:rsidR="00C163BA" w:rsidRPr="00697F3B">
              <w:rPr>
                <w:color w:val="000000" w:themeColor="text1"/>
                <w:sz w:val="20"/>
                <w:szCs w:val="20"/>
              </w:rPr>
              <w:t>19,09</w:t>
            </w:r>
          </w:p>
          <w:p w14:paraId="2872356E" w14:textId="77777777" w:rsidR="00750F3D"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16,33</w:t>
            </w:r>
          </w:p>
          <w:p w14:paraId="458DE67C" w14:textId="5F9701AE" w:rsidR="00750F3D"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23,41</w:t>
            </w:r>
          </w:p>
        </w:tc>
        <w:tc>
          <w:tcPr>
            <w:tcW w:w="1979" w:type="dxa"/>
            <w:vAlign w:val="center"/>
          </w:tcPr>
          <w:p w14:paraId="42C815E0" w14:textId="77777777" w:rsidR="00C163BA"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w:t>
            </w:r>
            <w:r w:rsidR="00C163BA" w:rsidRPr="00697F3B">
              <w:rPr>
                <w:color w:val="000000" w:themeColor="text1"/>
                <w:sz w:val="20"/>
                <w:szCs w:val="20"/>
              </w:rPr>
              <w:t>23,94</w:t>
            </w:r>
          </w:p>
          <w:p w14:paraId="6CE306B7" w14:textId="77777777" w:rsidR="00750F3D"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11,27</w:t>
            </w:r>
          </w:p>
          <w:p w14:paraId="52B6E676" w14:textId="70C2B91D" w:rsidR="00750F3D" w:rsidRPr="00697F3B" w:rsidRDefault="00750F3D" w:rsidP="0028262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30,72</w:t>
            </w:r>
          </w:p>
        </w:tc>
      </w:tr>
      <w:tr w:rsidR="00B17FD8" w:rsidRPr="00697F3B" w14:paraId="0C9B3D59" w14:textId="77777777" w:rsidTr="00B17FD8">
        <w:trPr>
          <w:trHeight w:val="1381"/>
          <w:jc w:val="center"/>
        </w:trPr>
        <w:tc>
          <w:tcPr>
            <w:cnfStyle w:val="001000000000" w:firstRow="0" w:lastRow="0" w:firstColumn="1" w:lastColumn="0" w:oddVBand="0" w:evenVBand="0" w:oddHBand="0" w:evenHBand="0" w:firstRowFirstColumn="0" w:firstRowLastColumn="0" w:lastRowFirstColumn="0" w:lastRowLastColumn="0"/>
            <w:tcW w:w="3455" w:type="dxa"/>
            <w:vAlign w:val="center"/>
          </w:tcPr>
          <w:p w14:paraId="3C9762E8" w14:textId="01FED64D" w:rsidR="00B17FD8" w:rsidRPr="00697F3B" w:rsidRDefault="00B17FD8" w:rsidP="00B17FD8">
            <w:pPr>
              <w:spacing w:after="240" w:line="360" w:lineRule="auto"/>
              <w:jc w:val="center"/>
              <w:rPr>
                <w:color w:val="000000" w:themeColor="text1"/>
                <w:sz w:val="21"/>
                <w:szCs w:val="21"/>
              </w:rPr>
            </w:pPr>
            <w:r w:rsidRPr="00697F3B">
              <w:rPr>
                <w:color w:val="000000" w:themeColor="text1"/>
                <w:sz w:val="21"/>
                <w:szCs w:val="21"/>
              </w:rPr>
              <w:t>Risque</w:t>
            </w:r>
            <w:r w:rsidR="00C62488" w:rsidRPr="00697F3B">
              <w:rPr>
                <w:color w:val="000000" w:themeColor="text1"/>
                <w:sz w:val="21"/>
                <w:szCs w:val="21"/>
              </w:rPr>
              <w:t xml:space="preserve"> </w:t>
            </w:r>
            <w:r w:rsidRPr="00697F3B">
              <w:rPr>
                <w:color w:val="000000" w:themeColor="text1"/>
                <w:sz w:val="21"/>
                <w:szCs w:val="21"/>
              </w:rPr>
              <w:t>environnementa</w:t>
            </w:r>
            <w:r w:rsidR="00C62488" w:rsidRPr="00697F3B">
              <w:rPr>
                <w:color w:val="000000" w:themeColor="text1"/>
                <w:sz w:val="21"/>
                <w:szCs w:val="21"/>
              </w:rPr>
              <w:t>l</w:t>
            </w:r>
          </w:p>
        </w:tc>
        <w:tc>
          <w:tcPr>
            <w:tcW w:w="1665" w:type="dxa"/>
            <w:vAlign w:val="center"/>
          </w:tcPr>
          <w:p w14:paraId="6A9021AE" w14:textId="689E5172"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Moyenne : 3,85</w:t>
            </w:r>
          </w:p>
          <w:p w14:paraId="36690939" w14:textId="6673A233"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Min : 1,17 </w:t>
            </w:r>
          </w:p>
          <w:p w14:paraId="16BA45B0" w14:textId="4A53D3AB"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Max : 7,44</w:t>
            </w:r>
          </w:p>
        </w:tc>
        <w:tc>
          <w:tcPr>
            <w:tcW w:w="2394" w:type="dxa"/>
            <w:vAlign w:val="center"/>
          </w:tcPr>
          <w:p w14:paraId="161EFC9A" w14:textId="249CED3E"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Moyenne : 4,105</w:t>
            </w:r>
          </w:p>
          <w:p w14:paraId="3DCD4A48" w14:textId="264F4F15"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Min : 1,17</w:t>
            </w:r>
          </w:p>
          <w:p w14:paraId="03102E88" w14:textId="6D41DDF3"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Max : 7,44</w:t>
            </w:r>
          </w:p>
        </w:tc>
        <w:tc>
          <w:tcPr>
            <w:tcW w:w="1979" w:type="dxa"/>
            <w:vAlign w:val="center"/>
          </w:tcPr>
          <w:p w14:paraId="3EA75203" w14:textId="76D1EEAA"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Moyenne : 4,88</w:t>
            </w:r>
          </w:p>
          <w:p w14:paraId="340203F9" w14:textId="557D73A6"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Min : 2,1</w:t>
            </w:r>
          </w:p>
          <w:p w14:paraId="1ED5D6B9" w14:textId="3C33676C"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Max : 6,84</w:t>
            </w:r>
          </w:p>
        </w:tc>
      </w:tr>
      <w:tr w:rsidR="00B17FD8" w:rsidRPr="00697F3B" w14:paraId="5F308A6F" w14:textId="77777777" w:rsidTr="00B17FD8">
        <w:trPr>
          <w:cnfStyle w:val="000000100000" w:firstRow="0" w:lastRow="0" w:firstColumn="0" w:lastColumn="0" w:oddVBand="0" w:evenVBand="0" w:oddHBand="1" w:evenHBand="0" w:firstRowFirstColumn="0" w:firstRowLastColumn="0" w:lastRowFirstColumn="0" w:lastRowLastColumn="0"/>
          <w:trHeight w:val="1381"/>
          <w:jc w:val="center"/>
        </w:trPr>
        <w:tc>
          <w:tcPr>
            <w:cnfStyle w:val="001000000000" w:firstRow="0" w:lastRow="0" w:firstColumn="1" w:lastColumn="0" w:oddVBand="0" w:evenVBand="0" w:oddHBand="0" w:evenHBand="0" w:firstRowFirstColumn="0" w:firstRowLastColumn="0" w:lastRowFirstColumn="0" w:lastRowLastColumn="0"/>
            <w:tcW w:w="3455" w:type="dxa"/>
            <w:vAlign w:val="center"/>
          </w:tcPr>
          <w:p w14:paraId="4CA65700" w14:textId="4DEF65D3" w:rsidR="00B17FD8" w:rsidRPr="00697F3B" w:rsidRDefault="00B17FD8" w:rsidP="00B17FD8">
            <w:pPr>
              <w:spacing w:after="240" w:line="360" w:lineRule="auto"/>
              <w:jc w:val="center"/>
              <w:rPr>
                <w:color w:val="000000" w:themeColor="text1"/>
                <w:sz w:val="21"/>
                <w:szCs w:val="21"/>
              </w:rPr>
            </w:pPr>
            <w:r w:rsidRPr="00697F3B">
              <w:rPr>
                <w:color w:val="000000" w:themeColor="text1"/>
                <w:sz w:val="21"/>
                <w:szCs w:val="21"/>
              </w:rPr>
              <w:t>Risque socia</w:t>
            </w:r>
            <w:r w:rsidR="00C62488" w:rsidRPr="00697F3B">
              <w:rPr>
                <w:color w:val="000000" w:themeColor="text1"/>
                <w:sz w:val="21"/>
                <w:szCs w:val="21"/>
              </w:rPr>
              <w:t>l</w:t>
            </w:r>
          </w:p>
        </w:tc>
        <w:tc>
          <w:tcPr>
            <w:tcW w:w="1665" w:type="dxa"/>
            <w:vAlign w:val="center"/>
          </w:tcPr>
          <w:p w14:paraId="697ED7D0" w14:textId="4F8D1488"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Moyenne : 7,24</w:t>
            </w:r>
          </w:p>
          <w:p w14:paraId="422A366E" w14:textId="369FFE78"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2,81</w:t>
            </w:r>
          </w:p>
          <w:p w14:paraId="24648613" w14:textId="08026852"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9,5</w:t>
            </w:r>
          </w:p>
        </w:tc>
        <w:tc>
          <w:tcPr>
            <w:tcW w:w="2394" w:type="dxa"/>
            <w:vAlign w:val="center"/>
          </w:tcPr>
          <w:p w14:paraId="5CD97139" w14:textId="0784D7EC"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7,16 </w:t>
            </w:r>
          </w:p>
          <w:p w14:paraId="1CD98A46" w14:textId="4DC69492"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4,76</w:t>
            </w:r>
          </w:p>
          <w:p w14:paraId="3F785008" w14:textId="02F2A5C2"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9,15</w:t>
            </w:r>
          </w:p>
        </w:tc>
        <w:tc>
          <w:tcPr>
            <w:tcW w:w="1979" w:type="dxa"/>
            <w:vAlign w:val="center"/>
          </w:tcPr>
          <w:p w14:paraId="2DE53640" w14:textId="5879A343"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7,84 </w:t>
            </w:r>
          </w:p>
          <w:p w14:paraId="4D5EF5C3" w14:textId="114B132C"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2,58</w:t>
            </w:r>
          </w:p>
          <w:p w14:paraId="05A3278A" w14:textId="3197B71F"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10,03</w:t>
            </w:r>
          </w:p>
        </w:tc>
      </w:tr>
      <w:tr w:rsidR="00B17FD8" w:rsidRPr="00697F3B" w14:paraId="281D7310" w14:textId="77777777" w:rsidTr="00B17FD8">
        <w:trPr>
          <w:trHeight w:val="1381"/>
          <w:jc w:val="center"/>
        </w:trPr>
        <w:tc>
          <w:tcPr>
            <w:cnfStyle w:val="001000000000" w:firstRow="0" w:lastRow="0" w:firstColumn="1" w:lastColumn="0" w:oddVBand="0" w:evenVBand="0" w:oddHBand="0" w:evenHBand="0" w:firstRowFirstColumn="0" w:firstRowLastColumn="0" w:lastRowFirstColumn="0" w:lastRowLastColumn="0"/>
            <w:tcW w:w="3455" w:type="dxa"/>
            <w:vAlign w:val="center"/>
          </w:tcPr>
          <w:p w14:paraId="1F031D24" w14:textId="74223EFE" w:rsidR="00B17FD8" w:rsidRPr="00697F3B" w:rsidRDefault="00B17FD8" w:rsidP="00B17FD8">
            <w:pPr>
              <w:spacing w:after="240" w:line="360" w:lineRule="auto"/>
              <w:jc w:val="center"/>
              <w:rPr>
                <w:color w:val="000000" w:themeColor="text1"/>
                <w:sz w:val="21"/>
                <w:szCs w:val="21"/>
              </w:rPr>
            </w:pPr>
            <w:r w:rsidRPr="00697F3B">
              <w:rPr>
                <w:color w:val="000000" w:themeColor="text1"/>
                <w:sz w:val="21"/>
                <w:szCs w:val="21"/>
              </w:rPr>
              <w:t>Risque de gouvernance</w:t>
            </w:r>
          </w:p>
        </w:tc>
        <w:tc>
          <w:tcPr>
            <w:tcW w:w="1665" w:type="dxa"/>
            <w:vAlign w:val="center"/>
          </w:tcPr>
          <w:p w14:paraId="46059A84" w14:textId="0CA408F9"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Moyenne : 5,86</w:t>
            </w:r>
          </w:p>
          <w:p w14:paraId="600586C1" w14:textId="764FD352"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Min : 3,26</w:t>
            </w:r>
          </w:p>
          <w:p w14:paraId="5581BF00" w14:textId="302D1550"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Max : 8,19</w:t>
            </w:r>
          </w:p>
        </w:tc>
        <w:tc>
          <w:tcPr>
            <w:tcW w:w="2394" w:type="dxa"/>
            <w:vAlign w:val="center"/>
          </w:tcPr>
          <w:p w14:paraId="28323349" w14:textId="2BDB3EC4"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 xml:space="preserve">Moyenne : 5,81 </w:t>
            </w:r>
          </w:p>
          <w:p w14:paraId="28E6423A" w14:textId="03B5C511"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Min : 3,77</w:t>
            </w:r>
          </w:p>
          <w:p w14:paraId="6D89436E" w14:textId="46EF54F2"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Max : 8,19</w:t>
            </w:r>
          </w:p>
        </w:tc>
        <w:tc>
          <w:tcPr>
            <w:tcW w:w="1979" w:type="dxa"/>
            <w:vAlign w:val="center"/>
          </w:tcPr>
          <w:p w14:paraId="56D96970" w14:textId="063F2297"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Moyenne : 6,47</w:t>
            </w:r>
          </w:p>
          <w:p w14:paraId="6DAECE45" w14:textId="17E43A32"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Min : 4,21</w:t>
            </w:r>
          </w:p>
          <w:p w14:paraId="45ECCA66" w14:textId="51EF3E10" w:rsidR="00B17FD8" w:rsidRPr="00697F3B" w:rsidRDefault="00B17FD8" w:rsidP="00B17FD8">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97F3B">
              <w:rPr>
                <w:color w:val="000000" w:themeColor="text1"/>
                <w:sz w:val="20"/>
                <w:szCs w:val="20"/>
              </w:rPr>
              <w:t>Max : 8,32</w:t>
            </w:r>
          </w:p>
        </w:tc>
      </w:tr>
      <w:tr w:rsidR="00B17FD8" w:rsidRPr="00697F3B" w14:paraId="0667D3DB" w14:textId="3FDAFEF7" w:rsidTr="00B17F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55" w:type="dxa"/>
            <w:vAlign w:val="center"/>
          </w:tcPr>
          <w:p w14:paraId="101FF7B5" w14:textId="77777777" w:rsidR="00B17FD8" w:rsidRPr="00697F3B" w:rsidRDefault="00B17FD8" w:rsidP="00B17FD8">
            <w:pPr>
              <w:spacing w:line="360" w:lineRule="auto"/>
              <w:jc w:val="center"/>
              <w:rPr>
                <w:color w:val="000000" w:themeColor="text1"/>
                <w:sz w:val="21"/>
                <w:szCs w:val="21"/>
              </w:rPr>
            </w:pPr>
            <w:r w:rsidRPr="00697F3B">
              <w:rPr>
                <w:color w:val="000000" w:themeColor="text1"/>
                <w:sz w:val="21"/>
                <w:szCs w:val="21"/>
              </w:rPr>
              <w:t>Nombre de domaines contestables dans lequel le fonds est présent (/15)</w:t>
            </w:r>
          </w:p>
        </w:tc>
        <w:tc>
          <w:tcPr>
            <w:tcW w:w="1665" w:type="dxa"/>
            <w:vAlign w:val="center"/>
          </w:tcPr>
          <w:p w14:paraId="0A699B9E" w14:textId="77777777"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Moyenne : 4,07</w:t>
            </w:r>
          </w:p>
          <w:p w14:paraId="690B61CA" w14:textId="43B03E0C"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0</w:t>
            </w:r>
          </w:p>
          <w:p w14:paraId="356E88FC" w14:textId="590ECBEC"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12</w:t>
            </w:r>
          </w:p>
        </w:tc>
        <w:tc>
          <w:tcPr>
            <w:tcW w:w="2394" w:type="dxa"/>
            <w:vAlign w:val="center"/>
          </w:tcPr>
          <w:p w14:paraId="7849E779" w14:textId="77777777"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Moyenne : 3,82</w:t>
            </w:r>
          </w:p>
          <w:p w14:paraId="003233B5" w14:textId="08D74642"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2</w:t>
            </w:r>
          </w:p>
          <w:p w14:paraId="17289908" w14:textId="399343A4"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12</w:t>
            </w:r>
          </w:p>
        </w:tc>
        <w:tc>
          <w:tcPr>
            <w:tcW w:w="1979" w:type="dxa"/>
            <w:vAlign w:val="center"/>
          </w:tcPr>
          <w:p w14:paraId="6A937171" w14:textId="77777777"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Moyenne : 8,37</w:t>
            </w:r>
          </w:p>
          <w:p w14:paraId="2BBBF51F" w14:textId="484D1526"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Min : 0</w:t>
            </w:r>
          </w:p>
          <w:p w14:paraId="6C8A0828" w14:textId="14136D19" w:rsidR="00B17FD8" w:rsidRPr="00697F3B" w:rsidRDefault="00B17FD8" w:rsidP="00B17FD8">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97F3B">
              <w:rPr>
                <w:color w:val="000000" w:themeColor="text1"/>
                <w:sz w:val="20"/>
                <w:szCs w:val="20"/>
              </w:rPr>
              <w:t>Max : 12</w:t>
            </w:r>
          </w:p>
        </w:tc>
      </w:tr>
    </w:tbl>
    <w:p w14:paraId="5DE8FD4F" w14:textId="77777777" w:rsidR="00D660DB" w:rsidRPr="00697F3B" w:rsidRDefault="00D660DB" w:rsidP="003739A1">
      <w:pPr>
        <w:spacing w:line="360" w:lineRule="auto"/>
        <w:jc w:val="both"/>
      </w:pPr>
    </w:p>
    <w:p w14:paraId="7A995D0C" w14:textId="06DE981B" w:rsidR="00C47309" w:rsidRPr="00697F3B" w:rsidRDefault="00A71BD6" w:rsidP="00C62D5C">
      <w:pPr>
        <w:spacing w:after="240" w:line="360" w:lineRule="auto"/>
        <w:jc w:val="both"/>
        <w:rPr>
          <w:color w:val="000000" w:themeColor="text1"/>
        </w:rPr>
      </w:pPr>
      <w:r w:rsidRPr="00697F3B">
        <w:rPr>
          <w:color w:val="000000" w:themeColor="text1"/>
        </w:rPr>
        <w:lastRenderedPageBreak/>
        <w:t>En ce qui concerne maintenant le</w:t>
      </w:r>
      <w:r w:rsidR="007D6AF9" w:rsidRPr="00697F3B">
        <w:rPr>
          <w:color w:val="000000" w:themeColor="text1"/>
        </w:rPr>
        <w:t>s</w:t>
      </w:r>
      <w:r w:rsidRPr="00697F3B">
        <w:rPr>
          <w:color w:val="000000" w:themeColor="text1"/>
        </w:rPr>
        <w:t xml:space="preserve"> test</w:t>
      </w:r>
      <w:r w:rsidR="007D6AF9" w:rsidRPr="00697F3B">
        <w:rPr>
          <w:color w:val="000000" w:themeColor="text1"/>
        </w:rPr>
        <w:t>s</w:t>
      </w:r>
      <w:r w:rsidRPr="00697F3B">
        <w:rPr>
          <w:color w:val="000000" w:themeColor="text1"/>
        </w:rPr>
        <w:t xml:space="preserve"> de nos hypothèses</w:t>
      </w:r>
      <w:r w:rsidR="009246FE" w:rsidRPr="00697F3B">
        <w:rPr>
          <w:color w:val="000000" w:themeColor="text1"/>
        </w:rPr>
        <w:t xml:space="preserve"> principales</w:t>
      </w:r>
      <w:r w:rsidRPr="00697F3B">
        <w:rPr>
          <w:color w:val="000000" w:themeColor="text1"/>
        </w:rPr>
        <w:t>, nos conclusions sont les suivantes</w:t>
      </w:r>
      <w:r w:rsidR="002C1354" w:rsidRPr="00697F3B">
        <w:rPr>
          <w:color w:val="000000" w:themeColor="text1"/>
        </w:rPr>
        <w:t xml:space="preserve"> (voir </w:t>
      </w:r>
      <w:r w:rsidR="00C47309" w:rsidRPr="00697F3B">
        <w:rPr>
          <w:color w:val="000000" w:themeColor="text1"/>
        </w:rPr>
        <w:t>Tableau 2 et 3)</w:t>
      </w:r>
      <w:r w:rsidRPr="00697F3B">
        <w:rPr>
          <w:color w:val="000000" w:themeColor="text1"/>
        </w:rPr>
        <w:t xml:space="preserve">. </w:t>
      </w:r>
    </w:p>
    <w:p w14:paraId="6CB1345C" w14:textId="5D115F63" w:rsidR="00C62D5C" w:rsidRPr="00697F3B" w:rsidRDefault="00904D5A" w:rsidP="00C62D5C">
      <w:pPr>
        <w:pStyle w:val="Paragraphedeliste"/>
        <w:numPr>
          <w:ilvl w:val="0"/>
          <w:numId w:val="6"/>
        </w:numPr>
        <w:spacing w:after="240" w:line="360" w:lineRule="auto"/>
        <w:ind w:left="360"/>
        <w:jc w:val="both"/>
        <w:rPr>
          <w:color w:val="000000" w:themeColor="text1"/>
        </w:rPr>
      </w:pPr>
      <w:r w:rsidRPr="00697F3B">
        <w:rPr>
          <w:rFonts w:ascii="Times New Roman" w:hAnsi="Times New Roman" w:cs="Times New Roman"/>
          <w:color w:val="000000" w:themeColor="text1"/>
        </w:rPr>
        <w:t xml:space="preserve">Contrairement à ce que nous avions </w:t>
      </w:r>
      <w:r w:rsidR="00060C9B" w:rsidRPr="00697F3B">
        <w:rPr>
          <w:rFonts w:ascii="Times New Roman" w:hAnsi="Times New Roman" w:cs="Times New Roman"/>
          <w:color w:val="000000" w:themeColor="text1"/>
        </w:rPr>
        <w:t>proposé dans notre hypothèse 1, i</w:t>
      </w:r>
      <w:r w:rsidR="00511C0E" w:rsidRPr="00697F3B">
        <w:rPr>
          <w:rFonts w:ascii="Times New Roman" w:hAnsi="Times New Roman" w:cs="Times New Roman"/>
          <w:color w:val="000000" w:themeColor="text1"/>
        </w:rPr>
        <w:t xml:space="preserve">l </w:t>
      </w:r>
      <w:r w:rsidR="00F83BDD" w:rsidRPr="00697F3B">
        <w:rPr>
          <w:rFonts w:ascii="Times New Roman" w:hAnsi="Times New Roman" w:cs="Times New Roman"/>
          <w:color w:val="000000" w:themeColor="text1"/>
        </w:rPr>
        <w:t>n’</w:t>
      </w:r>
      <w:r w:rsidR="00D650B8" w:rsidRPr="00697F3B">
        <w:rPr>
          <w:rFonts w:ascii="Times New Roman" w:hAnsi="Times New Roman" w:cs="Times New Roman"/>
          <w:color w:val="000000" w:themeColor="text1"/>
        </w:rPr>
        <w:t xml:space="preserve">y </w:t>
      </w:r>
      <w:r w:rsidR="00511C0E" w:rsidRPr="00697F3B">
        <w:rPr>
          <w:rFonts w:ascii="Times New Roman" w:hAnsi="Times New Roman" w:cs="Times New Roman"/>
          <w:color w:val="000000" w:themeColor="text1"/>
        </w:rPr>
        <w:t xml:space="preserve">a </w:t>
      </w:r>
      <w:r w:rsidR="00F83BDD" w:rsidRPr="00697F3B">
        <w:rPr>
          <w:rFonts w:ascii="Times New Roman" w:hAnsi="Times New Roman" w:cs="Times New Roman"/>
          <w:color w:val="000000" w:themeColor="text1"/>
        </w:rPr>
        <w:t>pas de</w:t>
      </w:r>
      <w:r w:rsidR="00D650B8" w:rsidRPr="00697F3B">
        <w:rPr>
          <w:rFonts w:ascii="Times New Roman" w:hAnsi="Times New Roman" w:cs="Times New Roman"/>
          <w:color w:val="000000" w:themeColor="text1"/>
        </w:rPr>
        <w:t xml:space="preserve"> </w:t>
      </w:r>
      <w:r w:rsidR="00511C0E" w:rsidRPr="00697F3B">
        <w:rPr>
          <w:rFonts w:ascii="Times New Roman" w:hAnsi="Times New Roman" w:cs="Times New Roman"/>
          <w:color w:val="000000" w:themeColor="text1"/>
        </w:rPr>
        <w:t xml:space="preserve">différence </w:t>
      </w:r>
      <w:r w:rsidR="00D650B8" w:rsidRPr="00697F3B">
        <w:rPr>
          <w:rFonts w:ascii="Times New Roman" w:hAnsi="Times New Roman" w:cs="Times New Roman"/>
          <w:color w:val="000000" w:themeColor="text1"/>
        </w:rPr>
        <w:t xml:space="preserve">statistiquement significative </w:t>
      </w:r>
      <w:r w:rsidR="00511C0E" w:rsidRPr="00697F3B">
        <w:rPr>
          <w:rFonts w:ascii="Times New Roman" w:hAnsi="Times New Roman" w:cs="Times New Roman"/>
          <w:color w:val="000000" w:themeColor="text1"/>
        </w:rPr>
        <w:t>entre les notes extra-financières attribuées par les différents évaluateurs</w:t>
      </w:r>
      <w:r w:rsidR="007D6AF9" w:rsidRPr="00697F3B">
        <w:rPr>
          <w:rFonts w:ascii="Times New Roman" w:hAnsi="Times New Roman" w:cs="Times New Roman"/>
          <w:color w:val="000000" w:themeColor="text1"/>
        </w:rPr>
        <w:t>.</w:t>
      </w:r>
      <w:r w:rsidR="00F83BDD" w:rsidRPr="00697F3B">
        <w:rPr>
          <w:rFonts w:ascii="Times New Roman" w:hAnsi="Times New Roman" w:cs="Times New Roman"/>
          <w:color w:val="000000" w:themeColor="text1"/>
        </w:rPr>
        <w:t xml:space="preserve"> </w:t>
      </w:r>
    </w:p>
    <w:p w14:paraId="561DB21B" w14:textId="0289CD37" w:rsidR="00A17274" w:rsidRPr="00697F3B" w:rsidRDefault="00BA6305" w:rsidP="001A2A62">
      <w:pPr>
        <w:pStyle w:val="Paragraphedeliste"/>
        <w:spacing w:after="240" w:line="360" w:lineRule="auto"/>
        <w:ind w:left="360"/>
        <w:jc w:val="center"/>
        <w:rPr>
          <w:color w:val="000000" w:themeColor="text1"/>
        </w:rPr>
      </w:pPr>
      <w:r w:rsidRPr="00697F3B">
        <w:rPr>
          <w:rFonts w:ascii="Times New Roman" w:hAnsi="Times New Roman" w:cs="Times New Roman"/>
          <w:color w:val="000000" w:themeColor="text1"/>
          <w:sz w:val="18"/>
          <w:szCs w:val="18"/>
        </w:rPr>
        <w:t xml:space="preserve">Tableau 2: Récapitulatif du test d'hypothèse pour l’hypothèse </w:t>
      </w:r>
      <w:r w:rsidR="00AE5C35" w:rsidRPr="00697F3B">
        <w:rPr>
          <w:rFonts w:ascii="Times New Roman" w:hAnsi="Times New Roman" w:cs="Times New Roman"/>
          <w:color w:val="000000" w:themeColor="text1"/>
          <w:sz w:val="18"/>
          <w:szCs w:val="18"/>
        </w:rPr>
        <w:t>1</w:t>
      </w:r>
      <w:r w:rsidRPr="00697F3B">
        <w:rPr>
          <w:rFonts w:ascii="Times New Roman" w:hAnsi="Times New Roman" w:cs="Times New Roman"/>
          <w:color w:val="000000" w:themeColor="text1"/>
          <w:sz w:val="18"/>
          <w:szCs w:val="18"/>
        </w:rPr>
        <w:t xml:space="preserve"> (test de classement de Wilcoxon pour échantillons</w:t>
      </w:r>
      <w:r w:rsidRPr="00697F3B">
        <w:rPr>
          <w:color w:val="000000" w:themeColor="text1"/>
          <w:sz w:val="18"/>
          <w:szCs w:val="18"/>
        </w:rPr>
        <w:t xml:space="preserve"> liés)</w:t>
      </w:r>
    </w:p>
    <w:tbl>
      <w:tblPr>
        <w:tblW w:w="7787" w:type="dxa"/>
        <w:jc w:val="center"/>
        <w:tblLayout w:type="fixed"/>
        <w:tblCellMar>
          <w:left w:w="10" w:type="dxa"/>
          <w:right w:w="10" w:type="dxa"/>
        </w:tblCellMar>
        <w:tblLook w:val="0000" w:firstRow="0" w:lastRow="0" w:firstColumn="0" w:lastColumn="0" w:noHBand="0" w:noVBand="0"/>
      </w:tblPr>
      <w:tblGrid>
        <w:gridCol w:w="5944"/>
        <w:gridCol w:w="1843"/>
      </w:tblGrid>
      <w:tr w:rsidR="00BA6305" w:rsidRPr="00697F3B" w14:paraId="2E877B27" w14:textId="77777777" w:rsidTr="008A36BE">
        <w:trPr>
          <w:jc w:val="center"/>
        </w:trPr>
        <w:tc>
          <w:tcPr>
            <w:tcW w:w="5944" w:type="dxa"/>
            <w:tcBorders>
              <w:top w:val="none" w:sz="1" w:space="0" w:color="152935"/>
              <w:left w:val="none" w:sz="1" w:space="0" w:color="152935"/>
              <w:bottom w:val="single" w:sz="1" w:space="0" w:color="152935"/>
              <w:right w:val="single" w:sz="1" w:space="0" w:color="E0E0E0"/>
            </w:tcBorders>
            <w:shd w:val="clear" w:color="auto" w:fill="FFFFFF"/>
            <w:vAlign w:val="bottom"/>
          </w:tcPr>
          <w:p w14:paraId="466FC907" w14:textId="77777777" w:rsidR="00BA6305" w:rsidRPr="00697F3B" w:rsidRDefault="00BA6305" w:rsidP="00B31DC8">
            <w:pPr>
              <w:spacing w:before="10" w:after="10"/>
              <w:ind w:left="30" w:right="40"/>
              <w:jc w:val="center"/>
              <w:rPr>
                <w:sz w:val="20"/>
                <w:szCs w:val="20"/>
              </w:rPr>
            </w:pPr>
            <w:r w:rsidRPr="00697F3B">
              <w:rPr>
                <w:rFonts w:eastAsia="Arial"/>
                <w:color w:val="264A60"/>
                <w:sz w:val="20"/>
                <w:szCs w:val="20"/>
              </w:rPr>
              <w:t>Hypothèse nulle</w:t>
            </w:r>
          </w:p>
        </w:tc>
        <w:tc>
          <w:tcPr>
            <w:tcW w:w="1843" w:type="dxa"/>
            <w:tcBorders>
              <w:top w:val="none" w:sz="1" w:space="0" w:color="152935"/>
              <w:left w:val="single" w:sz="1" w:space="0" w:color="E0E0E0"/>
              <w:bottom w:val="single" w:sz="1" w:space="0" w:color="152935"/>
              <w:right w:val="single" w:sz="1" w:space="0" w:color="E0E0E0"/>
            </w:tcBorders>
            <w:shd w:val="clear" w:color="auto" w:fill="FFFFFF"/>
            <w:vAlign w:val="bottom"/>
          </w:tcPr>
          <w:p w14:paraId="492B7AA8" w14:textId="446D4AF1" w:rsidR="00BA6305" w:rsidRPr="00697F3B" w:rsidRDefault="00BA6305" w:rsidP="00B31DC8">
            <w:pPr>
              <w:spacing w:before="10" w:after="10"/>
              <w:ind w:left="30" w:right="40"/>
              <w:jc w:val="center"/>
              <w:rPr>
                <w:sz w:val="20"/>
                <w:szCs w:val="20"/>
              </w:rPr>
            </w:pPr>
            <w:proofErr w:type="spellStart"/>
            <w:r w:rsidRPr="00697F3B">
              <w:rPr>
                <w:rFonts w:eastAsia="Arial"/>
                <w:color w:val="264A60"/>
                <w:sz w:val="20"/>
                <w:szCs w:val="20"/>
              </w:rPr>
              <w:t>Sig</w:t>
            </w:r>
            <w:proofErr w:type="spellEnd"/>
          </w:p>
        </w:tc>
      </w:tr>
      <w:tr w:rsidR="00BA6305" w:rsidRPr="00697F3B" w14:paraId="6AE5829E" w14:textId="77777777" w:rsidTr="008A36BE">
        <w:trPr>
          <w:jc w:val="center"/>
        </w:trPr>
        <w:tc>
          <w:tcPr>
            <w:tcW w:w="5944" w:type="dxa"/>
            <w:tcBorders>
              <w:top w:val="single" w:sz="1" w:space="0" w:color="152935"/>
              <w:left w:val="none" w:sz="1" w:space="0" w:color="152935"/>
              <w:bottom w:val="single" w:sz="1" w:space="0" w:color="152935"/>
              <w:right w:val="single" w:sz="1" w:space="0" w:color="E0E0E0"/>
            </w:tcBorders>
            <w:shd w:val="clear" w:color="auto" w:fill="F9F9FB"/>
          </w:tcPr>
          <w:p w14:paraId="06C385D2" w14:textId="3B9ADCCB" w:rsidR="00BA6305" w:rsidRPr="00697F3B" w:rsidRDefault="00BA6305" w:rsidP="00C62D5C">
            <w:pPr>
              <w:spacing w:before="15"/>
              <w:ind w:left="30" w:right="40"/>
              <w:jc w:val="center"/>
              <w:rPr>
                <w:rFonts w:eastAsia="Arial"/>
                <w:color w:val="010205"/>
                <w:sz w:val="20"/>
                <w:szCs w:val="20"/>
              </w:rPr>
            </w:pPr>
            <w:r w:rsidRPr="00697F3B">
              <w:rPr>
                <w:rFonts w:eastAsia="Arial"/>
                <w:color w:val="010205"/>
                <w:sz w:val="20"/>
                <w:szCs w:val="20"/>
              </w:rPr>
              <w:t xml:space="preserve">La médiane des différences entre « La cote de durabilité </w:t>
            </w:r>
            <w:proofErr w:type="spellStart"/>
            <w:r w:rsidRPr="00697F3B">
              <w:rPr>
                <w:rFonts w:eastAsia="Arial"/>
                <w:color w:val="010205"/>
                <w:sz w:val="20"/>
                <w:szCs w:val="20"/>
              </w:rPr>
              <w:t>Morningstar</w:t>
            </w:r>
            <w:proofErr w:type="spellEnd"/>
            <w:r w:rsidRPr="00697F3B">
              <w:rPr>
                <w:rFonts w:eastAsia="Arial"/>
                <w:color w:val="010205"/>
                <w:sz w:val="20"/>
                <w:szCs w:val="20"/>
              </w:rPr>
              <w:t xml:space="preserve"> (/5) » remise sur 10 et « La note extra-financière de MSCI disponible sur </w:t>
            </w:r>
            <w:proofErr w:type="spellStart"/>
            <w:r w:rsidRPr="00697F3B">
              <w:rPr>
                <w:rFonts w:eastAsia="Arial"/>
                <w:color w:val="010205"/>
                <w:sz w:val="20"/>
                <w:szCs w:val="20"/>
              </w:rPr>
              <w:t>FactSet</w:t>
            </w:r>
            <w:proofErr w:type="spellEnd"/>
            <w:r w:rsidRPr="00697F3B">
              <w:rPr>
                <w:rFonts w:eastAsia="Arial"/>
                <w:color w:val="010205"/>
                <w:sz w:val="20"/>
                <w:szCs w:val="20"/>
              </w:rPr>
              <w:t xml:space="preserve"> (/10) » est égale à 0.</w:t>
            </w:r>
          </w:p>
        </w:tc>
        <w:tc>
          <w:tcPr>
            <w:tcW w:w="1843" w:type="dxa"/>
            <w:tcBorders>
              <w:top w:val="single" w:sz="1" w:space="0" w:color="152935"/>
              <w:left w:val="single" w:sz="1" w:space="0" w:color="E0E0E0"/>
              <w:bottom w:val="single" w:sz="1" w:space="0" w:color="152935"/>
              <w:right w:val="single" w:sz="1" w:space="0" w:color="E0E0E0"/>
            </w:tcBorders>
            <w:shd w:val="clear" w:color="auto" w:fill="F9F9FB"/>
          </w:tcPr>
          <w:p w14:paraId="0FB0ED83" w14:textId="77777777" w:rsidR="00C47309" w:rsidRPr="00697F3B" w:rsidRDefault="00C47309" w:rsidP="00BA6305">
            <w:pPr>
              <w:spacing w:before="15" w:after="10"/>
              <w:ind w:left="30" w:right="40"/>
              <w:jc w:val="center"/>
              <w:rPr>
                <w:rFonts w:eastAsia="Arial"/>
                <w:color w:val="010205"/>
                <w:sz w:val="20"/>
                <w:szCs w:val="20"/>
              </w:rPr>
            </w:pPr>
          </w:p>
          <w:p w14:paraId="6DE1C5E4" w14:textId="5BDEDC29" w:rsidR="00BA6305" w:rsidRPr="00697F3B" w:rsidRDefault="00BA6305" w:rsidP="00BA6305">
            <w:pPr>
              <w:spacing w:before="15" w:after="10"/>
              <w:ind w:left="30" w:right="40"/>
              <w:jc w:val="center"/>
              <w:rPr>
                <w:rFonts w:eastAsia="Arial"/>
                <w:color w:val="010205"/>
                <w:sz w:val="20"/>
                <w:szCs w:val="20"/>
              </w:rPr>
            </w:pPr>
            <w:r w:rsidRPr="00697F3B">
              <w:rPr>
                <w:rFonts w:eastAsia="Arial"/>
                <w:color w:val="010205"/>
                <w:sz w:val="20"/>
                <w:szCs w:val="20"/>
              </w:rPr>
              <w:t xml:space="preserve">,507 </w:t>
            </w:r>
          </w:p>
          <w:p w14:paraId="6D93EE21" w14:textId="02FA6AC6" w:rsidR="00BA6305" w:rsidRPr="00697F3B" w:rsidRDefault="00BA6305" w:rsidP="00BA6305">
            <w:pPr>
              <w:spacing w:before="15" w:after="10"/>
              <w:ind w:left="30" w:right="40"/>
              <w:jc w:val="center"/>
              <w:rPr>
                <w:rFonts w:eastAsia="Arial"/>
                <w:color w:val="010205"/>
                <w:sz w:val="20"/>
                <w:szCs w:val="20"/>
              </w:rPr>
            </w:pPr>
          </w:p>
        </w:tc>
      </w:tr>
    </w:tbl>
    <w:p w14:paraId="16BB4ECE" w14:textId="77777777" w:rsidR="00A17274" w:rsidRPr="00697F3B" w:rsidRDefault="00A17274" w:rsidP="00C62D5C">
      <w:pPr>
        <w:spacing w:line="360" w:lineRule="auto"/>
        <w:jc w:val="both"/>
        <w:rPr>
          <w:color w:val="ED7D31" w:themeColor="accent2"/>
        </w:rPr>
      </w:pPr>
    </w:p>
    <w:p w14:paraId="691306F3" w14:textId="031EA491" w:rsidR="00352454" w:rsidRPr="00697F3B" w:rsidRDefault="00876410" w:rsidP="00352454">
      <w:pPr>
        <w:pStyle w:val="Paragraphedeliste"/>
        <w:numPr>
          <w:ilvl w:val="0"/>
          <w:numId w:val="6"/>
        </w:numPr>
        <w:spacing w:after="240" w:line="360" w:lineRule="auto"/>
        <w:jc w:val="both"/>
        <w:rPr>
          <w:rFonts w:ascii="Times New Roman" w:hAnsi="Times New Roman" w:cs="Times New Roman"/>
          <w:color w:val="000000" w:themeColor="text1"/>
        </w:rPr>
      </w:pPr>
      <w:r w:rsidRPr="00697F3B">
        <w:rPr>
          <w:rFonts w:ascii="Times New Roman" w:hAnsi="Times New Roman" w:cs="Times New Roman"/>
          <w:color w:val="000000" w:themeColor="text1"/>
        </w:rPr>
        <w:t>En ce qui concerne H</w:t>
      </w:r>
      <w:r w:rsidR="00A71BD6" w:rsidRPr="00697F3B">
        <w:rPr>
          <w:rFonts w:ascii="Times New Roman" w:hAnsi="Times New Roman" w:cs="Times New Roman"/>
          <w:color w:val="000000" w:themeColor="text1"/>
          <w:vertAlign w:val="subscript"/>
        </w:rPr>
        <w:t>2</w:t>
      </w:r>
      <w:r w:rsidR="001A2A62" w:rsidRPr="00697F3B">
        <w:rPr>
          <w:rFonts w:ascii="Times New Roman" w:hAnsi="Times New Roman" w:cs="Times New Roman"/>
          <w:color w:val="000000" w:themeColor="text1"/>
        </w:rPr>
        <w:t>, notre étude montre</w:t>
      </w:r>
      <w:r w:rsidR="000D78C3" w:rsidRPr="00697F3B">
        <w:rPr>
          <w:rFonts w:ascii="Times New Roman" w:hAnsi="Times New Roman" w:cs="Times New Roman"/>
          <w:color w:val="000000" w:themeColor="text1"/>
        </w:rPr>
        <w:t>, contrairement à ce que nous imaginions,</w:t>
      </w:r>
      <w:r w:rsidR="001A2A62" w:rsidRPr="00697F3B">
        <w:rPr>
          <w:rFonts w:ascii="Times New Roman" w:hAnsi="Times New Roman" w:cs="Times New Roman"/>
          <w:color w:val="000000" w:themeColor="text1"/>
        </w:rPr>
        <w:t xml:space="preserve"> qu’</w:t>
      </w:r>
      <w:r w:rsidRPr="00697F3B">
        <w:rPr>
          <w:rFonts w:ascii="Times New Roman" w:hAnsi="Times New Roman" w:cs="Times New Roman"/>
          <w:color w:val="000000" w:themeColor="text1"/>
        </w:rPr>
        <w:t>i</w:t>
      </w:r>
      <w:r w:rsidR="00511C0E" w:rsidRPr="00697F3B">
        <w:rPr>
          <w:rFonts w:ascii="Times New Roman" w:hAnsi="Times New Roman" w:cs="Times New Roman"/>
          <w:color w:val="000000" w:themeColor="text1"/>
        </w:rPr>
        <w:t xml:space="preserve">l </w:t>
      </w:r>
      <w:r w:rsidR="001A2A62" w:rsidRPr="00697F3B">
        <w:rPr>
          <w:rFonts w:ascii="Times New Roman" w:hAnsi="Times New Roman" w:cs="Times New Roman"/>
          <w:color w:val="000000" w:themeColor="text1"/>
        </w:rPr>
        <w:t>existe</w:t>
      </w:r>
      <w:r w:rsidR="00F653D7" w:rsidRPr="00697F3B">
        <w:rPr>
          <w:rFonts w:ascii="Times New Roman" w:hAnsi="Times New Roman" w:cs="Times New Roman"/>
          <w:color w:val="000000" w:themeColor="text1"/>
        </w:rPr>
        <w:t xml:space="preserve"> une </w:t>
      </w:r>
      <w:r w:rsidR="00511C0E" w:rsidRPr="00697F3B">
        <w:rPr>
          <w:rFonts w:ascii="Times New Roman" w:hAnsi="Times New Roman" w:cs="Times New Roman"/>
          <w:color w:val="000000" w:themeColor="text1"/>
        </w:rPr>
        <w:t xml:space="preserve">différence </w:t>
      </w:r>
      <w:r w:rsidR="007E4B04" w:rsidRPr="00697F3B">
        <w:rPr>
          <w:rFonts w:ascii="Times New Roman" w:hAnsi="Times New Roman" w:cs="Times New Roman"/>
          <w:color w:val="000000" w:themeColor="text1"/>
        </w:rPr>
        <w:t xml:space="preserve">statistiquement significative </w:t>
      </w:r>
      <w:r w:rsidR="00511C0E" w:rsidRPr="00697F3B">
        <w:rPr>
          <w:rFonts w:ascii="Times New Roman" w:hAnsi="Times New Roman" w:cs="Times New Roman"/>
          <w:color w:val="000000" w:themeColor="text1"/>
        </w:rPr>
        <w:t>entre</w:t>
      </w:r>
      <w:r w:rsidR="00EA38AB" w:rsidRPr="00697F3B">
        <w:rPr>
          <w:rFonts w:ascii="Times New Roman" w:hAnsi="Times New Roman" w:cs="Times New Roman"/>
          <w:color w:val="000000" w:themeColor="text1"/>
        </w:rPr>
        <w:t xml:space="preserve"> </w:t>
      </w:r>
      <w:r w:rsidR="007D6AF9" w:rsidRPr="00697F3B">
        <w:rPr>
          <w:rFonts w:ascii="Times New Roman" w:hAnsi="Times New Roman" w:cs="Times New Roman"/>
          <w:color w:val="000000" w:themeColor="text1"/>
        </w:rPr>
        <w:t>la performance extra-financière</w:t>
      </w:r>
      <w:r w:rsidR="00EA38AB" w:rsidRPr="00697F3B">
        <w:rPr>
          <w:rFonts w:ascii="Times New Roman" w:hAnsi="Times New Roman" w:cs="Times New Roman"/>
          <w:color w:val="000000" w:themeColor="text1"/>
        </w:rPr>
        <w:t xml:space="preserve"> des fonds d’investissement socialement responsables et </w:t>
      </w:r>
      <w:r w:rsidR="007D6AF9" w:rsidRPr="00697F3B">
        <w:rPr>
          <w:rFonts w:ascii="Times New Roman" w:hAnsi="Times New Roman" w:cs="Times New Roman"/>
          <w:color w:val="000000" w:themeColor="text1"/>
        </w:rPr>
        <w:t>la performance extra-financière des équivalents</w:t>
      </w:r>
      <w:r w:rsidR="00EA38AB" w:rsidRPr="00697F3B">
        <w:rPr>
          <w:rFonts w:ascii="Times New Roman" w:hAnsi="Times New Roman" w:cs="Times New Roman"/>
          <w:color w:val="000000" w:themeColor="text1"/>
        </w:rPr>
        <w:t xml:space="preserve"> traditionnels. Effectivement, que ce soit pour notre échantillon complet ou pour notre échantillon réduit (seconde vérification via L’</w:t>
      </w:r>
      <w:r w:rsidR="00DD3EEF">
        <w:rPr>
          <w:rFonts w:ascii="Times New Roman" w:hAnsi="Times New Roman" w:cs="Times New Roman"/>
          <w:color w:val="000000" w:themeColor="text1"/>
        </w:rPr>
        <w:t>É</w:t>
      </w:r>
      <w:r w:rsidR="00DD3EEF" w:rsidRPr="00697F3B">
        <w:rPr>
          <w:rFonts w:ascii="Times New Roman" w:hAnsi="Times New Roman" w:cs="Times New Roman"/>
          <w:color w:val="000000" w:themeColor="text1"/>
        </w:rPr>
        <w:t>cho</w:t>
      </w:r>
      <w:r w:rsidR="00EA38AB" w:rsidRPr="00697F3B">
        <w:rPr>
          <w:rFonts w:ascii="Times New Roman" w:hAnsi="Times New Roman" w:cs="Times New Roman"/>
          <w:color w:val="000000" w:themeColor="text1"/>
        </w:rPr>
        <w:t xml:space="preserve"> pour rappel), l’ensemble des sous-hypothèses nulles relatives aux </w:t>
      </w:r>
      <w:r w:rsidR="00AE5C35" w:rsidRPr="00697F3B">
        <w:rPr>
          <w:rFonts w:ascii="Times New Roman" w:hAnsi="Times New Roman" w:cs="Times New Roman"/>
          <w:color w:val="000000" w:themeColor="text1"/>
        </w:rPr>
        <w:t>dix</w:t>
      </w:r>
      <w:r w:rsidR="00EA38AB" w:rsidRPr="00697F3B">
        <w:rPr>
          <w:rFonts w:ascii="Times New Roman" w:hAnsi="Times New Roman" w:cs="Times New Roman"/>
          <w:color w:val="000000" w:themeColor="text1"/>
        </w:rPr>
        <w:t xml:space="preserve"> indicateurs extra-financiers utilisés ont été rejetées. </w:t>
      </w:r>
      <w:r w:rsidR="00AB7014">
        <w:rPr>
          <w:rFonts w:ascii="Times New Roman" w:hAnsi="Times New Roman" w:cs="Times New Roman"/>
          <w:color w:val="000000" w:themeColor="text1"/>
        </w:rPr>
        <w:t>L</w:t>
      </w:r>
      <w:r w:rsidR="00EA38AB" w:rsidRPr="00697F3B">
        <w:rPr>
          <w:rFonts w:ascii="Times New Roman" w:hAnsi="Times New Roman" w:cs="Times New Roman"/>
          <w:color w:val="000000" w:themeColor="text1"/>
        </w:rPr>
        <w:t xml:space="preserve">a différence est en faveur des fonds ISR pour </w:t>
      </w:r>
      <w:r w:rsidR="00AE5C35" w:rsidRPr="00697F3B">
        <w:rPr>
          <w:rFonts w:ascii="Times New Roman" w:hAnsi="Times New Roman" w:cs="Times New Roman"/>
          <w:color w:val="000000" w:themeColor="text1"/>
        </w:rPr>
        <w:t>huit</w:t>
      </w:r>
      <w:r w:rsidR="007C2D50" w:rsidRPr="00697F3B">
        <w:rPr>
          <w:rFonts w:ascii="Times New Roman" w:hAnsi="Times New Roman" w:cs="Times New Roman"/>
          <w:color w:val="000000" w:themeColor="text1"/>
        </w:rPr>
        <w:t xml:space="preserve"> </w:t>
      </w:r>
      <w:r w:rsidR="0053591B" w:rsidRPr="00697F3B">
        <w:rPr>
          <w:rFonts w:ascii="Times New Roman" w:hAnsi="Times New Roman" w:cs="Times New Roman"/>
          <w:color w:val="000000" w:themeColor="text1"/>
        </w:rPr>
        <w:t>des</w:t>
      </w:r>
      <w:r w:rsidR="007D6AF9" w:rsidRPr="00697F3B">
        <w:rPr>
          <w:rFonts w:ascii="Times New Roman" w:hAnsi="Times New Roman" w:cs="Times New Roman"/>
          <w:color w:val="000000" w:themeColor="text1"/>
        </w:rPr>
        <w:t xml:space="preserve"> </w:t>
      </w:r>
      <w:r w:rsidR="00AE5C35" w:rsidRPr="00697F3B">
        <w:rPr>
          <w:rFonts w:ascii="Times New Roman" w:hAnsi="Times New Roman" w:cs="Times New Roman"/>
          <w:color w:val="000000" w:themeColor="text1"/>
        </w:rPr>
        <w:t>dix</w:t>
      </w:r>
      <w:r w:rsidR="0053591B" w:rsidRPr="00697F3B">
        <w:rPr>
          <w:rFonts w:ascii="Times New Roman" w:hAnsi="Times New Roman" w:cs="Times New Roman"/>
          <w:color w:val="000000" w:themeColor="text1"/>
        </w:rPr>
        <w:t xml:space="preserve"> </w:t>
      </w:r>
      <w:r w:rsidR="00EA38AB" w:rsidRPr="00697F3B">
        <w:rPr>
          <w:rFonts w:ascii="Times New Roman" w:hAnsi="Times New Roman" w:cs="Times New Roman"/>
          <w:color w:val="000000" w:themeColor="text1"/>
        </w:rPr>
        <w:t>indicateurs</w:t>
      </w:r>
      <w:r w:rsidR="0053591B" w:rsidRPr="00697F3B">
        <w:rPr>
          <w:rFonts w:ascii="Times New Roman" w:hAnsi="Times New Roman" w:cs="Times New Roman"/>
          <w:color w:val="000000" w:themeColor="text1"/>
        </w:rPr>
        <w:t xml:space="preserve"> (indicateurs 1,2,3,5</w:t>
      </w:r>
      <w:r w:rsidR="00AE5C35" w:rsidRPr="00697F3B">
        <w:rPr>
          <w:rFonts w:ascii="Times New Roman" w:hAnsi="Times New Roman" w:cs="Times New Roman"/>
          <w:color w:val="000000" w:themeColor="text1"/>
        </w:rPr>
        <w:t>,6,7,8</w:t>
      </w:r>
      <w:r w:rsidR="0053591B" w:rsidRPr="00697F3B">
        <w:rPr>
          <w:rFonts w:ascii="Times New Roman" w:hAnsi="Times New Roman" w:cs="Times New Roman"/>
          <w:color w:val="000000" w:themeColor="text1"/>
        </w:rPr>
        <w:t xml:space="preserve"> et </w:t>
      </w:r>
      <w:r w:rsidR="00AE5C35" w:rsidRPr="00697F3B">
        <w:rPr>
          <w:rFonts w:ascii="Times New Roman" w:hAnsi="Times New Roman" w:cs="Times New Roman"/>
          <w:color w:val="000000" w:themeColor="text1"/>
        </w:rPr>
        <w:t>9</w:t>
      </w:r>
      <w:r w:rsidR="0053591B" w:rsidRPr="00697F3B">
        <w:rPr>
          <w:rFonts w:ascii="Times New Roman" w:hAnsi="Times New Roman" w:cs="Times New Roman"/>
          <w:color w:val="000000" w:themeColor="text1"/>
        </w:rPr>
        <w:t xml:space="preserve"> du Tableau 2)</w:t>
      </w:r>
      <w:r w:rsidR="00EA38AB" w:rsidRPr="00697F3B">
        <w:rPr>
          <w:rFonts w:ascii="Times New Roman" w:hAnsi="Times New Roman" w:cs="Times New Roman"/>
          <w:color w:val="000000" w:themeColor="text1"/>
        </w:rPr>
        <w:t xml:space="preserve">. </w:t>
      </w:r>
    </w:p>
    <w:p w14:paraId="6EDF7713" w14:textId="58C4DFA7" w:rsidR="00DF6E07" w:rsidRPr="00697F3B" w:rsidRDefault="003E1228" w:rsidP="00733375">
      <w:pPr>
        <w:spacing w:after="240" w:line="360" w:lineRule="auto"/>
        <w:ind w:left="360"/>
        <w:jc w:val="center"/>
        <w:rPr>
          <w:color w:val="000000" w:themeColor="text1"/>
        </w:rPr>
      </w:pPr>
      <w:r w:rsidRPr="00697F3B">
        <w:rPr>
          <w:color w:val="000000" w:themeColor="text1"/>
          <w:sz w:val="18"/>
          <w:szCs w:val="18"/>
        </w:rPr>
        <w:t xml:space="preserve">Tableau </w:t>
      </w:r>
      <w:r w:rsidR="00927103" w:rsidRPr="00697F3B">
        <w:rPr>
          <w:color w:val="000000" w:themeColor="text1"/>
          <w:sz w:val="18"/>
          <w:szCs w:val="18"/>
        </w:rPr>
        <w:t>3</w:t>
      </w:r>
      <w:r w:rsidR="00DF6E07" w:rsidRPr="00697F3B">
        <w:rPr>
          <w:color w:val="000000" w:themeColor="text1"/>
          <w:sz w:val="18"/>
          <w:szCs w:val="18"/>
        </w:rPr>
        <w:t>:</w:t>
      </w:r>
      <w:r w:rsidR="002A0B50" w:rsidRPr="00697F3B">
        <w:rPr>
          <w:color w:val="000000" w:themeColor="text1"/>
          <w:sz w:val="18"/>
          <w:szCs w:val="18"/>
        </w:rPr>
        <w:t xml:space="preserve"> </w:t>
      </w:r>
      <w:r w:rsidR="00DF6E07" w:rsidRPr="00697F3B">
        <w:rPr>
          <w:rFonts w:eastAsiaTheme="minorHAnsi"/>
          <w:color w:val="000000" w:themeColor="text1"/>
          <w:sz w:val="18"/>
          <w:szCs w:val="18"/>
        </w:rPr>
        <w:t xml:space="preserve">Récapitulatif du test d'hypothèse </w:t>
      </w:r>
      <w:r w:rsidR="00065F7B" w:rsidRPr="00697F3B">
        <w:rPr>
          <w:rFonts w:eastAsiaTheme="minorHAnsi"/>
          <w:color w:val="000000" w:themeColor="text1"/>
          <w:sz w:val="18"/>
          <w:szCs w:val="18"/>
        </w:rPr>
        <w:t xml:space="preserve">pour l’hypothèse </w:t>
      </w:r>
      <w:r w:rsidR="00AE5C35" w:rsidRPr="00697F3B">
        <w:rPr>
          <w:rFonts w:eastAsiaTheme="minorHAnsi"/>
          <w:color w:val="000000" w:themeColor="text1"/>
          <w:sz w:val="18"/>
          <w:szCs w:val="18"/>
        </w:rPr>
        <w:t xml:space="preserve">2 </w:t>
      </w:r>
      <w:r w:rsidR="00065F7B" w:rsidRPr="00697F3B">
        <w:rPr>
          <w:rFonts w:eastAsiaTheme="minorHAnsi"/>
          <w:color w:val="000000" w:themeColor="text1"/>
          <w:sz w:val="18"/>
          <w:szCs w:val="18"/>
          <w:vertAlign w:val="subscript"/>
        </w:rPr>
        <w:t xml:space="preserve"> </w:t>
      </w:r>
      <w:r w:rsidR="00065F7B" w:rsidRPr="00697F3B">
        <w:rPr>
          <w:rFonts w:eastAsiaTheme="minorHAnsi"/>
          <w:color w:val="000000" w:themeColor="text1"/>
          <w:sz w:val="18"/>
          <w:szCs w:val="18"/>
        </w:rPr>
        <w:t>(test U de Mann-</w:t>
      </w:r>
      <w:proofErr w:type="spellStart"/>
      <w:r w:rsidR="00065F7B" w:rsidRPr="00697F3B">
        <w:rPr>
          <w:rFonts w:eastAsiaTheme="minorHAnsi"/>
          <w:color w:val="000000" w:themeColor="text1"/>
          <w:sz w:val="18"/>
          <w:szCs w:val="18"/>
        </w:rPr>
        <w:t>Withney</w:t>
      </w:r>
      <w:proofErr w:type="spellEnd"/>
      <w:r w:rsidR="00733375" w:rsidRPr="00697F3B">
        <w:rPr>
          <w:rFonts w:eastAsiaTheme="minorHAnsi"/>
          <w:color w:val="000000" w:themeColor="text1"/>
          <w:sz w:val="18"/>
          <w:szCs w:val="18"/>
        </w:rPr>
        <w:t xml:space="preserve"> pour échantillons indépendants</w:t>
      </w:r>
      <w:r w:rsidR="00065F7B" w:rsidRPr="00697F3B">
        <w:rPr>
          <w:rFonts w:eastAsiaTheme="minorHAnsi"/>
          <w:color w:val="000000" w:themeColor="text1"/>
          <w:sz w:val="18"/>
          <w:szCs w:val="18"/>
        </w:rPr>
        <w:t>)</w:t>
      </w:r>
    </w:p>
    <w:tbl>
      <w:tblPr>
        <w:tblW w:w="10887" w:type="dxa"/>
        <w:jc w:val="center"/>
        <w:tblLayout w:type="fixed"/>
        <w:tblCellMar>
          <w:left w:w="10" w:type="dxa"/>
          <w:right w:w="10" w:type="dxa"/>
        </w:tblCellMar>
        <w:tblLook w:val="0000" w:firstRow="0" w:lastRow="0" w:firstColumn="0" w:lastColumn="0" w:noHBand="0" w:noVBand="0"/>
      </w:tblPr>
      <w:tblGrid>
        <w:gridCol w:w="557"/>
        <w:gridCol w:w="4820"/>
        <w:gridCol w:w="1559"/>
        <w:gridCol w:w="1418"/>
        <w:gridCol w:w="1541"/>
        <w:gridCol w:w="992"/>
      </w:tblGrid>
      <w:tr w:rsidR="00AA24D9" w:rsidRPr="00697F3B" w14:paraId="0658CB77" w14:textId="5ABC4E7E" w:rsidTr="008A36BE">
        <w:trPr>
          <w:jc w:val="center"/>
        </w:trPr>
        <w:tc>
          <w:tcPr>
            <w:tcW w:w="557" w:type="dxa"/>
            <w:tcBorders>
              <w:top w:val="none" w:sz="1" w:space="0" w:color="152935"/>
              <w:left w:val="none" w:sz="1" w:space="0" w:color="152935"/>
              <w:bottom w:val="single" w:sz="1" w:space="0" w:color="152935"/>
              <w:right w:val="single" w:sz="1" w:space="0" w:color="E0E0E0"/>
            </w:tcBorders>
            <w:shd w:val="clear" w:color="auto" w:fill="FFFFFF"/>
          </w:tcPr>
          <w:p w14:paraId="73B39736" w14:textId="77777777" w:rsidR="00AA24D9" w:rsidRPr="00697F3B" w:rsidRDefault="00AA24D9" w:rsidP="005133F3">
            <w:pPr>
              <w:spacing w:before="10" w:after="10"/>
              <w:ind w:left="30" w:right="40"/>
              <w:jc w:val="center"/>
              <w:rPr>
                <w:rFonts w:eastAsia="Arial"/>
                <w:color w:val="264A60"/>
                <w:sz w:val="20"/>
                <w:szCs w:val="20"/>
              </w:rPr>
            </w:pPr>
          </w:p>
        </w:tc>
        <w:tc>
          <w:tcPr>
            <w:tcW w:w="4820" w:type="dxa"/>
            <w:tcBorders>
              <w:top w:val="none" w:sz="1" w:space="0" w:color="152935"/>
              <w:left w:val="none" w:sz="1" w:space="0" w:color="152935"/>
              <w:bottom w:val="single" w:sz="1" w:space="0" w:color="152935"/>
              <w:right w:val="single" w:sz="1" w:space="0" w:color="E0E0E0"/>
            </w:tcBorders>
            <w:shd w:val="clear" w:color="auto" w:fill="FFFFFF"/>
            <w:vAlign w:val="bottom"/>
          </w:tcPr>
          <w:p w14:paraId="0B4AA4A0" w14:textId="047766E8" w:rsidR="00AA24D9" w:rsidRPr="00697F3B" w:rsidRDefault="00AA24D9" w:rsidP="005133F3">
            <w:pPr>
              <w:spacing w:before="10" w:after="10"/>
              <w:ind w:left="30" w:right="40"/>
              <w:jc w:val="center"/>
              <w:rPr>
                <w:sz w:val="20"/>
                <w:szCs w:val="20"/>
              </w:rPr>
            </w:pPr>
            <w:r w:rsidRPr="00697F3B">
              <w:rPr>
                <w:rFonts w:eastAsia="Arial"/>
                <w:color w:val="264A60"/>
                <w:sz w:val="20"/>
                <w:szCs w:val="20"/>
              </w:rPr>
              <w:t>Hypothèse nulle</w:t>
            </w:r>
          </w:p>
        </w:tc>
        <w:tc>
          <w:tcPr>
            <w:tcW w:w="1559" w:type="dxa"/>
            <w:tcBorders>
              <w:top w:val="none" w:sz="1" w:space="0" w:color="152935"/>
              <w:left w:val="single" w:sz="1" w:space="0" w:color="E0E0E0"/>
              <w:bottom w:val="single" w:sz="1" w:space="0" w:color="152935"/>
              <w:right w:val="single" w:sz="1" w:space="0" w:color="E0E0E0"/>
            </w:tcBorders>
            <w:shd w:val="clear" w:color="auto" w:fill="FFFFFF"/>
            <w:vAlign w:val="center"/>
          </w:tcPr>
          <w:p w14:paraId="1EA218C9" w14:textId="08373C7F" w:rsidR="00AA24D9" w:rsidRPr="00697F3B" w:rsidRDefault="00AA24D9" w:rsidP="00AF4030">
            <w:pPr>
              <w:spacing w:before="10" w:after="10"/>
              <w:ind w:left="30" w:right="40"/>
              <w:jc w:val="center"/>
              <w:rPr>
                <w:rFonts w:eastAsia="Arial"/>
                <w:color w:val="264A60"/>
                <w:sz w:val="20"/>
                <w:szCs w:val="20"/>
              </w:rPr>
            </w:pPr>
            <w:r w:rsidRPr="00697F3B">
              <w:rPr>
                <w:rFonts w:eastAsia="Arial"/>
                <w:color w:val="264A60"/>
                <w:sz w:val="20"/>
                <w:szCs w:val="20"/>
              </w:rPr>
              <w:t>Rang moyen (en prenant en compte les fonds ISR de l’échantillon complet)</w:t>
            </w:r>
          </w:p>
        </w:tc>
        <w:tc>
          <w:tcPr>
            <w:tcW w:w="1418" w:type="dxa"/>
            <w:tcBorders>
              <w:top w:val="none" w:sz="1" w:space="0" w:color="152935"/>
              <w:left w:val="single" w:sz="1" w:space="0" w:color="E0E0E0"/>
              <w:bottom w:val="single" w:sz="1" w:space="0" w:color="152935"/>
              <w:right w:val="single" w:sz="1" w:space="0" w:color="E0E0E0"/>
            </w:tcBorders>
            <w:shd w:val="clear" w:color="auto" w:fill="FFFFFF"/>
            <w:vAlign w:val="center"/>
          </w:tcPr>
          <w:p w14:paraId="3B9A5C39" w14:textId="4923BE7E" w:rsidR="00AA24D9" w:rsidRPr="00697F3B" w:rsidRDefault="00AA24D9" w:rsidP="00AF4030">
            <w:pPr>
              <w:spacing w:before="10" w:after="10"/>
              <w:ind w:left="30" w:right="40"/>
              <w:jc w:val="center"/>
              <w:rPr>
                <w:sz w:val="20"/>
                <w:szCs w:val="20"/>
              </w:rPr>
            </w:pPr>
            <w:proofErr w:type="spellStart"/>
            <w:r w:rsidRPr="00697F3B">
              <w:rPr>
                <w:rFonts w:eastAsia="Arial"/>
                <w:color w:val="264A60"/>
                <w:sz w:val="20"/>
                <w:szCs w:val="20"/>
              </w:rPr>
              <w:t>Sig</w:t>
            </w:r>
            <w:proofErr w:type="spellEnd"/>
            <w:r w:rsidRPr="00697F3B">
              <w:rPr>
                <w:rFonts w:eastAsia="Arial"/>
                <w:color w:val="264A60"/>
                <w:sz w:val="20"/>
                <w:szCs w:val="20"/>
              </w:rPr>
              <w:t xml:space="preserve"> (en prenant en compte les fonds ISR de l’échantillon complet)</w:t>
            </w:r>
          </w:p>
        </w:tc>
        <w:tc>
          <w:tcPr>
            <w:tcW w:w="1541" w:type="dxa"/>
            <w:tcBorders>
              <w:top w:val="none" w:sz="1" w:space="0" w:color="152935"/>
              <w:left w:val="single" w:sz="1" w:space="0" w:color="E0E0E0"/>
              <w:bottom w:val="single" w:sz="1" w:space="0" w:color="152935"/>
              <w:right w:val="single" w:sz="1" w:space="0" w:color="E0E0E0"/>
            </w:tcBorders>
            <w:shd w:val="clear" w:color="auto" w:fill="FFFFFF"/>
            <w:vAlign w:val="center"/>
          </w:tcPr>
          <w:p w14:paraId="12C330E1" w14:textId="332D5CA5" w:rsidR="00AA24D9" w:rsidRPr="00697F3B" w:rsidRDefault="00AF4030" w:rsidP="00AF4030">
            <w:pPr>
              <w:spacing w:before="10" w:after="10"/>
              <w:ind w:left="30" w:right="40"/>
              <w:jc w:val="center"/>
              <w:rPr>
                <w:rFonts w:eastAsia="Arial"/>
                <w:color w:val="264A60"/>
                <w:sz w:val="20"/>
                <w:szCs w:val="20"/>
              </w:rPr>
            </w:pPr>
            <w:r w:rsidRPr="00697F3B">
              <w:rPr>
                <w:rFonts w:eastAsia="Arial"/>
                <w:color w:val="264A60"/>
                <w:sz w:val="20"/>
                <w:szCs w:val="20"/>
              </w:rPr>
              <w:t>Rang moyen (en prenant en compte les fonds ISR de l’échantillon de contrôle)</w:t>
            </w:r>
          </w:p>
        </w:tc>
        <w:tc>
          <w:tcPr>
            <w:tcW w:w="992" w:type="dxa"/>
            <w:tcBorders>
              <w:top w:val="none" w:sz="1" w:space="0" w:color="152935"/>
              <w:left w:val="single" w:sz="1" w:space="0" w:color="E0E0E0"/>
              <w:bottom w:val="single" w:sz="1" w:space="0" w:color="152935"/>
              <w:right w:val="single" w:sz="1" w:space="0" w:color="E0E0E0"/>
            </w:tcBorders>
            <w:shd w:val="clear" w:color="auto" w:fill="FFFFFF"/>
            <w:vAlign w:val="center"/>
          </w:tcPr>
          <w:p w14:paraId="051C2D0A" w14:textId="2082DA6B" w:rsidR="00AA24D9" w:rsidRPr="00697F3B" w:rsidRDefault="00AA24D9" w:rsidP="00AF4030">
            <w:pPr>
              <w:spacing w:before="10" w:after="10"/>
              <w:ind w:left="30" w:right="40"/>
              <w:jc w:val="center"/>
              <w:rPr>
                <w:rFonts w:eastAsia="Arial"/>
                <w:color w:val="264A60"/>
                <w:sz w:val="20"/>
                <w:szCs w:val="20"/>
              </w:rPr>
            </w:pPr>
            <w:proofErr w:type="spellStart"/>
            <w:r w:rsidRPr="00697F3B">
              <w:rPr>
                <w:rFonts w:eastAsia="Arial"/>
                <w:color w:val="264A60"/>
                <w:sz w:val="20"/>
                <w:szCs w:val="20"/>
              </w:rPr>
              <w:t>Sig</w:t>
            </w:r>
            <w:proofErr w:type="spellEnd"/>
            <w:r w:rsidRPr="00697F3B">
              <w:rPr>
                <w:rFonts w:eastAsia="Arial"/>
                <w:color w:val="264A60"/>
                <w:sz w:val="20"/>
                <w:szCs w:val="20"/>
              </w:rPr>
              <w:t xml:space="preserve"> (en prenant en compte les fonds ISR de l’</w:t>
            </w:r>
            <w:r w:rsidR="005A5B0B" w:rsidRPr="00697F3B">
              <w:rPr>
                <w:rFonts w:eastAsia="Arial"/>
                <w:color w:val="264A60"/>
                <w:sz w:val="20"/>
                <w:szCs w:val="20"/>
              </w:rPr>
              <w:t>échantillon</w:t>
            </w:r>
            <w:r w:rsidRPr="00697F3B">
              <w:rPr>
                <w:rFonts w:eastAsia="Arial"/>
                <w:color w:val="264A60"/>
                <w:sz w:val="20"/>
                <w:szCs w:val="20"/>
              </w:rPr>
              <w:t xml:space="preserve"> de contrôle)</w:t>
            </w:r>
          </w:p>
        </w:tc>
      </w:tr>
      <w:tr w:rsidR="00AA24D9" w:rsidRPr="00697F3B" w14:paraId="36C810A2" w14:textId="74FDE5E0" w:rsidTr="008A36BE">
        <w:trPr>
          <w:jc w:val="center"/>
        </w:trPr>
        <w:tc>
          <w:tcPr>
            <w:tcW w:w="557" w:type="dxa"/>
            <w:tcBorders>
              <w:top w:val="single" w:sz="1" w:space="0" w:color="152935"/>
              <w:left w:val="none" w:sz="1" w:space="0" w:color="152935"/>
              <w:bottom w:val="single" w:sz="1" w:space="0" w:color="AEAEAE"/>
              <w:right w:val="single" w:sz="1" w:space="0" w:color="E0E0E0"/>
            </w:tcBorders>
            <w:shd w:val="clear" w:color="auto" w:fill="F9F9FB"/>
            <w:vAlign w:val="center"/>
          </w:tcPr>
          <w:p w14:paraId="109FFEF3" w14:textId="0205CB3F" w:rsidR="00AA24D9" w:rsidRPr="00697F3B" w:rsidRDefault="00AA24D9" w:rsidP="00AA24D9">
            <w:pPr>
              <w:spacing w:before="15" w:after="10"/>
              <w:ind w:left="30" w:right="40"/>
              <w:jc w:val="center"/>
              <w:rPr>
                <w:rFonts w:eastAsia="Arial"/>
                <w:color w:val="010205"/>
                <w:sz w:val="20"/>
                <w:szCs w:val="20"/>
              </w:rPr>
            </w:pPr>
            <w:r w:rsidRPr="00697F3B">
              <w:rPr>
                <w:rFonts w:eastAsia="Arial"/>
                <w:color w:val="010205"/>
                <w:sz w:val="20"/>
                <w:szCs w:val="20"/>
              </w:rPr>
              <w:t>1</w:t>
            </w:r>
          </w:p>
        </w:tc>
        <w:tc>
          <w:tcPr>
            <w:tcW w:w="4820" w:type="dxa"/>
            <w:tcBorders>
              <w:top w:val="single" w:sz="1" w:space="0" w:color="152935"/>
              <w:left w:val="none" w:sz="1" w:space="0" w:color="152935"/>
              <w:bottom w:val="single" w:sz="1" w:space="0" w:color="AEAEAE"/>
              <w:right w:val="single" w:sz="1" w:space="0" w:color="E0E0E0"/>
            </w:tcBorders>
            <w:shd w:val="clear" w:color="auto" w:fill="F9F9FB"/>
          </w:tcPr>
          <w:p w14:paraId="7AEC0919" w14:textId="3DA7A77D" w:rsidR="00AA24D9" w:rsidRPr="00697F3B" w:rsidRDefault="00AA24D9" w:rsidP="00B63591">
            <w:pPr>
              <w:spacing w:before="15" w:after="10"/>
              <w:ind w:left="30" w:right="40"/>
              <w:rPr>
                <w:sz w:val="20"/>
                <w:szCs w:val="20"/>
              </w:rPr>
            </w:pPr>
            <w:r w:rsidRPr="00697F3B">
              <w:rPr>
                <w:rFonts w:eastAsia="Arial"/>
                <w:color w:val="010205"/>
                <w:sz w:val="20"/>
                <w:szCs w:val="20"/>
              </w:rPr>
              <w:t xml:space="preserve">La distribution de « La cote de durabilité </w:t>
            </w:r>
            <w:proofErr w:type="spellStart"/>
            <w:r w:rsidRPr="00697F3B">
              <w:rPr>
                <w:rFonts w:eastAsia="Arial"/>
                <w:color w:val="010205"/>
                <w:sz w:val="20"/>
                <w:szCs w:val="20"/>
              </w:rPr>
              <w:t>Morningstar</w:t>
            </w:r>
            <w:proofErr w:type="spellEnd"/>
            <w:r w:rsidRPr="00697F3B">
              <w:rPr>
                <w:rFonts w:eastAsia="Arial"/>
                <w:color w:val="010205"/>
                <w:sz w:val="20"/>
                <w:szCs w:val="20"/>
              </w:rPr>
              <w:t xml:space="preserve"> (/5) » est la même sur les </w:t>
            </w:r>
            <w:r w:rsidR="007408B4" w:rsidRPr="00697F3B">
              <w:rPr>
                <w:rFonts w:eastAsia="Arial"/>
                <w:color w:val="010205"/>
                <w:sz w:val="20"/>
                <w:szCs w:val="20"/>
              </w:rPr>
              <w:t>fonds ISR et non ISR</w:t>
            </w:r>
            <w:r w:rsidR="00264045" w:rsidRPr="00697F3B">
              <w:rPr>
                <w:rFonts w:eastAsia="Arial"/>
                <w:color w:val="010205"/>
                <w:sz w:val="20"/>
                <w:szCs w:val="20"/>
              </w:rPr>
              <w:t>.</w:t>
            </w:r>
          </w:p>
        </w:tc>
        <w:tc>
          <w:tcPr>
            <w:tcW w:w="1559" w:type="dxa"/>
            <w:tcBorders>
              <w:top w:val="single" w:sz="1" w:space="0" w:color="152935"/>
              <w:left w:val="single" w:sz="1" w:space="0" w:color="E0E0E0"/>
              <w:bottom w:val="single" w:sz="1" w:space="0" w:color="AEAEAE"/>
              <w:right w:val="single" w:sz="1" w:space="0" w:color="E0E0E0"/>
            </w:tcBorders>
            <w:shd w:val="clear" w:color="auto" w:fill="F9F9FB"/>
          </w:tcPr>
          <w:p w14:paraId="47F1A5C8" w14:textId="446BE924"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47,05</w:t>
            </w:r>
          </w:p>
          <w:p w14:paraId="47B6BF90" w14:textId="313B66C0"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 xml:space="preserve">Non ISR : 21,5 </w:t>
            </w:r>
          </w:p>
          <w:p w14:paraId="0F73806F" w14:textId="221C0AF5" w:rsidR="00AA24D9" w:rsidRPr="00697F3B" w:rsidRDefault="00AA24D9" w:rsidP="00BC701E">
            <w:pPr>
              <w:spacing w:before="15" w:after="10"/>
              <w:ind w:right="40"/>
              <w:rPr>
                <w:rFonts w:eastAsia="Arial"/>
                <w:color w:val="010205"/>
                <w:sz w:val="20"/>
                <w:szCs w:val="20"/>
              </w:rPr>
            </w:pPr>
          </w:p>
        </w:tc>
        <w:tc>
          <w:tcPr>
            <w:tcW w:w="1418" w:type="dxa"/>
            <w:tcBorders>
              <w:top w:val="single" w:sz="1" w:space="0" w:color="152935"/>
              <w:left w:val="single" w:sz="1" w:space="0" w:color="E0E0E0"/>
              <w:bottom w:val="single" w:sz="1" w:space="0" w:color="AEAEAE"/>
              <w:right w:val="single" w:sz="1" w:space="0" w:color="E0E0E0"/>
            </w:tcBorders>
            <w:shd w:val="clear" w:color="auto" w:fill="F9F9FB"/>
          </w:tcPr>
          <w:p w14:paraId="53FDA19C" w14:textId="0C435DD6"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66B65656" w14:textId="0EAAD98B" w:rsidR="00AA24D9" w:rsidRPr="00697F3B" w:rsidRDefault="00AA24D9" w:rsidP="00B63591">
            <w:pPr>
              <w:spacing w:before="15" w:after="10"/>
              <w:ind w:left="30" w:right="40"/>
              <w:jc w:val="center"/>
              <w:rPr>
                <w:sz w:val="20"/>
                <w:szCs w:val="20"/>
              </w:rPr>
            </w:pPr>
            <w:r w:rsidRPr="00697F3B">
              <w:rPr>
                <w:rFonts w:eastAsia="Arial"/>
                <w:color w:val="010205"/>
                <w:sz w:val="20"/>
                <w:szCs w:val="20"/>
              </w:rPr>
              <w:t>***</w:t>
            </w:r>
          </w:p>
        </w:tc>
        <w:tc>
          <w:tcPr>
            <w:tcW w:w="1541" w:type="dxa"/>
            <w:tcBorders>
              <w:top w:val="single" w:sz="1" w:space="0" w:color="152935"/>
              <w:left w:val="single" w:sz="1" w:space="0" w:color="E0E0E0"/>
              <w:bottom w:val="single" w:sz="1" w:space="0" w:color="AEAEAE"/>
              <w:right w:val="single" w:sz="1" w:space="0" w:color="E0E0E0"/>
            </w:tcBorders>
            <w:shd w:val="clear" w:color="auto" w:fill="F9F9FB"/>
          </w:tcPr>
          <w:p w14:paraId="7ACDD41C" w14:textId="77777777"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36,83</w:t>
            </w:r>
          </w:p>
          <w:p w14:paraId="1A6CFD60" w14:textId="17C2C1D2"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Non ISR : 15,04</w:t>
            </w:r>
          </w:p>
        </w:tc>
        <w:tc>
          <w:tcPr>
            <w:tcW w:w="992" w:type="dxa"/>
            <w:tcBorders>
              <w:top w:val="single" w:sz="1" w:space="0" w:color="152935"/>
              <w:left w:val="single" w:sz="1" w:space="0" w:color="E0E0E0"/>
              <w:bottom w:val="single" w:sz="1" w:space="0" w:color="AEAEAE"/>
              <w:right w:val="single" w:sz="1" w:space="0" w:color="E0E0E0"/>
            </w:tcBorders>
            <w:shd w:val="clear" w:color="auto" w:fill="F9F9FB"/>
          </w:tcPr>
          <w:p w14:paraId="43EC4812" w14:textId="7FE54AA1"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4B68C3ED" w14:textId="5A95ADEF"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w:t>
            </w:r>
          </w:p>
        </w:tc>
      </w:tr>
      <w:tr w:rsidR="00AA24D9" w:rsidRPr="00697F3B" w14:paraId="39F1D733" w14:textId="20DCB609"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50E17A7B" w14:textId="3352DB7F" w:rsidR="00AA24D9" w:rsidRPr="00697F3B" w:rsidRDefault="00AA24D9" w:rsidP="00AA24D9">
            <w:pPr>
              <w:spacing w:before="15" w:after="10"/>
              <w:ind w:left="30" w:right="40"/>
              <w:jc w:val="center"/>
              <w:rPr>
                <w:rFonts w:eastAsia="Arial"/>
                <w:color w:val="010205"/>
                <w:sz w:val="20"/>
                <w:szCs w:val="20"/>
              </w:rPr>
            </w:pPr>
            <w:r w:rsidRPr="00697F3B">
              <w:rPr>
                <w:rFonts w:eastAsia="Arial"/>
                <w:color w:val="010205"/>
                <w:sz w:val="20"/>
                <w:szCs w:val="20"/>
              </w:rPr>
              <w:t>2</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1DE46F08" w14:textId="63D143D8" w:rsidR="00AA24D9" w:rsidRPr="00697F3B" w:rsidRDefault="00AA24D9" w:rsidP="00B63591">
            <w:pPr>
              <w:spacing w:before="15" w:after="10"/>
              <w:ind w:left="30" w:right="40"/>
              <w:rPr>
                <w:rFonts w:eastAsia="Arial"/>
                <w:color w:val="010205"/>
                <w:sz w:val="20"/>
                <w:szCs w:val="20"/>
              </w:rPr>
            </w:pPr>
            <w:r w:rsidRPr="00697F3B">
              <w:rPr>
                <w:rFonts w:eastAsia="Arial"/>
                <w:color w:val="010205"/>
                <w:sz w:val="20"/>
                <w:szCs w:val="20"/>
              </w:rPr>
              <w:t xml:space="preserve">La distribution de « La note extra-financière de MSCI disponible sur </w:t>
            </w:r>
            <w:proofErr w:type="spellStart"/>
            <w:r w:rsidRPr="00697F3B">
              <w:rPr>
                <w:rFonts w:eastAsia="Arial"/>
                <w:color w:val="010205"/>
                <w:sz w:val="20"/>
                <w:szCs w:val="20"/>
              </w:rPr>
              <w:t>FactSet</w:t>
            </w:r>
            <w:proofErr w:type="spellEnd"/>
            <w:r w:rsidRPr="00697F3B">
              <w:rPr>
                <w:rFonts w:eastAsia="Arial"/>
                <w:color w:val="010205"/>
                <w:sz w:val="20"/>
                <w:szCs w:val="20"/>
              </w:rPr>
              <w:t xml:space="preserve"> (/10) » est la même sur les </w:t>
            </w:r>
            <w:r w:rsidR="007408B4" w:rsidRPr="00697F3B">
              <w:rPr>
                <w:rFonts w:eastAsia="Arial"/>
                <w:color w:val="010205"/>
                <w:sz w:val="20"/>
                <w:szCs w:val="20"/>
              </w:rPr>
              <w:t>fonds ISR et non ISR</w:t>
            </w:r>
            <w:r w:rsidR="00264045" w:rsidRPr="00697F3B">
              <w:rPr>
                <w:rFonts w:eastAsia="Arial"/>
                <w:color w:val="010205"/>
                <w:sz w:val="20"/>
                <w:szCs w:val="20"/>
              </w:rPr>
              <w:t>.</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410A349E" w14:textId="1F319892"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45,62</w:t>
            </w:r>
          </w:p>
          <w:p w14:paraId="1B492686" w14:textId="26A1B12D"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Non ISR : 24,69</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7F223E59" w14:textId="63D91D62"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711299D2" w14:textId="79F84F6A" w:rsidR="00AA24D9" w:rsidRPr="00697F3B" w:rsidRDefault="00AA24D9" w:rsidP="00B63591">
            <w:pPr>
              <w:spacing w:before="15" w:after="10"/>
              <w:ind w:left="30" w:right="40"/>
              <w:jc w:val="center"/>
              <w:rPr>
                <w:sz w:val="20"/>
                <w:szCs w:val="20"/>
              </w:rPr>
            </w:pPr>
            <w:r w:rsidRPr="00697F3B">
              <w:rPr>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63F8106D" w14:textId="77777777"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34,60</w:t>
            </w:r>
          </w:p>
          <w:p w14:paraId="7F6CFD13" w14:textId="736DD35F"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Non ISR : 18,40</w:t>
            </w:r>
          </w:p>
        </w:tc>
        <w:tc>
          <w:tcPr>
            <w:tcW w:w="992" w:type="dxa"/>
            <w:tcBorders>
              <w:top w:val="single" w:sz="1" w:space="0" w:color="AEAEAE"/>
              <w:left w:val="single" w:sz="1" w:space="0" w:color="E0E0E0"/>
              <w:bottom w:val="single" w:sz="1" w:space="0" w:color="AEAEAE"/>
              <w:right w:val="single" w:sz="1" w:space="0" w:color="E0E0E0"/>
            </w:tcBorders>
            <w:shd w:val="clear" w:color="auto" w:fill="F9F9FB"/>
          </w:tcPr>
          <w:p w14:paraId="3B3E8A08" w14:textId="1E2152AA"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4E402A5F" w14:textId="6942376F" w:rsidR="00AA24D9" w:rsidRPr="00697F3B" w:rsidRDefault="00AA24D9" w:rsidP="00B63591">
            <w:pPr>
              <w:spacing w:before="15" w:after="10"/>
              <w:ind w:left="30" w:right="40"/>
              <w:jc w:val="center"/>
              <w:rPr>
                <w:rFonts w:eastAsia="Arial"/>
                <w:color w:val="010205"/>
                <w:sz w:val="20"/>
                <w:szCs w:val="20"/>
              </w:rPr>
            </w:pPr>
            <w:r w:rsidRPr="00697F3B">
              <w:rPr>
                <w:sz w:val="20"/>
                <w:szCs w:val="20"/>
              </w:rPr>
              <w:t>***</w:t>
            </w:r>
          </w:p>
        </w:tc>
      </w:tr>
      <w:tr w:rsidR="00AA24D9" w:rsidRPr="00697F3B" w14:paraId="291BAF12" w14:textId="1DC2B852"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22546459" w14:textId="0CBB660B" w:rsidR="00AA24D9" w:rsidRPr="00697F3B" w:rsidRDefault="00AA24D9" w:rsidP="00AA24D9">
            <w:pPr>
              <w:spacing w:before="15" w:after="10"/>
              <w:ind w:left="30" w:right="40"/>
              <w:jc w:val="center"/>
              <w:rPr>
                <w:rFonts w:eastAsia="Arial"/>
                <w:color w:val="010205"/>
                <w:sz w:val="20"/>
                <w:szCs w:val="20"/>
              </w:rPr>
            </w:pPr>
            <w:r w:rsidRPr="00697F3B">
              <w:rPr>
                <w:rFonts w:eastAsia="Arial"/>
                <w:color w:val="010205"/>
                <w:sz w:val="20"/>
                <w:szCs w:val="20"/>
              </w:rPr>
              <w:t>3</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6DAFD5E8" w14:textId="6E24A2B6" w:rsidR="00AA24D9" w:rsidRPr="00697F3B" w:rsidRDefault="00AA24D9" w:rsidP="00B63591">
            <w:pPr>
              <w:spacing w:before="15" w:after="10"/>
              <w:ind w:left="30" w:right="40"/>
              <w:rPr>
                <w:rFonts w:eastAsia="Arial"/>
                <w:color w:val="010205"/>
                <w:sz w:val="20"/>
                <w:szCs w:val="20"/>
              </w:rPr>
            </w:pPr>
            <w:r w:rsidRPr="00697F3B">
              <w:rPr>
                <w:rFonts w:eastAsia="Arial"/>
                <w:color w:val="010205"/>
                <w:sz w:val="20"/>
                <w:szCs w:val="20"/>
              </w:rPr>
              <w:t xml:space="preserve">La distribution de « L’exposition du chiffre d'affaires aux solutions à impact durable de MSCI (%) » est la même sur les </w:t>
            </w:r>
            <w:r w:rsidR="007408B4" w:rsidRPr="00697F3B">
              <w:rPr>
                <w:rFonts w:eastAsia="Arial"/>
                <w:color w:val="010205"/>
                <w:sz w:val="20"/>
                <w:szCs w:val="20"/>
              </w:rPr>
              <w:t>fonds ISR et non ISR</w:t>
            </w:r>
            <w:r w:rsidR="00264045" w:rsidRPr="00697F3B">
              <w:rPr>
                <w:rFonts w:eastAsia="Arial"/>
                <w:color w:val="010205"/>
                <w:sz w:val="20"/>
                <w:szCs w:val="20"/>
              </w:rPr>
              <w:t>.</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2D5CB4E9" w14:textId="77777777" w:rsidR="00AA24D9" w:rsidRPr="00697F3B" w:rsidRDefault="00AA24D9" w:rsidP="00380A53">
            <w:pPr>
              <w:spacing w:before="15" w:after="10"/>
              <w:ind w:left="30" w:right="40"/>
              <w:jc w:val="center"/>
              <w:rPr>
                <w:rFonts w:eastAsia="Arial"/>
                <w:color w:val="010205"/>
                <w:sz w:val="20"/>
                <w:szCs w:val="20"/>
              </w:rPr>
            </w:pPr>
            <w:r w:rsidRPr="00697F3B">
              <w:rPr>
                <w:rFonts w:eastAsia="Arial"/>
                <w:color w:val="010205"/>
                <w:sz w:val="20"/>
                <w:szCs w:val="20"/>
              </w:rPr>
              <w:t>ISR : 45,44</w:t>
            </w:r>
          </w:p>
          <w:p w14:paraId="5C694AD7" w14:textId="4689F516" w:rsidR="00AA24D9" w:rsidRPr="00697F3B" w:rsidRDefault="00AA24D9" w:rsidP="00380A53">
            <w:pPr>
              <w:spacing w:before="15" w:after="10"/>
              <w:ind w:left="30" w:right="40"/>
              <w:jc w:val="center"/>
              <w:rPr>
                <w:rFonts w:eastAsia="Arial"/>
                <w:color w:val="010205"/>
                <w:sz w:val="20"/>
                <w:szCs w:val="20"/>
              </w:rPr>
            </w:pPr>
            <w:r w:rsidRPr="00697F3B">
              <w:rPr>
                <w:rFonts w:eastAsia="Arial"/>
                <w:color w:val="010205"/>
                <w:sz w:val="20"/>
                <w:szCs w:val="20"/>
              </w:rPr>
              <w:t>Non ISR : 24,86</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4198A59C" w14:textId="6809D625"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6BE3E32C" w14:textId="28AEFCD1" w:rsidR="00AA24D9" w:rsidRPr="00697F3B" w:rsidRDefault="00AA24D9" w:rsidP="00B63591">
            <w:pPr>
              <w:spacing w:before="15" w:after="10"/>
              <w:ind w:left="30" w:right="40"/>
              <w:jc w:val="center"/>
              <w:rPr>
                <w:sz w:val="20"/>
                <w:szCs w:val="20"/>
              </w:rPr>
            </w:pPr>
            <w:r w:rsidRPr="00697F3B">
              <w:rPr>
                <w:rFonts w:eastAsia="Arial"/>
                <w:color w:val="010205"/>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58EE7C12" w14:textId="56B4C77A"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36,10</w:t>
            </w:r>
          </w:p>
          <w:p w14:paraId="1C4BC166" w14:textId="2052580D"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Non ISR : 16,9</w:t>
            </w:r>
          </w:p>
          <w:p w14:paraId="2A44E977" w14:textId="3C48ECBE" w:rsidR="00AA24D9" w:rsidRPr="00697F3B" w:rsidRDefault="00AA24D9" w:rsidP="00B63591">
            <w:pPr>
              <w:spacing w:before="15" w:after="10"/>
              <w:ind w:left="30" w:right="40"/>
              <w:jc w:val="center"/>
              <w:rPr>
                <w:rFonts w:eastAsia="Arial"/>
                <w:color w:val="010205"/>
                <w:sz w:val="20"/>
                <w:szCs w:val="20"/>
              </w:rPr>
            </w:pPr>
          </w:p>
        </w:tc>
        <w:tc>
          <w:tcPr>
            <w:tcW w:w="992" w:type="dxa"/>
            <w:tcBorders>
              <w:top w:val="single" w:sz="1" w:space="0" w:color="AEAEAE"/>
              <w:left w:val="single" w:sz="1" w:space="0" w:color="E0E0E0"/>
              <w:bottom w:val="single" w:sz="1" w:space="0" w:color="AEAEAE"/>
              <w:right w:val="single" w:sz="1" w:space="0" w:color="E0E0E0"/>
            </w:tcBorders>
            <w:shd w:val="clear" w:color="auto" w:fill="F9F9FB"/>
          </w:tcPr>
          <w:p w14:paraId="2C55980F" w14:textId="0C295F97"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5225D8C9" w14:textId="6AB73F27"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w:t>
            </w:r>
          </w:p>
        </w:tc>
      </w:tr>
      <w:tr w:rsidR="00AA24D9" w:rsidRPr="00697F3B" w14:paraId="5C8ADE2F" w14:textId="11963F76"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6B4FA6B0" w14:textId="3912FF50" w:rsidR="00AA24D9" w:rsidRPr="00697F3B" w:rsidRDefault="00AA24D9" w:rsidP="00AA24D9">
            <w:pPr>
              <w:spacing w:before="15" w:after="10"/>
              <w:ind w:left="30" w:right="40"/>
              <w:jc w:val="center"/>
              <w:rPr>
                <w:rFonts w:eastAsia="Arial"/>
                <w:color w:val="010205"/>
                <w:sz w:val="20"/>
                <w:szCs w:val="20"/>
              </w:rPr>
            </w:pPr>
            <w:r w:rsidRPr="00697F3B">
              <w:rPr>
                <w:rFonts w:eastAsia="Arial"/>
                <w:color w:val="010205"/>
                <w:sz w:val="20"/>
                <w:szCs w:val="20"/>
              </w:rPr>
              <w:t>4</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04DD9068" w14:textId="0E8319E1" w:rsidR="00AA24D9" w:rsidRPr="00697F3B" w:rsidRDefault="00AA24D9" w:rsidP="00B63591">
            <w:pPr>
              <w:spacing w:before="15" w:after="10"/>
              <w:ind w:left="30" w:right="40"/>
              <w:rPr>
                <w:rFonts w:eastAsia="Arial"/>
                <w:color w:val="010205"/>
                <w:sz w:val="20"/>
                <w:szCs w:val="20"/>
              </w:rPr>
            </w:pPr>
            <w:r w:rsidRPr="00697F3B">
              <w:rPr>
                <w:rFonts w:eastAsia="Arial"/>
                <w:color w:val="010205"/>
                <w:sz w:val="20"/>
                <w:szCs w:val="20"/>
              </w:rPr>
              <w:t xml:space="preserve">La distribution de « L’exposition des revenus aux critères d’exclusion SFI de MSCI (%) » est la même sur les </w:t>
            </w:r>
            <w:r w:rsidR="007408B4" w:rsidRPr="00697F3B">
              <w:rPr>
                <w:rFonts w:eastAsia="Arial"/>
                <w:color w:val="010205"/>
                <w:sz w:val="20"/>
                <w:szCs w:val="20"/>
              </w:rPr>
              <w:t>fonds ISR et non ISR</w:t>
            </w:r>
            <w:r w:rsidR="00264045" w:rsidRPr="00697F3B">
              <w:rPr>
                <w:rFonts w:eastAsia="Arial"/>
                <w:color w:val="010205"/>
                <w:sz w:val="20"/>
                <w:szCs w:val="20"/>
              </w:rPr>
              <w:t>.</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61ABFF42" w14:textId="7F58FA4E"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26,75</w:t>
            </w:r>
          </w:p>
          <w:p w14:paraId="5818474F" w14:textId="20E0F834"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 xml:space="preserve">Non ISR : 43,01 </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3D04F4D6" w14:textId="09889712"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7E7BD37F" w14:textId="7202DA2C" w:rsidR="00AA24D9" w:rsidRPr="00697F3B" w:rsidRDefault="00AA24D9" w:rsidP="00B63591">
            <w:pPr>
              <w:spacing w:before="15" w:after="10"/>
              <w:ind w:left="30" w:right="40"/>
              <w:jc w:val="center"/>
              <w:rPr>
                <w:sz w:val="20"/>
                <w:szCs w:val="20"/>
              </w:rPr>
            </w:pPr>
            <w:r w:rsidRPr="00697F3B">
              <w:rPr>
                <w:rFonts w:eastAsia="Arial"/>
                <w:color w:val="010205"/>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499A050D" w14:textId="2D38AC09"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20,48</w:t>
            </w:r>
          </w:p>
          <w:p w14:paraId="2656E564" w14:textId="36DB3874"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Non ISR : 32,52</w:t>
            </w:r>
          </w:p>
        </w:tc>
        <w:tc>
          <w:tcPr>
            <w:tcW w:w="992" w:type="dxa"/>
            <w:tcBorders>
              <w:top w:val="single" w:sz="1" w:space="0" w:color="AEAEAE"/>
              <w:left w:val="single" w:sz="1" w:space="0" w:color="E0E0E0"/>
              <w:bottom w:val="single" w:sz="1" w:space="0" w:color="AEAEAE"/>
              <w:right w:val="single" w:sz="1" w:space="0" w:color="E0E0E0"/>
            </w:tcBorders>
            <w:shd w:val="clear" w:color="auto" w:fill="F9F9FB"/>
          </w:tcPr>
          <w:p w14:paraId="50D87795" w14:textId="06F2A955"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,004</w:t>
            </w:r>
          </w:p>
          <w:p w14:paraId="4C0D51A1" w14:textId="54B588A6"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w:t>
            </w:r>
          </w:p>
        </w:tc>
      </w:tr>
      <w:tr w:rsidR="00AA24D9" w:rsidRPr="00697F3B" w14:paraId="296995E9" w14:textId="1507B793"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610FDCBF" w14:textId="28D97B2E" w:rsidR="00AA24D9" w:rsidRPr="00697F3B" w:rsidRDefault="00AA24D9" w:rsidP="00AA24D9">
            <w:pPr>
              <w:spacing w:before="15" w:after="10"/>
              <w:ind w:left="30" w:right="40"/>
              <w:jc w:val="center"/>
              <w:rPr>
                <w:rFonts w:eastAsia="Arial"/>
                <w:color w:val="010205"/>
                <w:sz w:val="20"/>
                <w:szCs w:val="20"/>
              </w:rPr>
            </w:pPr>
            <w:r w:rsidRPr="00697F3B">
              <w:rPr>
                <w:rFonts w:eastAsia="Arial"/>
                <w:color w:val="010205"/>
                <w:sz w:val="20"/>
                <w:szCs w:val="20"/>
              </w:rPr>
              <w:lastRenderedPageBreak/>
              <w:t>5</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375AF73B" w14:textId="352EC488" w:rsidR="00AA24D9" w:rsidRPr="00697F3B" w:rsidRDefault="00AA24D9" w:rsidP="00B63591">
            <w:pPr>
              <w:spacing w:before="15" w:after="10"/>
              <w:ind w:left="30" w:right="40"/>
              <w:rPr>
                <w:rFonts w:eastAsia="Arial"/>
                <w:color w:val="010205"/>
                <w:sz w:val="20"/>
                <w:szCs w:val="20"/>
              </w:rPr>
            </w:pPr>
            <w:r w:rsidRPr="00697F3B">
              <w:rPr>
                <w:rFonts w:eastAsia="Arial"/>
                <w:color w:val="010205"/>
                <w:sz w:val="20"/>
                <w:szCs w:val="20"/>
              </w:rPr>
              <w:t xml:space="preserve">La distribution de « Le score de durabilité entreprise (12 mois) de </w:t>
            </w:r>
            <w:proofErr w:type="spellStart"/>
            <w:r w:rsidRPr="00697F3B">
              <w:rPr>
                <w:rFonts w:eastAsia="Arial"/>
                <w:color w:val="010205"/>
                <w:sz w:val="20"/>
                <w:szCs w:val="20"/>
              </w:rPr>
              <w:t>Morningstar</w:t>
            </w:r>
            <w:proofErr w:type="spellEnd"/>
            <w:r w:rsidRPr="00697F3B">
              <w:rPr>
                <w:rFonts w:eastAsia="Arial"/>
                <w:color w:val="010205"/>
                <w:sz w:val="20"/>
                <w:szCs w:val="20"/>
              </w:rPr>
              <w:t xml:space="preserve"> » est la même sur les </w:t>
            </w:r>
            <w:r w:rsidR="007408B4" w:rsidRPr="00697F3B">
              <w:rPr>
                <w:rFonts w:eastAsia="Arial"/>
                <w:color w:val="010205"/>
                <w:sz w:val="20"/>
                <w:szCs w:val="20"/>
              </w:rPr>
              <w:t>fonds ISR et non ISR</w:t>
            </w:r>
            <w:r w:rsidR="00264045" w:rsidRPr="00697F3B">
              <w:rPr>
                <w:rFonts w:eastAsia="Arial"/>
                <w:color w:val="010205"/>
                <w:sz w:val="20"/>
                <w:szCs w:val="20"/>
              </w:rPr>
              <w:t>.</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28A28402" w14:textId="294C2505"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18,48</w:t>
            </w:r>
          </w:p>
          <w:p w14:paraId="7D90A9F5" w14:textId="344784EC"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Non ISR : 46,24</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4068556F" w14:textId="5CC7F1B6"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10F75743" w14:textId="3B789FF1" w:rsidR="00AA24D9" w:rsidRPr="00697F3B" w:rsidRDefault="00AA24D9" w:rsidP="00B63591">
            <w:pPr>
              <w:spacing w:before="15" w:after="10"/>
              <w:ind w:left="30" w:right="40"/>
              <w:jc w:val="center"/>
              <w:rPr>
                <w:sz w:val="20"/>
                <w:szCs w:val="20"/>
              </w:rPr>
            </w:pPr>
            <w:r w:rsidRPr="00697F3B">
              <w:rPr>
                <w:rFonts w:eastAsia="Arial"/>
                <w:color w:val="010205"/>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6AEA5672" w14:textId="77777777"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13,06</w:t>
            </w:r>
          </w:p>
          <w:p w14:paraId="486703D4" w14:textId="4A1B14CC"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Non ISR : 36,46</w:t>
            </w:r>
          </w:p>
        </w:tc>
        <w:tc>
          <w:tcPr>
            <w:tcW w:w="992" w:type="dxa"/>
            <w:tcBorders>
              <w:top w:val="single" w:sz="1" w:space="0" w:color="AEAEAE"/>
              <w:left w:val="single" w:sz="1" w:space="0" w:color="E0E0E0"/>
              <w:bottom w:val="single" w:sz="1" w:space="0" w:color="AEAEAE"/>
              <w:right w:val="single" w:sz="1" w:space="0" w:color="E0E0E0"/>
            </w:tcBorders>
            <w:shd w:val="clear" w:color="auto" w:fill="F9F9FB"/>
          </w:tcPr>
          <w:p w14:paraId="33D4E4AE" w14:textId="4C5A89D8"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641A4C0E" w14:textId="0955C76C"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w:t>
            </w:r>
          </w:p>
        </w:tc>
      </w:tr>
      <w:tr w:rsidR="001233DB" w:rsidRPr="00697F3B" w14:paraId="50BA13C3"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0A0E8A96" w14:textId="0AA48350" w:rsidR="001233DB" w:rsidRPr="00697F3B" w:rsidRDefault="00AE5C35" w:rsidP="001233DB">
            <w:pPr>
              <w:spacing w:before="15" w:after="10"/>
              <w:ind w:left="30" w:right="40"/>
              <w:jc w:val="center"/>
              <w:rPr>
                <w:rFonts w:eastAsia="Arial"/>
                <w:color w:val="010205"/>
                <w:sz w:val="20"/>
                <w:szCs w:val="20"/>
              </w:rPr>
            </w:pPr>
            <w:r w:rsidRPr="00697F3B">
              <w:rPr>
                <w:rFonts w:eastAsia="Arial"/>
                <w:color w:val="010205"/>
                <w:sz w:val="20"/>
                <w:szCs w:val="20"/>
              </w:rPr>
              <w:t>6</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6AE7639E" w14:textId="55881E8C" w:rsidR="001233DB" w:rsidRPr="00697F3B" w:rsidRDefault="001233DB" w:rsidP="001233DB">
            <w:pPr>
              <w:spacing w:before="15" w:after="10"/>
              <w:ind w:left="30" w:right="40"/>
              <w:rPr>
                <w:rFonts w:eastAsia="Arial"/>
                <w:color w:val="010205"/>
                <w:sz w:val="20"/>
                <w:szCs w:val="20"/>
              </w:rPr>
            </w:pPr>
            <w:r w:rsidRPr="00697F3B">
              <w:rPr>
                <w:rFonts w:eastAsia="Arial"/>
                <w:color w:val="010205"/>
                <w:sz w:val="20"/>
                <w:szCs w:val="20"/>
              </w:rPr>
              <w:t>La distribution de « Risque environnementa</w:t>
            </w:r>
            <w:r w:rsidR="00AE5C35" w:rsidRPr="00697F3B">
              <w:rPr>
                <w:rFonts w:eastAsia="Arial"/>
                <w:color w:val="010205"/>
                <w:sz w:val="20"/>
                <w:szCs w:val="20"/>
              </w:rPr>
              <w:t>l</w:t>
            </w:r>
            <w:r w:rsidRPr="00697F3B">
              <w:rPr>
                <w:rFonts w:eastAsia="Arial"/>
                <w:color w:val="010205"/>
                <w:sz w:val="20"/>
                <w:szCs w:val="20"/>
              </w:rPr>
              <w:t> » est la même sur les fonds ISR et non ISR.</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0443DD6A" w14:textId="4FDF0FEE"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ISR : 39,28</w:t>
            </w:r>
          </w:p>
          <w:p w14:paraId="49E584D9" w14:textId="0C8E21EA"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Non ISR : 60,40</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37C423CE" w14:textId="77777777"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&lt;,001</w:t>
            </w:r>
          </w:p>
          <w:p w14:paraId="05266867" w14:textId="76F9D0B3"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08CD6583" w14:textId="3D4C2F39"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ISR : 23,82</w:t>
            </w:r>
          </w:p>
          <w:p w14:paraId="2D7FFCA7" w14:textId="6B1A60A2"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Non ISR : 38,4</w:t>
            </w:r>
          </w:p>
        </w:tc>
        <w:tc>
          <w:tcPr>
            <w:tcW w:w="992" w:type="dxa"/>
            <w:tcBorders>
              <w:top w:val="single" w:sz="1" w:space="0" w:color="AEAEAE"/>
              <w:left w:val="single" w:sz="1" w:space="0" w:color="E0E0E0"/>
              <w:bottom w:val="single" w:sz="1" w:space="0" w:color="AEAEAE"/>
              <w:right w:val="single" w:sz="1" w:space="0" w:color="E0E0E0"/>
            </w:tcBorders>
            <w:shd w:val="clear" w:color="auto" w:fill="F9F9FB"/>
          </w:tcPr>
          <w:p w14:paraId="4D363F81" w14:textId="77777777"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,001</w:t>
            </w:r>
          </w:p>
          <w:p w14:paraId="220C6637" w14:textId="79D83201"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w:t>
            </w:r>
          </w:p>
        </w:tc>
      </w:tr>
      <w:tr w:rsidR="001233DB" w:rsidRPr="00697F3B" w14:paraId="36AE9EE9"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4C1F4B2A" w14:textId="644E3FF8" w:rsidR="001233DB" w:rsidRPr="00697F3B" w:rsidRDefault="00AE5C35" w:rsidP="001233DB">
            <w:pPr>
              <w:spacing w:before="15" w:after="10"/>
              <w:ind w:left="30" w:right="40"/>
              <w:jc w:val="center"/>
              <w:rPr>
                <w:rFonts w:eastAsia="Arial"/>
                <w:color w:val="010205"/>
                <w:sz w:val="20"/>
                <w:szCs w:val="20"/>
              </w:rPr>
            </w:pPr>
            <w:r w:rsidRPr="00697F3B">
              <w:rPr>
                <w:rFonts w:eastAsia="Arial"/>
                <w:color w:val="010205"/>
                <w:sz w:val="20"/>
                <w:szCs w:val="20"/>
              </w:rPr>
              <w:t>7</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6793684A" w14:textId="79766EFA" w:rsidR="001233DB" w:rsidRPr="00697F3B" w:rsidRDefault="001233DB" w:rsidP="001233DB">
            <w:pPr>
              <w:spacing w:before="15" w:after="10"/>
              <w:ind w:left="30" w:right="40"/>
              <w:rPr>
                <w:rFonts w:eastAsia="Arial"/>
                <w:color w:val="010205"/>
                <w:sz w:val="20"/>
                <w:szCs w:val="20"/>
              </w:rPr>
            </w:pPr>
            <w:r w:rsidRPr="00697F3B">
              <w:rPr>
                <w:rFonts w:eastAsia="Arial"/>
                <w:color w:val="010205"/>
                <w:sz w:val="20"/>
                <w:szCs w:val="20"/>
              </w:rPr>
              <w:t>La distribution de « Risque</w:t>
            </w:r>
            <w:r w:rsidR="00AE5C35" w:rsidRPr="00697F3B">
              <w:rPr>
                <w:rFonts w:eastAsia="Arial"/>
                <w:color w:val="010205"/>
                <w:sz w:val="20"/>
                <w:szCs w:val="20"/>
              </w:rPr>
              <w:t xml:space="preserve"> </w:t>
            </w:r>
            <w:r w:rsidRPr="00697F3B">
              <w:rPr>
                <w:rFonts w:eastAsia="Arial"/>
                <w:color w:val="010205"/>
                <w:sz w:val="20"/>
                <w:szCs w:val="20"/>
              </w:rPr>
              <w:t>socia</w:t>
            </w:r>
            <w:r w:rsidR="00AE5C35" w:rsidRPr="00697F3B">
              <w:rPr>
                <w:rFonts w:eastAsia="Arial"/>
                <w:color w:val="010205"/>
                <w:sz w:val="20"/>
                <w:szCs w:val="20"/>
              </w:rPr>
              <w:t>l</w:t>
            </w:r>
            <w:r w:rsidRPr="00697F3B">
              <w:rPr>
                <w:rFonts w:eastAsia="Arial"/>
                <w:color w:val="010205"/>
                <w:sz w:val="20"/>
                <w:szCs w:val="20"/>
              </w:rPr>
              <w:t> » est la même sur les fonds ISR et non ISR.</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4D5AF833" w14:textId="13CB4766"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ISR : 41,08</w:t>
            </w:r>
          </w:p>
          <w:p w14:paraId="1D14DD84" w14:textId="2373F236"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Non ISR : 57,28</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0D666F15" w14:textId="77777777"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,005</w:t>
            </w:r>
          </w:p>
          <w:p w14:paraId="4482C361" w14:textId="3687F325"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62C59E60" w14:textId="4172C992"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ISR : 26,50</w:t>
            </w:r>
          </w:p>
          <w:p w14:paraId="678E4371" w14:textId="41B3EB17"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Non ISR : 34,76</w:t>
            </w:r>
          </w:p>
        </w:tc>
        <w:tc>
          <w:tcPr>
            <w:tcW w:w="992" w:type="dxa"/>
            <w:tcBorders>
              <w:top w:val="single" w:sz="1" w:space="0" w:color="AEAEAE"/>
              <w:left w:val="single" w:sz="1" w:space="0" w:color="E0E0E0"/>
              <w:bottom w:val="single" w:sz="1" w:space="0" w:color="AEAEAE"/>
              <w:right w:val="single" w:sz="1" w:space="0" w:color="E0E0E0"/>
            </w:tcBorders>
            <w:shd w:val="clear" w:color="auto" w:fill="F9F9FB"/>
          </w:tcPr>
          <w:p w14:paraId="35B883C7" w14:textId="77777777"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,068</w:t>
            </w:r>
          </w:p>
          <w:p w14:paraId="57BE32C5" w14:textId="02A4435C"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w:t>
            </w:r>
          </w:p>
        </w:tc>
      </w:tr>
      <w:tr w:rsidR="001233DB" w:rsidRPr="00697F3B" w14:paraId="69419815"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353B67DE" w14:textId="28F8F7DE" w:rsidR="001233DB" w:rsidRPr="00697F3B" w:rsidRDefault="00AE5C35" w:rsidP="001233DB">
            <w:pPr>
              <w:spacing w:before="15" w:after="10"/>
              <w:ind w:left="30" w:right="40"/>
              <w:jc w:val="center"/>
              <w:rPr>
                <w:rFonts w:eastAsia="Arial"/>
                <w:color w:val="010205"/>
                <w:sz w:val="20"/>
                <w:szCs w:val="20"/>
              </w:rPr>
            </w:pPr>
            <w:r w:rsidRPr="00697F3B">
              <w:rPr>
                <w:rFonts w:eastAsia="Arial"/>
                <w:color w:val="010205"/>
                <w:sz w:val="20"/>
                <w:szCs w:val="20"/>
              </w:rPr>
              <w:t>8</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430C8ECF" w14:textId="4F8C68E7" w:rsidR="001233DB" w:rsidRPr="00697F3B" w:rsidRDefault="001233DB" w:rsidP="001233DB">
            <w:pPr>
              <w:spacing w:before="15" w:after="10"/>
              <w:ind w:left="30" w:right="40"/>
              <w:rPr>
                <w:rFonts w:eastAsia="Arial"/>
                <w:color w:val="010205"/>
                <w:sz w:val="20"/>
                <w:szCs w:val="20"/>
              </w:rPr>
            </w:pPr>
            <w:r w:rsidRPr="00697F3B">
              <w:rPr>
                <w:rFonts w:eastAsia="Arial"/>
                <w:color w:val="010205"/>
                <w:sz w:val="20"/>
                <w:szCs w:val="20"/>
              </w:rPr>
              <w:t>La distribution de « Risque de gouvernance » est la même sur les fonds ISR et non ISR.</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24EEEBDC" w14:textId="398D5DC6"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ISR : 41,3</w:t>
            </w:r>
          </w:p>
          <w:p w14:paraId="53CF68E6" w14:textId="1284752A"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Non ISR : 56,9</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23E12642" w14:textId="77777777"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,007</w:t>
            </w:r>
          </w:p>
          <w:p w14:paraId="56F82741" w14:textId="5EDAE802"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6CD2DA4F" w14:textId="7EB78A40"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ISR : 26,40</w:t>
            </w:r>
          </w:p>
          <w:p w14:paraId="0906D171" w14:textId="1657DEE0"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Non ISR : 34,90</w:t>
            </w:r>
          </w:p>
        </w:tc>
        <w:tc>
          <w:tcPr>
            <w:tcW w:w="992" w:type="dxa"/>
            <w:tcBorders>
              <w:top w:val="single" w:sz="1" w:space="0" w:color="AEAEAE"/>
              <w:left w:val="single" w:sz="1" w:space="0" w:color="E0E0E0"/>
              <w:bottom w:val="single" w:sz="1" w:space="0" w:color="AEAEAE"/>
              <w:right w:val="single" w:sz="1" w:space="0" w:color="E0E0E0"/>
            </w:tcBorders>
            <w:shd w:val="clear" w:color="auto" w:fill="F9F9FB"/>
          </w:tcPr>
          <w:p w14:paraId="398E9A3F" w14:textId="77777777"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,060</w:t>
            </w:r>
          </w:p>
          <w:p w14:paraId="659D93F2" w14:textId="2EC022CD" w:rsidR="001233DB" w:rsidRPr="00697F3B" w:rsidRDefault="001233DB" w:rsidP="001233DB">
            <w:pPr>
              <w:spacing w:before="15" w:after="10"/>
              <w:ind w:left="30" w:right="40"/>
              <w:jc w:val="center"/>
              <w:rPr>
                <w:rFonts w:eastAsia="Arial"/>
                <w:color w:val="010205"/>
                <w:sz w:val="20"/>
                <w:szCs w:val="20"/>
              </w:rPr>
            </w:pPr>
            <w:r w:rsidRPr="00697F3B">
              <w:rPr>
                <w:rFonts w:eastAsia="Arial"/>
                <w:color w:val="010205"/>
                <w:sz w:val="20"/>
                <w:szCs w:val="20"/>
              </w:rPr>
              <w:t>*</w:t>
            </w:r>
          </w:p>
        </w:tc>
      </w:tr>
      <w:tr w:rsidR="00AA24D9" w:rsidRPr="00697F3B" w14:paraId="7B88AE3D" w14:textId="0977CD04"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3ED38BC7" w14:textId="153ACCD2" w:rsidR="00AA24D9" w:rsidRPr="00697F3B" w:rsidRDefault="00AE5C35" w:rsidP="00AA24D9">
            <w:pPr>
              <w:spacing w:before="15" w:after="10"/>
              <w:ind w:left="30" w:right="40"/>
              <w:jc w:val="center"/>
              <w:rPr>
                <w:rFonts w:eastAsia="Arial"/>
                <w:color w:val="010205"/>
                <w:sz w:val="20"/>
                <w:szCs w:val="20"/>
              </w:rPr>
            </w:pPr>
            <w:r w:rsidRPr="00697F3B">
              <w:rPr>
                <w:rFonts w:eastAsia="Arial"/>
                <w:color w:val="010205"/>
                <w:sz w:val="20"/>
                <w:szCs w:val="20"/>
              </w:rPr>
              <w:t>9</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303A089B" w14:textId="107BCAE7" w:rsidR="00AA24D9" w:rsidRPr="00697F3B" w:rsidRDefault="00AA24D9" w:rsidP="00B63591">
            <w:pPr>
              <w:spacing w:before="15" w:after="10"/>
              <w:ind w:left="30" w:right="40"/>
              <w:rPr>
                <w:rFonts w:eastAsia="Arial"/>
                <w:color w:val="010205"/>
                <w:sz w:val="20"/>
                <w:szCs w:val="20"/>
              </w:rPr>
            </w:pPr>
            <w:r w:rsidRPr="00697F3B">
              <w:rPr>
                <w:rFonts w:eastAsia="Arial"/>
                <w:color w:val="010205"/>
                <w:sz w:val="20"/>
                <w:szCs w:val="20"/>
              </w:rPr>
              <w:t xml:space="preserve">La distribution de « Le nombre de domaines contestables dans lequel le fonds est présent (/15) » est la même sur les </w:t>
            </w:r>
            <w:r w:rsidR="007408B4" w:rsidRPr="00697F3B">
              <w:rPr>
                <w:rFonts w:eastAsia="Arial"/>
                <w:color w:val="010205"/>
                <w:sz w:val="20"/>
                <w:szCs w:val="20"/>
              </w:rPr>
              <w:t>fonds ISR et non ISR</w:t>
            </w:r>
            <w:r w:rsidR="00264045" w:rsidRPr="00697F3B">
              <w:rPr>
                <w:rFonts w:eastAsia="Arial"/>
                <w:color w:val="010205"/>
                <w:sz w:val="20"/>
                <w:szCs w:val="20"/>
              </w:rPr>
              <w:t>.</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266BCC38" w14:textId="777B8CBD"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23,81</w:t>
            </w:r>
          </w:p>
          <w:p w14:paraId="61066EF5" w14:textId="3B75446C"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Non ISR : 43,31</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1C6202AC" w14:textId="57227C46"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7D482A5F" w14:textId="169D99DA" w:rsidR="00AA24D9" w:rsidRPr="00697F3B" w:rsidRDefault="00AA24D9" w:rsidP="00B63591">
            <w:pPr>
              <w:spacing w:before="15" w:after="10"/>
              <w:ind w:left="30" w:right="40"/>
              <w:jc w:val="center"/>
              <w:rPr>
                <w:sz w:val="20"/>
                <w:szCs w:val="20"/>
              </w:rPr>
            </w:pPr>
            <w:r w:rsidRPr="00697F3B">
              <w:rPr>
                <w:rFonts w:eastAsia="Arial"/>
                <w:color w:val="010205"/>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0A4D24C4" w14:textId="77777777"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ISR : 16,67</w:t>
            </w:r>
          </w:p>
          <w:p w14:paraId="265D164C" w14:textId="6AA2876A"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Non ISR : 33,65</w:t>
            </w:r>
          </w:p>
        </w:tc>
        <w:tc>
          <w:tcPr>
            <w:tcW w:w="992" w:type="dxa"/>
            <w:tcBorders>
              <w:top w:val="single" w:sz="1" w:space="0" w:color="AEAEAE"/>
              <w:left w:val="single" w:sz="1" w:space="0" w:color="E0E0E0"/>
              <w:bottom w:val="single" w:sz="1" w:space="0" w:color="AEAEAE"/>
              <w:right w:val="single" w:sz="1" w:space="0" w:color="E0E0E0"/>
            </w:tcBorders>
            <w:shd w:val="clear" w:color="auto" w:fill="F9F9FB"/>
          </w:tcPr>
          <w:p w14:paraId="3AD03667" w14:textId="512227C8"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&lt;,001</w:t>
            </w:r>
          </w:p>
          <w:p w14:paraId="5400D79C" w14:textId="60C3E1C9"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w:t>
            </w:r>
          </w:p>
        </w:tc>
      </w:tr>
      <w:tr w:rsidR="00AA24D9" w:rsidRPr="00697F3B" w14:paraId="40B8A080" w14:textId="6A56F919"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389BC6F4" w14:textId="1360BF04" w:rsidR="00AA24D9" w:rsidRPr="00697F3B" w:rsidRDefault="00AE5C35" w:rsidP="00AA24D9">
            <w:pPr>
              <w:spacing w:before="15" w:after="10"/>
              <w:ind w:left="30" w:right="40"/>
              <w:jc w:val="center"/>
              <w:rPr>
                <w:rFonts w:eastAsia="Arial"/>
                <w:color w:val="010205"/>
                <w:sz w:val="20"/>
                <w:szCs w:val="20"/>
              </w:rPr>
            </w:pPr>
            <w:r w:rsidRPr="00697F3B">
              <w:rPr>
                <w:rFonts w:eastAsia="Arial"/>
                <w:color w:val="010205"/>
                <w:sz w:val="20"/>
                <w:szCs w:val="20"/>
              </w:rPr>
              <w:t>10</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73BD5988" w14:textId="7823C24D" w:rsidR="00AA24D9" w:rsidRPr="00697F3B" w:rsidRDefault="00AA24D9" w:rsidP="00B63591">
            <w:pPr>
              <w:spacing w:before="15" w:after="10"/>
              <w:ind w:left="30" w:right="40"/>
              <w:rPr>
                <w:rFonts w:eastAsia="Arial"/>
                <w:color w:val="010205"/>
                <w:sz w:val="20"/>
                <w:szCs w:val="20"/>
              </w:rPr>
            </w:pPr>
            <w:r w:rsidRPr="00697F3B">
              <w:rPr>
                <w:rFonts w:eastAsia="Arial"/>
                <w:color w:val="010205"/>
                <w:sz w:val="20"/>
                <w:szCs w:val="20"/>
              </w:rPr>
              <w:t xml:space="preserve">La distribution de « Le plus haut pourcentage d’implication dans un domaine contestable par fonds (%) » est la même </w:t>
            </w:r>
            <w:r w:rsidR="007408B4" w:rsidRPr="00697F3B">
              <w:rPr>
                <w:rFonts w:eastAsia="Arial"/>
                <w:color w:val="010205"/>
                <w:sz w:val="20"/>
                <w:szCs w:val="20"/>
              </w:rPr>
              <w:t>sur les fonds ISR et non ISR</w:t>
            </w:r>
            <w:r w:rsidR="00264045" w:rsidRPr="00697F3B">
              <w:rPr>
                <w:rFonts w:eastAsia="Arial"/>
                <w:color w:val="010205"/>
                <w:sz w:val="20"/>
                <w:szCs w:val="20"/>
              </w:rPr>
              <w:t>.</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36ABB639" w14:textId="77777777" w:rsidR="00AA24D9" w:rsidRPr="00697F3B" w:rsidRDefault="00AA24D9" w:rsidP="00380A53">
            <w:pPr>
              <w:spacing w:before="15" w:after="10"/>
              <w:ind w:left="30" w:right="40"/>
              <w:jc w:val="center"/>
              <w:rPr>
                <w:rFonts w:eastAsia="Arial"/>
                <w:color w:val="010205"/>
                <w:sz w:val="20"/>
                <w:szCs w:val="20"/>
              </w:rPr>
            </w:pPr>
            <w:r w:rsidRPr="00697F3B">
              <w:rPr>
                <w:rFonts w:eastAsia="Arial"/>
                <w:color w:val="010205"/>
                <w:sz w:val="20"/>
                <w:szCs w:val="20"/>
              </w:rPr>
              <w:t>ISR : 41,88</w:t>
            </w:r>
          </w:p>
          <w:p w14:paraId="759F5A97" w14:textId="6E403B9A" w:rsidR="00AA24D9" w:rsidRPr="00697F3B" w:rsidRDefault="00AA24D9" w:rsidP="00380A53">
            <w:pPr>
              <w:spacing w:before="15" w:after="10"/>
              <w:ind w:left="30" w:right="40"/>
              <w:jc w:val="center"/>
              <w:rPr>
                <w:rFonts w:eastAsia="Arial"/>
                <w:color w:val="010205"/>
                <w:sz w:val="20"/>
                <w:szCs w:val="20"/>
              </w:rPr>
            </w:pPr>
            <w:r w:rsidRPr="00697F3B">
              <w:rPr>
                <w:rFonts w:eastAsia="Arial"/>
                <w:color w:val="010205"/>
                <w:sz w:val="20"/>
                <w:szCs w:val="20"/>
              </w:rPr>
              <w:t>Non ISR : 26,80</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7961BDFD" w14:textId="493AF394"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,002</w:t>
            </w:r>
          </w:p>
          <w:p w14:paraId="7C40EDE2" w14:textId="42E00471" w:rsidR="00AA24D9" w:rsidRPr="00697F3B" w:rsidRDefault="00AA24D9" w:rsidP="00B63591">
            <w:pPr>
              <w:spacing w:before="15" w:after="10"/>
              <w:ind w:left="30" w:right="40"/>
              <w:jc w:val="center"/>
              <w:rPr>
                <w:sz w:val="20"/>
                <w:szCs w:val="20"/>
              </w:rPr>
            </w:pPr>
            <w:r w:rsidRPr="00697F3B">
              <w:rPr>
                <w:rFonts w:eastAsia="Arial"/>
                <w:color w:val="010205"/>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5C61C778" w14:textId="69AACA4F" w:rsidR="00AA24D9" w:rsidRPr="00697F3B" w:rsidRDefault="00AA24D9" w:rsidP="00111A67">
            <w:pPr>
              <w:spacing w:before="15" w:after="10"/>
              <w:ind w:left="30" w:right="40"/>
              <w:jc w:val="center"/>
              <w:rPr>
                <w:rFonts w:eastAsia="Arial"/>
                <w:color w:val="010205"/>
                <w:sz w:val="20"/>
                <w:szCs w:val="20"/>
              </w:rPr>
            </w:pPr>
            <w:r w:rsidRPr="00697F3B">
              <w:rPr>
                <w:rFonts w:eastAsia="Arial"/>
                <w:color w:val="010205"/>
                <w:sz w:val="20"/>
                <w:szCs w:val="20"/>
              </w:rPr>
              <w:t>ISR : 26,55</w:t>
            </w:r>
          </w:p>
          <w:p w14:paraId="4593D385" w14:textId="345ABC20" w:rsidR="00AA24D9" w:rsidRPr="00697F3B" w:rsidRDefault="00AA24D9" w:rsidP="00111A67">
            <w:pPr>
              <w:spacing w:before="15" w:after="10"/>
              <w:ind w:left="30" w:right="40"/>
              <w:jc w:val="center"/>
              <w:rPr>
                <w:rFonts w:eastAsia="Arial"/>
                <w:color w:val="010205"/>
                <w:sz w:val="20"/>
                <w:szCs w:val="20"/>
              </w:rPr>
            </w:pPr>
            <w:r w:rsidRPr="00697F3B">
              <w:rPr>
                <w:rFonts w:eastAsia="Arial"/>
                <w:color w:val="010205"/>
                <w:sz w:val="20"/>
                <w:szCs w:val="20"/>
              </w:rPr>
              <w:t>Non ISR : 20,94</w:t>
            </w:r>
          </w:p>
        </w:tc>
        <w:tc>
          <w:tcPr>
            <w:tcW w:w="992" w:type="dxa"/>
            <w:tcBorders>
              <w:top w:val="single" w:sz="1" w:space="0" w:color="AEAEAE"/>
              <w:left w:val="single" w:sz="1" w:space="0" w:color="E0E0E0"/>
              <w:bottom w:val="single" w:sz="1" w:space="0" w:color="AEAEAE"/>
              <w:right w:val="single" w:sz="1" w:space="0" w:color="E0E0E0"/>
            </w:tcBorders>
            <w:shd w:val="clear" w:color="auto" w:fill="F9F9FB"/>
          </w:tcPr>
          <w:p w14:paraId="01FEF743" w14:textId="63621A32" w:rsidR="00AA24D9" w:rsidRPr="00697F3B" w:rsidRDefault="00AA24D9" w:rsidP="00111A67">
            <w:pPr>
              <w:spacing w:before="15" w:after="10"/>
              <w:ind w:left="30" w:right="40"/>
              <w:jc w:val="center"/>
              <w:rPr>
                <w:rFonts w:eastAsia="Arial"/>
                <w:color w:val="010205"/>
                <w:sz w:val="20"/>
                <w:szCs w:val="20"/>
              </w:rPr>
            </w:pPr>
            <w:r w:rsidRPr="00697F3B">
              <w:rPr>
                <w:rFonts w:eastAsia="Arial"/>
                <w:color w:val="010205"/>
                <w:sz w:val="20"/>
                <w:szCs w:val="20"/>
              </w:rPr>
              <w:t>&lt;,001</w:t>
            </w:r>
          </w:p>
          <w:p w14:paraId="259F3316" w14:textId="19026278" w:rsidR="00AA24D9" w:rsidRPr="00697F3B" w:rsidRDefault="00AA24D9" w:rsidP="00B63591">
            <w:pPr>
              <w:spacing w:before="15" w:after="10"/>
              <w:ind w:left="30" w:right="40"/>
              <w:jc w:val="center"/>
              <w:rPr>
                <w:rFonts w:eastAsia="Arial"/>
                <w:color w:val="010205"/>
                <w:sz w:val="20"/>
                <w:szCs w:val="20"/>
              </w:rPr>
            </w:pPr>
            <w:r w:rsidRPr="00697F3B">
              <w:rPr>
                <w:rFonts w:eastAsia="Arial"/>
                <w:color w:val="010205"/>
                <w:sz w:val="20"/>
                <w:szCs w:val="20"/>
              </w:rPr>
              <w:t>***</w:t>
            </w:r>
          </w:p>
        </w:tc>
      </w:tr>
    </w:tbl>
    <w:p w14:paraId="429294D0" w14:textId="2C43F629" w:rsidR="001233DB" w:rsidRPr="00697F3B" w:rsidRDefault="004329BB" w:rsidP="001233DB">
      <w:pPr>
        <w:spacing w:after="240" w:line="360" w:lineRule="auto"/>
        <w:jc w:val="both"/>
        <w:rPr>
          <w:color w:val="000000" w:themeColor="text1"/>
        </w:rPr>
      </w:pPr>
      <w:r w:rsidRPr="00697F3B">
        <w:rPr>
          <w:color w:val="000000" w:themeColor="text1"/>
        </w:rPr>
        <w:t>*** significatif à 1%</w:t>
      </w:r>
      <w:r w:rsidR="001233DB" w:rsidRPr="00697F3B">
        <w:rPr>
          <w:color w:val="000000" w:themeColor="text1"/>
        </w:rPr>
        <w:t>, * significatif à 10%</w:t>
      </w:r>
    </w:p>
    <w:p w14:paraId="48DFCE43" w14:textId="7D4D91A0" w:rsidR="00787EE9" w:rsidRPr="00697F3B" w:rsidRDefault="005E7B73" w:rsidP="00F63F25">
      <w:pPr>
        <w:spacing w:after="240" w:line="360" w:lineRule="auto"/>
        <w:jc w:val="both"/>
        <w:rPr>
          <w:color w:val="000000" w:themeColor="text1"/>
        </w:rPr>
      </w:pPr>
      <w:r w:rsidRPr="00697F3B">
        <w:rPr>
          <w:color w:val="000000" w:themeColor="text1"/>
        </w:rPr>
        <w:t xml:space="preserve">Par ailleurs, </w:t>
      </w:r>
      <w:r w:rsidR="00152E57" w:rsidRPr="00697F3B">
        <w:rPr>
          <w:color w:val="000000" w:themeColor="text1"/>
        </w:rPr>
        <w:t xml:space="preserve">comme le montre le Tableau 4, </w:t>
      </w:r>
      <w:r w:rsidRPr="00697F3B">
        <w:rPr>
          <w:color w:val="000000" w:themeColor="text1"/>
        </w:rPr>
        <w:t>le test d</w:t>
      </w:r>
      <w:r w:rsidR="00927103" w:rsidRPr="00697F3B">
        <w:rPr>
          <w:color w:val="000000" w:themeColor="text1"/>
        </w:rPr>
        <w:t xml:space="preserve">e l’hypothèse 3 </w:t>
      </w:r>
      <w:r w:rsidRPr="00697F3B">
        <w:rPr>
          <w:color w:val="000000" w:themeColor="text1"/>
        </w:rPr>
        <w:t xml:space="preserve">révèle que les sous-hypothèses nulles relatives </w:t>
      </w:r>
      <w:r w:rsidR="00336368" w:rsidRPr="00697F3B">
        <w:rPr>
          <w:color w:val="000000" w:themeColor="text1"/>
        </w:rPr>
        <w:t xml:space="preserve">aux </w:t>
      </w:r>
      <w:r w:rsidR="00BB2417" w:rsidRPr="00697F3B">
        <w:rPr>
          <w:color w:val="000000" w:themeColor="text1"/>
        </w:rPr>
        <w:t xml:space="preserve">indicateurs </w:t>
      </w:r>
      <w:r w:rsidRPr="00697F3B">
        <w:rPr>
          <w:color w:val="000000" w:themeColor="text1"/>
        </w:rPr>
        <w:t xml:space="preserve">extra-financiers </w:t>
      </w:r>
      <w:r w:rsidR="003D67C3" w:rsidRPr="00697F3B">
        <w:rPr>
          <w:color w:val="000000" w:themeColor="text1"/>
        </w:rPr>
        <w:t>ne peuvent pas être rejetées</w:t>
      </w:r>
      <w:r w:rsidR="00152E57" w:rsidRPr="00697F3B">
        <w:rPr>
          <w:color w:val="000000" w:themeColor="text1"/>
        </w:rPr>
        <w:t xml:space="preserve"> à 5% de significativité</w:t>
      </w:r>
      <w:r w:rsidR="00336368" w:rsidRPr="00697F3B">
        <w:rPr>
          <w:color w:val="000000" w:themeColor="text1"/>
        </w:rPr>
        <w:t>, à l’exception de celle</w:t>
      </w:r>
      <w:r w:rsidR="00C62A02" w:rsidRPr="00697F3B">
        <w:rPr>
          <w:color w:val="000000" w:themeColor="text1"/>
        </w:rPr>
        <w:t>s</w:t>
      </w:r>
      <w:r w:rsidR="00336368" w:rsidRPr="00697F3B">
        <w:rPr>
          <w:color w:val="000000" w:themeColor="text1"/>
        </w:rPr>
        <w:t xml:space="preserve"> relative</w:t>
      </w:r>
      <w:r w:rsidR="00C62A02" w:rsidRPr="00697F3B">
        <w:rPr>
          <w:color w:val="000000" w:themeColor="text1"/>
        </w:rPr>
        <w:t>s</w:t>
      </w:r>
      <w:r w:rsidR="00336368" w:rsidRPr="00697F3B">
        <w:rPr>
          <w:color w:val="000000" w:themeColor="text1"/>
        </w:rPr>
        <w:t xml:space="preserve"> aux nombres de domaines contestables où les fonds sont actifs</w:t>
      </w:r>
      <w:r w:rsidR="00C62A02" w:rsidRPr="00697F3B">
        <w:rPr>
          <w:color w:val="000000" w:themeColor="text1"/>
        </w:rPr>
        <w:t xml:space="preserve"> et aux risques </w:t>
      </w:r>
      <w:r w:rsidR="0011611B">
        <w:rPr>
          <w:color w:val="000000" w:themeColor="text1"/>
        </w:rPr>
        <w:t>sociaux</w:t>
      </w:r>
      <w:r w:rsidRPr="00697F3B">
        <w:rPr>
          <w:color w:val="000000" w:themeColor="text1"/>
        </w:rPr>
        <w:t>.</w:t>
      </w:r>
      <w:r w:rsidR="00DC6D21" w:rsidRPr="00697F3B">
        <w:rPr>
          <w:color w:val="000000" w:themeColor="text1"/>
        </w:rPr>
        <w:t xml:space="preserve"> Les fonds A</w:t>
      </w:r>
      <w:r w:rsidR="005530DE" w:rsidRPr="00697F3B">
        <w:rPr>
          <w:color w:val="000000" w:themeColor="text1"/>
        </w:rPr>
        <w:t xml:space="preserve">rticle </w:t>
      </w:r>
      <w:r w:rsidR="00DC6D21" w:rsidRPr="00697F3B">
        <w:rPr>
          <w:color w:val="000000" w:themeColor="text1"/>
        </w:rPr>
        <w:t xml:space="preserve">9 </w:t>
      </w:r>
      <w:r w:rsidR="005530DE" w:rsidRPr="00697F3B">
        <w:rPr>
          <w:color w:val="000000" w:themeColor="text1"/>
        </w:rPr>
        <w:t>sont en effet moins présents dans des domaines contestables que les fonds Article 8</w:t>
      </w:r>
      <w:r w:rsidR="00DC6D21" w:rsidRPr="00697F3B">
        <w:rPr>
          <w:color w:val="000000" w:themeColor="text1"/>
        </w:rPr>
        <w:t xml:space="preserve">. </w:t>
      </w:r>
      <w:r w:rsidR="00C62A02" w:rsidRPr="00697F3B">
        <w:rPr>
          <w:color w:val="000000" w:themeColor="text1"/>
        </w:rPr>
        <w:t>Les fonds Article</w:t>
      </w:r>
      <w:r w:rsidR="00DD3EEF">
        <w:rPr>
          <w:color w:val="000000" w:themeColor="text1"/>
        </w:rPr>
        <w:t xml:space="preserve"> </w:t>
      </w:r>
      <w:r w:rsidR="00C62A02" w:rsidRPr="00697F3B">
        <w:rPr>
          <w:color w:val="000000" w:themeColor="text1"/>
        </w:rPr>
        <w:t xml:space="preserve">9 ont également des risques </w:t>
      </w:r>
      <w:r w:rsidR="00722182">
        <w:rPr>
          <w:color w:val="000000" w:themeColor="text1"/>
        </w:rPr>
        <w:t xml:space="preserve">sociaux </w:t>
      </w:r>
      <w:r w:rsidR="00C62A02" w:rsidRPr="00697F3B">
        <w:rPr>
          <w:color w:val="000000" w:themeColor="text1"/>
        </w:rPr>
        <w:t xml:space="preserve">moins importants que les fonds Article 8. </w:t>
      </w:r>
      <w:r w:rsidR="005530DE" w:rsidRPr="00697F3B">
        <w:rPr>
          <w:color w:val="000000" w:themeColor="text1"/>
        </w:rPr>
        <w:t>De manière générale, nous pouvons donc affirmer que les différences au niveau de la performance extra-financière des</w:t>
      </w:r>
      <w:r w:rsidR="00E039E7" w:rsidRPr="00697F3B">
        <w:rPr>
          <w:color w:val="000000" w:themeColor="text1"/>
        </w:rPr>
        <w:t xml:space="preserve"> fonds</w:t>
      </w:r>
      <w:r w:rsidRPr="00697F3B">
        <w:rPr>
          <w:color w:val="000000" w:themeColor="text1"/>
        </w:rPr>
        <w:t xml:space="preserve"> Article 8 et</w:t>
      </w:r>
      <w:r w:rsidR="00DA0078" w:rsidRPr="00697F3B">
        <w:rPr>
          <w:color w:val="000000" w:themeColor="text1"/>
        </w:rPr>
        <w:t xml:space="preserve"> des</w:t>
      </w:r>
      <w:r w:rsidRPr="00697F3B">
        <w:rPr>
          <w:color w:val="000000" w:themeColor="text1"/>
        </w:rPr>
        <w:t xml:space="preserve"> fonds Article 9</w:t>
      </w:r>
      <w:r w:rsidR="00787EE9" w:rsidRPr="00697F3B">
        <w:rPr>
          <w:color w:val="000000" w:themeColor="text1"/>
        </w:rPr>
        <w:t xml:space="preserve"> ne se manifeste</w:t>
      </w:r>
      <w:r w:rsidR="00E039E7" w:rsidRPr="00697F3B">
        <w:rPr>
          <w:color w:val="000000" w:themeColor="text1"/>
        </w:rPr>
        <w:t>nt</w:t>
      </w:r>
      <w:r w:rsidR="00787EE9" w:rsidRPr="00697F3B">
        <w:rPr>
          <w:color w:val="000000" w:themeColor="text1"/>
        </w:rPr>
        <w:t xml:space="preserve"> que </w:t>
      </w:r>
      <w:r w:rsidR="00E039E7" w:rsidRPr="00697F3B">
        <w:rPr>
          <w:color w:val="000000" w:themeColor="text1"/>
        </w:rPr>
        <w:t xml:space="preserve">très </w:t>
      </w:r>
      <w:r w:rsidR="00787EE9" w:rsidRPr="00697F3B">
        <w:rPr>
          <w:color w:val="000000" w:themeColor="text1"/>
        </w:rPr>
        <w:t xml:space="preserve">peu. </w:t>
      </w:r>
    </w:p>
    <w:p w14:paraId="7B64E0EC" w14:textId="1341D464" w:rsidR="00DF6E07" w:rsidRPr="00697F3B" w:rsidRDefault="00927103" w:rsidP="00DF6E07">
      <w:pPr>
        <w:pStyle w:val="Paragraphedeliste"/>
        <w:spacing w:after="240" w:line="360" w:lineRule="auto"/>
        <w:jc w:val="center"/>
        <w:rPr>
          <w:rFonts w:ascii="Times New Roman" w:hAnsi="Times New Roman" w:cs="Times New Roman"/>
          <w:color w:val="000000" w:themeColor="text1"/>
          <w:sz w:val="18"/>
          <w:szCs w:val="18"/>
          <w:lang w:eastAsia="fr-FR"/>
        </w:rPr>
      </w:pPr>
      <w:r w:rsidRPr="00697F3B">
        <w:rPr>
          <w:rFonts w:ascii="Times New Roman" w:hAnsi="Times New Roman" w:cs="Times New Roman"/>
          <w:color w:val="000000" w:themeColor="text1"/>
          <w:sz w:val="18"/>
          <w:szCs w:val="18"/>
          <w:lang w:eastAsia="fr-FR"/>
        </w:rPr>
        <w:t xml:space="preserve">Tableau </w:t>
      </w:r>
      <w:r w:rsidR="00DF6E07" w:rsidRPr="00697F3B">
        <w:rPr>
          <w:rFonts w:ascii="Times New Roman" w:hAnsi="Times New Roman" w:cs="Times New Roman"/>
          <w:color w:val="000000" w:themeColor="text1"/>
          <w:sz w:val="18"/>
          <w:szCs w:val="18"/>
          <w:lang w:eastAsia="fr-FR"/>
        </w:rPr>
        <w:t xml:space="preserve"> </w:t>
      </w:r>
      <w:r w:rsidRPr="00697F3B">
        <w:rPr>
          <w:rFonts w:ascii="Times New Roman" w:hAnsi="Times New Roman" w:cs="Times New Roman"/>
          <w:color w:val="000000" w:themeColor="text1"/>
          <w:sz w:val="18"/>
          <w:szCs w:val="18"/>
          <w:lang w:eastAsia="fr-FR"/>
        </w:rPr>
        <w:t>4</w:t>
      </w:r>
      <w:r w:rsidR="00DF6E07" w:rsidRPr="00697F3B">
        <w:rPr>
          <w:rFonts w:ascii="Times New Roman" w:hAnsi="Times New Roman" w:cs="Times New Roman"/>
          <w:color w:val="000000" w:themeColor="text1"/>
          <w:sz w:val="18"/>
          <w:szCs w:val="18"/>
          <w:lang w:eastAsia="fr-FR"/>
        </w:rPr>
        <w:t xml:space="preserve">: Récapitulatif du test d'hypothèse </w:t>
      </w:r>
      <w:r w:rsidR="00B60608" w:rsidRPr="00697F3B">
        <w:rPr>
          <w:rFonts w:ascii="Times New Roman" w:hAnsi="Times New Roman" w:cs="Times New Roman"/>
          <w:color w:val="000000" w:themeColor="text1"/>
          <w:sz w:val="18"/>
          <w:szCs w:val="18"/>
          <w:lang w:eastAsia="fr-FR"/>
        </w:rPr>
        <w:t>pour l’hypothèse 3 (test U de Mann-</w:t>
      </w:r>
      <w:proofErr w:type="spellStart"/>
      <w:r w:rsidR="00B60608" w:rsidRPr="00697F3B">
        <w:rPr>
          <w:rFonts w:ascii="Times New Roman" w:hAnsi="Times New Roman" w:cs="Times New Roman"/>
          <w:color w:val="000000" w:themeColor="text1"/>
          <w:sz w:val="18"/>
          <w:szCs w:val="18"/>
          <w:lang w:eastAsia="fr-FR"/>
        </w:rPr>
        <w:t>Withney</w:t>
      </w:r>
      <w:proofErr w:type="spellEnd"/>
      <w:r w:rsidR="00B60608" w:rsidRPr="00697F3B">
        <w:rPr>
          <w:rFonts w:ascii="Times New Roman" w:hAnsi="Times New Roman" w:cs="Times New Roman"/>
          <w:color w:val="000000" w:themeColor="text1"/>
          <w:sz w:val="18"/>
          <w:szCs w:val="18"/>
          <w:lang w:eastAsia="fr-FR"/>
        </w:rPr>
        <w:t xml:space="preserve"> pour échantillons indépendants) </w:t>
      </w:r>
    </w:p>
    <w:tbl>
      <w:tblPr>
        <w:tblW w:w="7493" w:type="dxa"/>
        <w:jc w:val="center"/>
        <w:tblLayout w:type="fixed"/>
        <w:tblCellMar>
          <w:left w:w="10" w:type="dxa"/>
          <w:right w:w="10" w:type="dxa"/>
        </w:tblCellMar>
        <w:tblLook w:val="0000" w:firstRow="0" w:lastRow="0" w:firstColumn="0" w:lastColumn="0" w:noHBand="0" w:noVBand="0"/>
      </w:tblPr>
      <w:tblGrid>
        <w:gridCol w:w="668"/>
        <w:gridCol w:w="4000"/>
        <w:gridCol w:w="1276"/>
        <w:gridCol w:w="1549"/>
      </w:tblGrid>
      <w:tr w:rsidR="009B2838" w:rsidRPr="00697F3B" w14:paraId="6CA92E7D" w14:textId="77777777" w:rsidTr="008A36BE">
        <w:trPr>
          <w:jc w:val="center"/>
        </w:trPr>
        <w:tc>
          <w:tcPr>
            <w:tcW w:w="668" w:type="dxa"/>
            <w:tcBorders>
              <w:top w:val="none" w:sz="1" w:space="0" w:color="152935"/>
              <w:left w:val="none" w:sz="1" w:space="0" w:color="152935"/>
              <w:bottom w:val="single" w:sz="1" w:space="0" w:color="152935"/>
              <w:right w:val="none" w:sz="1" w:space="0" w:color="152935"/>
            </w:tcBorders>
            <w:shd w:val="clear" w:color="auto" w:fill="FFFFFF"/>
            <w:vAlign w:val="bottom"/>
          </w:tcPr>
          <w:p w14:paraId="575BF039" w14:textId="77777777" w:rsidR="009B2838" w:rsidRPr="00697F3B" w:rsidRDefault="009B2838" w:rsidP="005133F3">
            <w:pPr>
              <w:spacing w:before="15" w:after="5"/>
              <w:ind w:left="30" w:right="40"/>
              <w:rPr>
                <w:sz w:val="20"/>
                <w:szCs w:val="20"/>
              </w:rPr>
            </w:pPr>
          </w:p>
        </w:tc>
        <w:tc>
          <w:tcPr>
            <w:tcW w:w="4000" w:type="dxa"/>
            <w:tcBorders>
              <w:top w:val="none" w:sz="1" w:space="0" w:color="152935"/>
              <w:left w:val="none" w:sz="1" w:space="0" w:color="152935"/>
              <w:bottom w:val="single" w:sz="1" w:space="0" w:color="152935"/>
              <w:right w:val="single" w:sz="1" w:space="0" w:color="E0E0E0"/>
            </w:tcBorders>
            <w:shd w:val="clear" w:color="auto" w:fill="FFFFFF"/>
            <w:vAlign w:val="bottom"/>
          </w:tcPr>
          <w:p w14:paraId="7D1B97EA" w14:textId="77777777" w:rsidR="009B2838" w:rsidRPr="00697F3B" w:rsidRDefault="009B2838" w:rsidP="005133F3">
            <w:pPr>
              <w:spacing w:before="10" w:after="10"/>
              <w:ind w:left="30" w:right="40"/>
              <w:jc w:val="center"/>
              <w:rPr>
                <w:sz w:val="20"/>
                <w:szCs w:val="20"/>
              </w:rPr>
            </w:pPr>
            <w:r w:rsidRPr="00697F3B">
              <w:rPr>
                <w:rFonts w:eastAsia="Arial"/>
                <w:color w:val="264A60"/>
                <w:sz w:val="20"/>
                <w:szCs w:val="20"/>
              </w:rPr>
              <w:t>Hypothèse nulle</w:t>
            </w:r>
          </w:p>
        </w:tc>
        <w:tc>
          <w:tcPr>
            <w:tcW w:w="1276" w:type="dxa"/>
            <w:tcBorders>
              <w:top w:val="none" w:sz="1" w:space="0" w:color="152935"/>
              <w:left w:val="single" w:sz="1" w:space="0" w:color="E0E0E0"/>
              <w:bottom w:val="single" w:sz="1" w:space="0" w:color="152935"/>
              <w:right w:val="single" w:sz="1" w:space="0" w:color="E0E0E0"/>
            </w:tcBorders>
            <w:shd w:val="clear" w:color="auto" w:fill="FFFFFF"/>
            <w:vAlign w:val="bottom"/>
          </w:tcPr>
          <w:p w14:paraId="269FEAB7" w14:textId="4082D14C" w:rsidR="009B2838" w:rsidRPr="00697F3B" w:rsidRDefault="009B2838" w:rsidP="005133F3">
            <w:pPr>
              <w:spacing w:before="10" w:after="10"/>
              <w:ind w:left="30" w:right="40"/>
              <w:jc w:val="center"/>
              <w:rPr>
                <w:sz w:val="20"/>
                <w:szCs w:val="20"/>
              </w:rPr>
            </w:pPr>
            <w:r w:rsidRPr="00697F3B">
              <w:rPr>
                <w:rFonts w:eastAsia="Arial"/>
                <w:color w:val="264A60"/>
                <w:sz w:val="20"/>
                <w:szCs w:val="20"/>
              </w:rPr>
              <w:t>Rang moyen</w:t>
            </w:r>
          </w:p>
        </w:tc>
        <w:tc>
          <w:tcPr>
            <w:tcW w:w="1549" w:type="dxa"/>
            <w:tcBorders>
              <w:top w:val="none" w:sz="1" w:space="0" w:color="152935"/>
              <w:left w:val="single" w:sz="1" w:space="0" w:color="E0E0E0"/>
              <w:bottom w:val="single" w:sz="1" w:space="0" w:color="152935"/>
              <w:right w:val="single" w:sz="1" w:space="0" w:color="E0E0E0"/>
            </w:tcBorders>
            <w:shd w:val="clear" w:color="auto" w:fill="FFFFFF"/>
            <w:vAlign w:val="bottom"/>
          </w:tcPr>
          <w:p w14:paraId="5FFC27F3" w14:textId="372E67EF" w:rsidR="009B2838" w:rsidRPr="00697F3B" w:rsidRDefault="009B2838" w:rsidP="005133F3">
            <w:pPr>
              <w:spacing w:before="10" w:after="10"/>
              <w:ind w:left="30" w:right="40"/>
              <w:jc w:val="center"/>
              <w:rPr>
                <w:sz w:val="20"/>
                <w:szCs w:val="20"/>
              </w:rPr>
            </w:pPr>
            <w:proofErr w:type="spellStart"/>
            <w:r w:rsidRPr="00697F3B">
              <w:rPr>
                <w:rFonts w:eastAsia="Arial"/>
                <w:color w:val="264A60"/>
                <w:sz w:val="20"/>
                <w:szCs w:val="20"/>
              </w:rPr>
              <w:t>Sig</w:t>
            </w:r>
            <w:proofErr w:type="spellEnd"/>
          </w:p>
        </w:tc>
      </w:tr>
      <w:tr w:rsidR="009B2838" w:rsidRPr="00697F3B" w14:paraId="417113FC" w14:textId="77777777" w:rsidTr="008A36BE">
        <w:trPr>
          <w:jc w:val="center"/>
        </w:trPr>
        <w:tc>
          <w:tcPr>
            <w:tcW w:w="668" w:type="dxa"/>
            <w:tcBorders>
              <w:top w:val="single" w:sz="1" w:space="0" w:color="152935"/>
              <w:left w:val="none" w:sz="1" w:space="0" w:color="152935"/>
              <w:bottom w:val="single" w:sz="1" w:space="0" w:color="AEAEAE"/>
              <w:right w:val="none" w:sz="1" w:space="0" w:color="152935"/>
            </w:tcBorders>
            <w:shd w:val="clear" w:color="auto" w:fill="E0E0E0"/>
          </w:tcPr>
          <w:p w14:paraId="62EF5273" w14:textId="416AB7CB" w:rsidR="009B2838" w:rsidRPr="00697F3B" w:rsidRDefault="009B2838" w:rsidP="00721B33">
            <w:pPr>
              <w:spacing w:before="15" w:after="10"/>
              <w:ind w:left="30" w:right="40"/>
              <w:rPr>
                <w:rFonts w:eastAsia="Arial"/>
                <w:color w:val="264A60"/>
                <w:sz w:val="20"/>
                <w:szCs w:val="20"/>
              </w:rPr>
            </w:pPr>
            <w:r w:rsidRPr="00697F3B">
              <w:rPr>
                <w:rFonts w:eastAsia="Arial"/>
                <w:color w:val="264A60"/>
                <w:sz w:val="20"/>
                <w:szCs w:val="20"/>
              </w:rPr>
              <w:t>1</w:t>
            </w:r>
          </w:p>
        </w:tc>
        <w:tc>
          <w:tcPr>
            <w:tcW w:w="4000" w:type="dxa"/>
            <w:tcBorders>
              <w:top w:val="single" w:sz="1" w:space="0" w:color="152935"/>
              <w:left w:val="none" w:sz="1" w:space="0" w:color="152935"/>
              <w:bottom w:val="single" w:sz="1" w:space="0" w:color="AEAEAE"/>
              <w:right w:val="single" w:sz="1" w:space="0" w:color="E0E0E0"/>
            </w:tcBorders>
            <w:shd w:val="clear" w:color="auto" w:fill="F9F9FB"/>
          </w:tcPr>
          <w:p w14:paraId="123AE6D0" w14:textId="76DCF6E6" w:rsidR="009B2838" w:rsidRPr="00697F3B" w:rsidRDefault="009B2838" w:rsidP="00721B33">
            <w:pPr>
              <w:spacing w:before="15" w:after="10"/>
              <w:ind w:left="30" w:right="40"/>
              <w:rPr>
                <w:rFonts w:eastAsia="Arial"/>
                <w:color w:val="010205"/>
                <w:sz w:val="20"/>
                <w:szCs w:val="20"/>
              </w:rPr>
            </w:pPr>
            <w:r w:rsidRPr="00697F3B">
              <w:rPr>
                <w:rFonts w:eastAsia="Arial"/>
                <w:color w:val="010205"/>
                <w:sz w:val="20"/>
                <w:szCs w:val="20"/>
              </w:rPr>
              <w:t xml:space="preserve">La distribution de « La côte de durabilité </w:t>
            </w:r>
            <w:proofErr w:type="spellStart"/>
            <w:r w:rsidRPr="00697F3B">
              <w:rPr>
                <w:rFonts w:eastAsia="Arial"/>
                <w:color w:val="010205"/>
                <w:sz w:val="20"/>
                <w:szCs w:val="20"/>
              </w:rPr>
              <w:t>Morningstar</w:t>
            </w:r>
            <w:proofErr w:type="spellEnd"/>
            <w:r w:rsidRPr="00697F3B">
              <w:rPr>
                <w:rFonts w:eastAsia="Arial"/>
                <w:color w:val="010205"/>
                <w:sz w:val="20"/>
                <w:szCs w:val="20"/>
              </w:rPr>
              <w:t xml:space="preserve"> (/5) » est la même sur les catégories de fonds Articles 8 et 9. </w:t>
            </w:r>
          </w:p>
        </w:tc>
        <w:tc>
          <w:tcPr>
            <w:tcW w:w="1276"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7622C7DD" w14:textId="194D9132" w:rsidR="009B2838" w:rsidRPr="00697F3B" w:rsidRDefault="009B2838" w:rsidP="005B2817">
            <w:pPr>
              <w:spacing w:before="15" w:after="10"/>
              <w:ind w:right="40"/>
              <w:jc w:val="center"/>
              <w:rPr>
                <w:rFonts w:eastAsia="Arial"/>
                <w:color w:val="010205"/>
                <w:sz w:val="20"/>
                <w:szCs w:val="20"/>
              </w:rPr>
            </w:pPr>
            <w:r w:rsidRPr="00697F3B">
              <w:rPr>
                <w:rFonts w:eastAsia="Arial"/>
                <w:color w:val="010205"/>
                <w:sz w:val="20"/>
                <w:szCs w:val="20"/>
              </w:rPr>
              <w:t>Art 8 :</w:t>
            </w:r>
            <w:r w:rsidR="00D866B8" w:rsidRPr="00697F3B">
              <w:rPr>
                <w:rFonts w:eastAsia="Arial"/>
                <w:color w:val="010205"/>
                <w:sz w:val="20"/>
                <w:szCs w:val="20"/>
              </w:rPr>
              <w:t xml:space="preserve"> 16,50</w:t>
            </w:r>
          </w:p>
          <w:p w14:paraId="78B575A7" w14:textId="573A12D3" w:rsidR="009B2838" w:rsidRPr="00697F3B" w:rsidRDefault="009B2838" w:rsidP="005B2817">
            <w:pPr>
              <w:spacing w:before="15" w:after="10"/>
              <w:ind w:left="30" w:right="40"/>
              <w:jc w:val="center"/>
              <w:rPr>
                <w:rFonts w:eastAsia="Arial"/>
                <w:color w:val="010205"/>
                <w:sz w:val="20"/>
                <w:szCs w:val="20"/>
              </w:rPr>
            </w:pPr>
            <w:r w:rsidRPr="00697F3B">
              <w:rPr>
                <w:rFonts w:eastAsia="Arial"/>
                <w:color w:val="010205"/>
                <w:sz w:val="20"/>
                <w:szCs w:val="20"/>
              </w:rPr>
              <w:t>Art 9 :</w:t>
            </w:r>
            <w:r w:rsidR="00D866B8" w:rsidRPr="00697F3B">
              <w:rPr>
                <w:rFonts w:eastAsia="Arial"/>
                <w:color w:val="010205"/>
                <w:sz w:val="20"/>
                <w:szCs w:val="20"/>
              </w:rPr>
              <w:t>17,22</w:t>
            </w:r>
          </w:p>
        </w:tc>
        <w:tc>
          <w:tcPr>
            <w:tcW w:w="1549"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646F7B6E" w14:textId="0766B9D9" w:rsidR="009B2838" w:rsidRPr="00697F3B" w:rsidRDefault="009B2838" w:rsidP="005B2817">
            <w:pPr>
              <w:spacing w:before="15" w:after="10"/>
              <w:ind w:left="30" w:right="40"/>
              <w:jc w:val="center"/>
              <w:rPr>
                <w:rFonts w:eastAsia="Arial"/>
                <w:color w:val="010205"/>
                <w:sz w:val="20"/>
                <w:szCs w:val="20"/>
              </w:rPr>
            </w:pPr>
            <w:r w:rsidRPr="00697F3B">
              <w:rPr>
                <w:rFonts w:eastAsia="Arial"/>
                <w:color w:val="010205"/>
                <w:sz w:val="20"/>
                <w:szCs w:val="20"/>
              </w:rPr>
              <w:t>,862</w:t>
            </w:r>
          </w:p>
        </w:tc>
      </w:tr>
      <w:tr w:rsidR="009B2838" w:rsidRPr="00697F3B" w14:paraId="301B9DAE" w14:textId="77777777" w:rsidTr="008A36BE">
        <w:trPr>
          <w:jc w:val="center"/>
        </w:trPr>
        <w:tc>
          <w:tcPr>
            <w:tcW w:w="668" w:type="dxa"/>
            <w:tcBorders>
              <w:top w:val="single" w:sz="1" w:space="0" w:color="152935"/>
              <w:left w:val="none" w:sz="1" w:space="0" w:color="152935"/>
              <w:bottom w:val="single" w:sz="1" w:space="0" w:color="AEAEAE"/>
              <w:right w:val="none" w:sz="1" w:space="0" w:color="152935"/>
            </w:tcBorders>
            <w:shd w:val="clear" w:color="auto" w:fill="E0E0E0"/>
          </w:tcPr>
          <w:p w14:paraId="676A4B98" w14:textId="2A30C4ED" w:rsidR="009B2838" w:rsidRPr="00697F3B" w:rsidRDefault="009B2838" w:rsidP="00721B33">
            <w:pPr>
              <w:spacing w:before="15" w:after="10"/>
              <w:ind w:left="30" w:right="40"/>
              <w:rPr>
                <w:rFonts w:eastAsia="Arial"/>
                <w:color w:val="264A60"/>
                <w:sz w:val="20"/>
                <w:szCs w:val="20"/>
              </w:rPr>
            </w:pPr>
            <w:r w:rsidRPr="00697F3B">
              <w:rPr>
                <w:rFonts w:eastAsia="Arial"/>
                <w:color w:val="264A60"/>
                <w:sz w:val="20"/>
                <w:szCs w:val="20"/>
              </w:rPr>
              <w:t>2</w:t>
            </w:r>
          </w:p>
        </w:tc>
        <w:tc>
          <w:tcPr>
            <w:tcW w:w="4000" w:type="dxa"/>
            <w:tcBorders>
              <w:top w:val="single" w:sz="1" w:space="0" w:color="152935"/>
              <w:left w:val="none" w:sz="1" w:space="0" w:color="152935"/>
              <w:bottom w:val="single" w:sz="1" w:space="0" w:color="AEAEAE"/>
              <w:right w:val="single" w:sz="1" w:space="0" w:color="E0E0E0"/>
            </w:tcBorders>
            <w:shd w:val="clear" w:color="auto" w:fill="F9F9FB"/>
          </w:tcPr>
          <w:p w14:paraId="73E2E680" w14:textId="4981108C" w:rsidR="009B2838" w:rsidRPr="00697F3B" w:rsidRDefault="009B2838" w:rsidP="00721B33">
            <w:pPr>
              <w:spacing w:before="15" w:after="10"/>
              <w:ind w:right="40"/>
              <w:rPr>
                <w:rFonts w:eastAsia="Arial"/>
                <w:color w:val="010205"/>
                <w:sz w:val="20"/>
                <w:szCs w:val="20"/>
              </w:rPr>
            </w:pPr>
            <w:r w:rsidRPr="00697F3B">
              <w:rPr>
                <w:rFonts w:eastAsia="Arial"/>
                <w:color w:val="010205"/>
                <w:sz w:val="20"/>
                <w:szCs w:val="20"/>
              </w:rPr>
              <w:t xml:space="preserve">La distribution de « La note extra-financière de MSCI disponible sur </w:t>
            </w:r>
            <w:proofErr w:type="spellStart"/>
            <w:r w:rsidRPr="00697F3B">
              <w:rPr>
                <w:rFonts w:eastAsia="Arial"/>
                <w:color w:val="010205"/>
                <w:sz w:val="20"/>
                <w:szCs w:val="20"/>
              </w:rPr>
              <w:t>FactSet</w:t>
            </w:r>
            <w:proofErr w:type="spellEnd"/>
            <w:r w:rsidRPr="00697F3B">
              <w:rPr>
                <w:rFonts w:eastAsia="Arial"/>
                <w:color w:val="010205"/>
                <w:sz w:val="20"/>
                <w:szCs w:val="20"/>
              </w:rPr>
              <w:t xml:space="preserve"> (/10) » est la même sur les catégories de fonds Articles 8 et 9. </w:t>
            </w:r>
          </w:p>
        </w:tc>
        <w:tc>
          <w:tcPr>
            <w:tcW w:w="1276"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7B34AC66" w14:textId="0E19F41F" w:rsidR="00D866B8" w:rsidRPr="00697F3B" w:rsidRDefault="00D866B8" w:rsidP="005B2817">
            <w:pPr>
              <w:spacing w:before="15" w:after="10"/>
              <w:ind w:right="40"/>
              <w:jc w:val="center"/>
              <w:rPr>
                <w:rFonts w:eastAsia="Arial"/>
                <w:color w:val="010205"/>
                <w:sz w:val="20"/>
                <w:szCs w:val="20"/>
              </w:rPr>
            </w:pPr>
            <w:r w:rsidRPr="00697F3B">
              <w:rPr>
                <w:rFonts w:eastAsia="Arial"/>
                <w:color w:val="010205"/>
                <w:sz w:val="20"/>
                <w:szCs w:val="20"/>
              </w:rPr>
              <w:t>Art 8 : 17,11</w:t>
            </w:r>
          </w:p>
          <w:p w14:paraId="06BA9449" w14:textId="76F2B8A9" w:rsidR="00D866B8" w:rsidRPr="00697F3B" w:rsidRDefault="00D866B8" w:rsidP="005B2817">
            <w:pPr>
              <w:spacing w:before="15" w:after="10"/>
              <w:ind w:right="40"/>
              <w:jc w:val="center"/>
              <w:rPr>
                <w:rFonts w:eastAsia="Arial"/>
                <w:color w:val="010205"/>
                <w:sz w:val="20"/>
                <w:szCs w:val="20"/>
              </w:rPr>
            </w:pPr>
            <w:r w:rsidRPr="00697F3B">
              <w:rPr>
                <w:rFonts w:eastAsia="Arial"/>
                <w:color w:val="010205"/>
                <w:sz w:val="20"/>
                <w:szCs w:val="20"/>
              </w:rPr>
              <w:t>Art 9 : 16,96</w:t>
            </w:r>
          </w:p>
          <w:p w14:paraId="62B1A5FF" w14:textId="4F6D9BA5" w:rsidR="00D866B8" w:rsidRPr="00697F3B" w:rsidRDefault="00D866B8" w:rsidP="005B2817">
            <w:pPr>
              <w:spacing w:before="15" w:after="10"/>
              <w:ind w:left="30" w:right="40"/>
              <w:jc w:val="center"/>
              <w:rPr>
                <w:rFonts w:eastAsia="Arial"/>
                <w:color w:val="010205"/>
                <w:sz w:val="20"/>
                <w:szCs w:val="20"/>
              </w:rPr>
            </w:pPr>
          </w:p>
        </w:tc>
        <w:tc>
          <w:tcPr>
            <w:tcW w:w="1549"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543A1E3F" w14:textId="0AF470AF" w:rsidR="009B2838" w:rsidRPr="00697F3B" w:rsidRDefault="009B2838" w:rsidP="005B2817">
            <w:pPr>
              <w:spacing w:before="15" w:after="10"/>
              <w:ind w:left="30" w:right="40"/>
              <w:jc w:val="center"/>
              <w:rPr>
                <w:rFonts w:eastAsia="Arial"/>
                <w:color w:val="010205"/>
                <w:sz w:val="20"/>
                <w:szCs w:val="20"/>
              </w:rPr>
            </w:pPr>
            <w:r w:rsidRPr="00697F3B">
              <w:rPr>
                <w:rFonts w:eastAsia="Arial"/>
                <w:color w:val="010205"/>
                <w:sz w:val="20"/>
                <w:szCs w:val="20"/>
              </w:rPr>
              <w:t>,984</w:t>
            </w:r>
          </w:p>
        </w:tc>
      </w:tr>
      <w:tr w:rsidR="009B2838" w:rsidRPr="00697F3B" w14:paraId="19D2CA3C" w14:textId="77777777" w:rsidTr="008A36BE">
        <w:trPr>
          <w:jc w:val="center"/>
        </w:trPr>
        <w:tc>
          <w:tcPr>
            <w:tcW w:w="668" w:type="dxa"/>
            <w:tcBorders>
              <w:top w:val="single" w:sz="1" w:space="0" w:color="152935"/>
              <w:left w:val="none" w:sz="1" w:space="0" w:color="152935"/>
              <w:bottom w:val="single" w:sz="1" w:space="0" w:color="AEAEAE"/>
              <w:right w:val="none" w:sz="1" w:space="0" w:color="152935"/>
            </w:tcBorders>
            <w:shd w:val="clear" w:color="auto" w:fill="E0E0E0"/>
          </w:tcPr>
          <w:p w14:paraId="0B21AE0B" w14:textId="533857B9" w:rsidR="009B2838" w:rsidRPr="00697F3B" w:rsidRDefault="009B2838" w:rsidP="00721B33">
            <w:pPr>
              <w:spacing w:before="15" w:after="10"/>
              <w:ind w:left="30" w:right="40"/>
              <w:rPr>
                <w:rFonts w:eastAsia="Arial"/>
                <w:color w:val="264A60"/>
                <w:sz w:val="20"/>
                <w:szCs w:val="20"/>
              </w:rPr>
            </w:pPr>
            <w:r w:rsidRPr="00697F3B">
              <w:rPr>
                <w:rFonts w:eastAsia="Arial"/>
                <w:color w:val="264A60"/>
                <w:sz w:val="20"/>
                <w:szCs w:val="20"/>
              </w:rPr>
              <w:t>3</w:t>
            </w:r>
          </w:p>
        </w:tc>
        <w:tc>
          <w:tcPr>
            <w:tcW w:w="4000" w:type="dxa"/>
            <w:tcBorders>
              <w:top w:val="single" w:sz="1" w:space="0" w:color="152935"/>
              <w:left w:val="none" w:sz="1" w:space="0" w:color="152935"/>
              <w:bottom w:val="single" w:sz="1" w:space="0" w:color="AEAEAE"/>
              <w:right w:val="single" w:sz="1" w:space="0" w:color="E0E0E0"/>
            </w:tcBorders>
            <w:shd w:val="clear" w:color="auto" w:fill="F9F9FB"/>
          </w:tcPr>
          <w:p w14:paraId="261E910C" w14:textId="1417CEF3" w:rsidR="009B2838" w:rsidRPr="00697F3B" w:rsidRDefault="009B2838" w:rsidP="00721B33">
            <w:pPr>
              <w:spacing w:before="15" w:after="10"/>
              <w:ind w:left="30" w:right="40"/>
              <w:rPr>
                <w:rFonts w:eastAsia="Arial"/>
                <w:color w:val="010205"/>
                <w:sz w:val="20"/>
                <w:szCs w:val="20"/>
              </w:rPr>
            </w:pPr>
            <w:r w:rsidRPr="00697F3B">
              <w:rPr>
                <w:rFonts w:eastAsia="Arial"/>
                <w:color w:val="010205"/>
                <w:sz w:val="20"/>
                <w:szCs w:val="20"/>
              </w:rPr>
              <w:t xml:space="preserve">La distribution de « L’exposition du chiffre d'affaires aux solutions à impact durable de MSCI (%) » est la même sur les catégories fond Articles 8 et 9. </w:t>
            </w:r>
          </w:p>
        </w:tc>
        <w:tc>
          <w:tcPr>
            <w:tcW w:w="1276"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3068656F" w14:textId="60DE3739" w:rsidR="009B2838" w:rsidRPr="00697F3B" w:rsidRDefault="00D866B8" w:rsidP="005B2817">
            <w:pPr>
              <w:spacing w:before="15" w:after="10"/>
              <w:ind w:left="30" w:right="40"/>
              <w:jc w:val="center"/>
              <w:rPr>
                <w:rFonts w:eastAsia="Arial"/>
                <w:color w:val="010205"/>
                <w:sz w:val="20"/>
                <w:szCs w:val="20"/>
              </w:rPr>
            </w:pPr>
            <w:r w:rsidRPr="00697F3B">
              <w:rPr>
                <w:rFonts w:eastAsia="Arial"/>
                <w:color w:val="010205"/>
                <w:sz w:val="20"/>
                <w:szCs w:val="20"/>
              </w:rPr>
              <w:t>Art 8 : 12,11</w:t>
            </w:r>
          </w:p>
          <w:p w14:paraId="7DAF43E9" w14:textId="3E9DF305" w:rsidR="00D866B8" w:rsidRPr="00697F3B" w:rsidRDefault="00D866B8" w:rsidP="005B2817">
            <w:pPr>
              <w:spacing w:before="15" w:after="10"/>
              <w:ind w:left="30" w:right="40"/>
              <w:jc w:val="center"/>
              <w:rPr>
                <w:rFonts w:eastAsia="Arial"/>
                <w:color w:val="010205"/>
                <w:sz w:val="20"/>
                <w:szCs w:val="20"/>
              </w:rPr>
            </w:pPr>
            <w:r w:rsidRPr="00697F3B">
              <w:rPr>
                <w:rFonts w:eastAsia="Arial"/>
                <w:color w:val="010205"/>
                <w:sz w:val="20"/>
                <w:szCs w:val="20"/>
              </w:rPr>
              <w:t>Art 9 : 18,83</w:t>
            </w:r>
          </w:p>
        </w:tc>
        <w:tc>
          <w:tcPr>
            <w:tcW w:w="1549"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62E02F44" w14:textId="77777777" w:rsidR="009B2838" w:rsidRPr="00697F3B" w:rsidRDefault="009B2838" w:rsidP="005B2817">
            <w:pPr>
              <w:spacing w:before="15" w:after="10"/>
              <w:ind w:left="30" w:right="40"/>
              <w:jc w:val="center"/>
              <w:rPr>
                <w:rFonts w:eastAsia="Arial"/>
                <w:color w:val="010205"/>
                <w:sz w:val="20"/>
                <w:szCs w:val="20"/>
              </w:rPr>
            </w:pPr>
            <w:r w:rsidRPr="00697F3B">
              <w:rPr>
                <w:rFonts w:eastAsia="Arial"/>
                <w:color w:val="010205"/>
                <w:sz w:val="20"/>
                <w:szCs w:val="20"/>
              </w:rPr>
              <w:t>,079</w:t>
            </w:r>
          </w:p>
          <w:p w14:paraId="47CD3795" w14:textId="4D8230CC" w:rsidR="0082237F" w:rsidRPr="00697F3B" w:rsidRDefault="0082237F" w:rsidP="005B2817">
            <w:pPr>
              <w:spacing w:before="15" w:after="10"/>
              <w:ind w:left="30" w:right="40"/>
              <w:jc w:val="center"/>
              <w:rPr>
                <w:rFonts w:eastAsia="Arial"/>
                <w:color w:val="010205"/>
                <w:sz w:val="20"/>
                <w:szCs w:val="20"/>
              </w:rPr>
            </w:pPr>
            <w:r w:rsidRPr="00697F3B">
              <w:rPr>
                <w:rFonts w:eastAsia="Arial"/>
                <w:color w:val="010205"/>
                <w:sz w:val="20"/>
                <w:szCs w:val="20"/>
              </w:rPr>
              <w:t>*</w:t>
            </w:r>
          </w:p>
        </w:tc>
      </w:tr>
      <w:tr w:rsidR="009B2838" w:rsidRPr="00697F3B" w14:paraId="1867286F" w14:textId="77777777" w:rsidTr="008A36BE">
        <w:trPr>
          <w:jc w:val="center"/>
        </w:trPr>
        <w:tc>
          <w:tcPr>
            <w:tcW w:w="668" w:type="dxa"/>
            <w:tcBorders>
              <w:top w:val="single" w:sz="1" w:space="0" w:color="152935"/>
              <w:left w:val="none" w:sz="1" w:space="0" w:color="152935"/>
              <w:bottom w:val="single" w:sz="1" w:space="0" w:color="AEAEAE"/>
              <w:right w:val="none" w:sz="1" w:space="0" w:color="152935"/>
            </w:tcBorders>
            <w:shd w:val="clear" w:color="auto" w:fill="E0E0E0"/>
          </w:tcPr>
          <w:p w14:paraId="2C875485" w14:textId="69640332" w:rsidR="009B2838" w:rsidRPr="00697F3B" w:rsidRDefault="009B2838" w:rsidP="00721B33">
            <w:pPr>
              <w:spacing w:before="15" w:after="10"/>
              <w:ind w:left="30" w:right="40"/>
              <w:rPr>
                <w:rFonts w:eastAsia="Arial"/>
                <w:color w:val="264A60"/>
                <w:sz w:val="20"/>
                <w:szCs w:val="20"/>
              </w:rPr>
            </w:pPr>
            <w:r w:rsidRPr="00697F3B">
              <w:rPr>
                <w:rFonts w:eastAsia="Arial"/>
                <w:color w:val="264A60"/>
                <w:sz w:val="20"/>
                <w:szCs w:val="20"/>
              </w:rPr>
              <w:t>4</w:t>
            </w:r>
          </w:p>
        </w:tc>
        <w:tc>
          <w:tcPr>
            <w:tcW w:w="4000" w:type="dxa"/>
            <w:tcBorders>
              <w:top w:val="single" w:sz="1" w:space="0" w:color="152935"/>
              <w:left w:val="none" w:sz="1" w:space="0" w:color="152935"/>
              <w:bottom w:val="single" w:sz="1" w:space="0" w:color="AEAEAE"/>
              <w:right w:val="single" w:sz="1" w:space="0" w:color="E0E0E0"/>
            </w:tcBorders>
            <w:shd w:val="clear" w:color="auto" w:fill="F9F9FB"/>
          </w:tcPr>
          <w:p w14:paraId="5EC233CD" w14:textId="128EB9D9" w:rsidR="009B2838" w:rsidRPr="00697F3B" w:rsidRDefault="009B2838" w:rsidP="00721B33">
            <w:pPr>
              <w:spacing w:before="15" w:after="10"/>
              <w:ind w:left="30" w:right="40"/>
              <w:rPr>
                <w:rFonts w:eastAsia="Arial"/>
                <w:color w:val="010205"/>
                <w:sz w:val="20"/>
                <w:szCs w:val="20"/>
              </w:rPr>
            </w:pPr>
            <w:r w:rsidRPr="00697F3B">
              <w:rPr>
                <w:rFonts w:eastAsia="Arial"/>
                <w:color w:val="010205"/>
                <w:sz w:val="20"/>
                <w:szCs w:val="20"/>
              </w:rPr>
              <w:t>La distribution de « L’exposition des revenus aux critères d’exclusion SFI de MSCI (%) » est la même sur les catégories de fonds Articles 8 et 9.</w:t>
            </w:r>
          </w:p>
        </w:tc>
        <w:tc>
          <w:tcPr>
            <w:tcW w:w="1276"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4C475602" w14:textId="4E8528F4" w:rsidR="009B2838" w:rsidRPr="00697F3B" w:rsidRDefault="00D866B8" w:rsidP="005B2817">
            <w:pPr>
              <w:spacing w:before="15" w:after="10"/>
              <w:ind w:left="30" w:right="40"/>
              <w:jc w:val="center"/>
              <w:rPr>
                <w:rFonts w:eastAsia="Arial"/>
                <w:color w:val="010205"/>
                <w:sz w:val="20"/>
                <w:szCs w:val="20"/>
              </w:rPr>
            </w:pPr>
            <w:r w:rsidRPr="00697F3B">
              <w:rPr>
                <w:rFonts w:eastAsia="Arial"/>
                <w:color w:val="010205"/>
                <w:sz w:val="20"/>
                <w:szCs w:val="20"/>
              </w:rPr>
              <w:t xml:space="preserve">Art </w:t>
            </w:r>
            <w:r w:rsidR="005B2817" w:rsidRPr="00697F3B">
              <w:rPr>
                <w:rFonts w:eastAsia="Arial"/>
                <w:color w:val="010205"/>
                <w:sz w:val="20"/>
                <w:szCs w:val="20"/>
              </w:rPr>
              <w:t>8 : 18,44</w:t>
            </w:r>
          </w:p>
          <w:p w14:paraId="5B4A363C" w14:textId="7A8ACD1F" w:rsidR="005B2817" w:rsidRPr="00697F3B" w:rsidRDefault="005B2817" w:rsidP="005B2817">
            <w:pPr>
              <w:spacing w:before="15" w:after="10"/>
              <w:ind w:left="30" w:right="40"/>
              <w:jc w:val="center"/>
              <w:rPr>
                <w:rFonts w:eastAsia="Arial"/>
                <w:color w:val="010205"/>
                <w:sz w:val="20"/>
                <w:szCs w:val="20"/>
              </w:rPr>
            </w:pPr>
            <w:r w:rsidRPr="00697F3B">
              <w:rPr>
                <w:rFonts w:eastAsia="Arial"/>
                <w:color w:val="010205"/>
                <w:sz w:val="20"/>
                <w:szCs w:val="20"/>
              </w:rPr>
              <w:t>Art 9: 16,46</w:t>
            </w:r>
          </w:p>
        </w:tc>
        <w:tc>
          <w:tcPr>
            <w:tcW w:w="1549"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490F71D0" w14:textId="1696EDEF" w:rsidR="009B2838" w:rsidRPr="00697F3B" w:rsidRDefault="009B2838" w:rsidP="005B2817">
            <w:pPr>
              <w:spacing w:before="15" w:after="10"/>
              <w:ind w:left="30" w:right="40"/>
              <w:jc w:val="center"/>
              <w:rPr>
                <w:rFonts w:eastAsia="Arial"/>
                <w:color w:val="010205"/>
                <w:sz w:val="20"/>
                <w:szCs w:val="20"/>
              </w:rPr>
            </w:pPr>
            <w:r w:rsidRPr="00697F3B">
              <w:rPr>
                <w:rFonts w:eastAsia="Arial"/>
                <w:color w:val="010205"/>
                <w:sz w:val="20"/>
                <w:szCs w:val="20"/>
              </w:rPr>
              <w:t>,619</w:t>
            </w:r>
          </w:p>
        </w:tc>
      </w:tr>
      <w:tr w:rsidR="009B2838" w:rsidRPr="00697F3B" w14:paraId="2274EA24" w14:textId="77777777" w:rsidTr="008A36BE">
        <w:trPr>
          <w:jc w:val="center"/>
        </w:trPr>
        <w:tc>
          <w:tcPr>
            <w:tcW w:w="668" w:type="dxa"/>
            <w:tcBorders>
              <w:top w:val="single" w:sz="1" w:space="0" w:color="152935"/>
              <w:left w:val="none" w:sz="1" w:space="0" w:color="152935"/>
              <w:bottom w:val="single" w:sz="1" w:space="0" w:color="AEAEAE"/>
              <w:right w:val="none" w:sz="1" w:space="0" w:color="152935"/>
            </w:tcBorders>
            <w:shd w:val="clear" w:color="auto" w:fill="E0E0E0"/>
          </w:tcPr>
          <w:p w14:paraId="4886E571" w14:textId="0AD64E91" w:rsidR="009B2838" w:rsidRPr="00697F3B" w:rsidRDefault="009B2838" w:rsidP="00721B33">
            <w:pPr>
              <w:spacing w:before="15" w:after="10"/>
              <w:ind w:left="30" w:right="40"/>
              <w:rPr>
                <w:rFonts w:eastAsia="Arial"/>
                <w:color w:val="264A60"/>
                <w:sz w:val="20"/>
                <w:szCs w:val="20"/>
              </w:rPr>
            </w:pPr>
            <w:r w:rsidRPr="00697F3B">
              <w:rPr>
                <w:rFonts w:eastAsia="Arial"/>
                <w:color w:val="264A60"/>
                <w:sz w:val="20"/>
                <w:szCs w:val="20"/>
              </w:rPr>
              <w:t>5</w:t>
            </w:r>
          </w:p>
        </w:tc>
        <w:tc>
          <w:tcPr>
            <w:tcW w:w="4000" w:type="dxa"/>
            <w:tcBorders>
              <w:top w:val="single" w:sz="1" w:space="0" w:color="152935"/>
              <w:left w:val="none" w:sz="1" w:space="0" w:color="152935"/>
              <w:bottom w:val="single" w:sz="1" w:space="0" w:color="AEAEAE"/>
              <w:right w:val="single" w:sz="1" w:space="0" w:color="E0E0E0"/>
            </w:tcBorders>
            <w:shd w:val="clear" w:color="auto" w:fill="F9F9FB"/>
          </w:tcPr>
          <w:p w14:paraId="7A1D05F3" w14:textId="564068CD" w:rsidR="009B2838" w:rsidRPr="00697F3B" w:rsidRDefault="009B2838" w:rsidP="00721B33">
            <w:pPr>
              <w:spacing w:before="15" w:after="10"/>
              <w:ind w:left="30" w:right="40"/>
              <w:rPr>
                <w:rFonts w:eastAsia="Arial"/>
                <w:color w:val="010205"/>
                <w:sz w:val="20"/>
                <w:szCs w:val="20"/>
              </w:rPr>
            </w:pPr>
            <w:r w:rsidRPr="00697F3B">
              <w:rPr>
                <w:rFonts w:eastAsia="Arial"/>
                <w:color w:val="010205"/>
                <w:sz w:val="20"/>
                <w:szCs w:val="20"/>
              </w:rPr>
              <w:t xml:space="preserve">La distribution de « Le score de durabilité entreprise (12 mois) de </w:t>
            </w:r>
            <w:proofErr w:type="spellStart"/>
            <w:r w:rsidRPr="00697F3B">
              <w:rPr>
                <w:rFonts w:eastAsia="Arial"/>
                <w:color w:val="010205"/>
                <w:sz w:val="20"/>
                <w:szCs w:val="20"/>
              </w:rPr>
              <w:t>Morningstar</w:t>
            </w:r>
            <w:proofErr w:type="spellEnd"/>
            <w:r w:rsidRPr="00697F3B">
              <w:rPr>
                <w:rFonts w:eastAsia="Arial"/>
                <w:color w:val="010205"/>
                <w:sz w:val="20"/>
                <w:szCs w:val="20"/>
              </w:rPr>
              <w:t> » est la même sur les catégories de fonds Articles 8 et 9.</w:t>
            </w:r>
          </w:p>
        </w:tc>
        <w:tc>
          <w:tcPr>
            <w:tcW w:w="1276"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3ACA4A7C" w14:textId="5BA23B54" w:rsidR="009B2838" w:rsidRPr="00697F3B" w:rsidRDefault="005B2817" w:rsidP="005B2817">
            <w:pPr>
              <w:spacing w:before="15" w:after="10"/>
              <w:ind w:left="30" w:right="40"/>
              <w:jc w:val="center"/>
              <w:rPr>
                <w:rFonts w:eastAsia="Arial"/>
                <w:color w:val="010205"/>
                <w:sz w:val="20"/>
                <w:szCs w:val="20"/>
              </w:rPr>
            </w:pPr>
            <w:r w:rsidRPr="00697F3B">
              <w:rPr>
                <w:rFonts w:eastAsia="Arial"/>
                <w:color w:val="010205"/>
                <w:sz w:val="20"/>
                <w:szCs w:val="20"/>
              </w:rPr>
              <w:t>Art 8 : 17,70</w:t>
            </w:r>
          </w:p>
          <w:p w14:paraId="467A3CAE" w14:textId="7C905895" w:rsidR="005B2817" w:rsidRPr="00697F3B" w:rsidRDefault="005B2817" w:rsidP="005B2817">
            <w:pPr>
              <w:spacing w:before="15" w:after="10"/>
              <w:ind w:left="30" w:right="40"/>
              <w:jc w:val="center"/>
              <w:rPr>
                <w:rFonts w:eastAsia="Arial"/>
                <w:color w:val="010205"/>
                <w:sz w:val="20"/>
                <w:szCs w:val="20"/>
              </w:rPr>
            </w:pPr>
            <w:r w:rsidRPr="00697F3B">
              <w:rPr>
                <w:rFonts w:eastAsia="Arial"/>
                <w:color w:val="010205"/>
                <w:sz w:val="20"/>
                <w:szCs w:val="20"/>
              </w:rPr>
              <w:t>Art 9 : 16,70</w:t>
            </w:r>
          </w:p>
        </w:tc>
        <w:tc>
          <w:tcPr>
            <w:tcW w:w="1549"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5A76AD5C" w14:textId="3732ABE9" w:rsidR="009B2838" w:rsidRPr="00697F3B" w:rsidRDefault="009B2838" w:rsidP="005B2817">
            <w:pPr>
              <w:spacing w:before="15" w:after="10"/>
              <w:ind w:left="30" w:right="40"/>
              <w:jc w:val="center"/>
              <w:rPr>
                <w:rFonts w:eastAsia="Arial"/>
                <w:color w:val="010205"/>
                <w:sz w:val="20"/>
                <w:szCs w:val="20"/>
              </w:rPr>
            </w:pPr>
            <w:r w:rsidRPr="00697F3B">
              <w:rPr>
                <w:rFonts w:eastAsia="Arial"/>
                <w:color w:val="010205"/>
                <w:sz w:val="20"/>
                <w:szCs w:val="20"/>
              </w:rPr>
              <w:t>,802</w:t>
            </w:r>
          </w:p>
        </w:tc>
      </w:tr>
      <w:tr w:rsidR="00C62A02" w:rsidRPr="00697F3B" w14:paraId="7E11658B" w14:textId="77777777" w:rsidTr="008A36BE">
        <w:trPr>
          <w:jc w:val="center"/>
        </w:trPr>
        <w:tc>
          <w:tcPr>
            <w:tcW w:w="668" w:type="dxa"/>
            <w:tcBorders>
              <w:top w:val="single" w:sz="1" w:space="0" w:color="152935"/>
              <w:left w:val="none" w:sz="1" w:space="0" w:color="152935"/>
              <w:bottom w:val="single" w:sz="1" w:space="0" w:color="AEAEAE"/>
              <w:right w:val="none" w:sz="1" w:space="0" w:color="152935"/>
            </w:tcBorders>
            <w:shd w:val="clear" w:color="auto" w:fill="E0E0E0"/>
          </w:tcPr>
          <w:p w14:paraId="5F5439B6" w14:textId="2644DBF1" w:rsidR="00C62A02" w:rsidRPr="00697F3B" w:rsidRDefault="00C62A02" w:rsidP="00C62A02">
            <w:pPr>
              <w:spacing w:before="15" w:after="10"/>
              <w:ind w:left="30" w:right="40"/>
              <w:rPr>
                <w:rFonts w:eastAsia="Arial"/>
                <w:color w:val="264A60"/>
                <w:sz w:val="20"/>
                <w:szCs w:val="20"/>
              </w:rPr>
            </w:pPr>
            <w:r w:rsidRPr="00697F3B">
              <w:rPr>
                <w:rFonts w:eastAsia="Arial"/>
                <w:color w:val="264A60"/>
                <w:sz w:val="20"/>
                <w:szCs w:val="20"/>
              </w:rPr>
              <w:t>6</w:t>
            </w:r>
          </w:p>
        </w:tc>
        <w:tc>
          <w:tcPr>
            <w:tcW w:w="4000" w:type="dxa"/>
            <w:tcBorders>
              <w:top w:val="single" w:sz="1" w:space="0" w:color="152935"/>
              <w:left w:val="none" w:sz="1" w:space="0" w:color="152935"/>
              <w:bottom w:val="single" w:sz="1" w:space="0" w:color="AEAEAE"/>
              <w:right w:val="single" w:sz="1" w:space="0" w:color="E0E0E0"/>
            </w:tcBorders>
            <w:shd w:val="clear" w:color="auto" w:fill="F9F9FB"/>
          </w:tcPr>
          <w:p w14:paraId="3D36E42B" w14:textId="5DE7FBBD" w:rsidR="00C62A02" w:rsidRPr="00697F3B" w:rsidRDefault="00C62A02" w:rsidP="00C62A02">
            <w:pPr>
              <w:spacing w:before="15" w:after="10"/>
              <w:ind w:left="30" w:right="40"/>
              <w:rPr>
                <w:rFonts w:eastAsia="Arial"/>
                <w:color w:val="010205"/>
                <w:sz w:val="20"/>
                <w:szCs w:val="20"/>
              </w:rPr>
            </w:pPr>
            <w:r w:rsidRPr="00697F3B">
              <w:rPr>
                <w:rFonts w:eastAsia="Arial"/>
                <w:color w:val="010205"/>
                <w:sz w:val="20"/>
                <w:szCs w:val="20"/>
              </w:rPr>
              <w:t>La distribution de « Risque environnemental » est la même sur les catégories de fonds Articles 8 et 9.</w:t>
            </w:r>
          </w:p>
        </w:tc>
        <w:tc>
          <w:tcPr>
            <w:tcW w:w="1276"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1BDC399B" w14:textId="51DF90C3"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Art 8 : 16,90</w:t>
            </w:r>
          </w:p>
          <w:p w14:paraId="7DDC126B" w14:textId="05E1C66D"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Art 9 : 17,75</w:t>
            </w:r>
          </w:p>
        </w:tc>
        <w:tc>
          <w:tcPr>
            <w:tcW w:w="1549"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7EBB9A0A" w14:textId="2B4890C0"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,838</w:t>
            </w:r>
          </w:p>
        </w:tc>
      </w:tr>
      <w:tr w:rsidR="00C62A02" w:rsidRPr="00697F3B" w14:paraId="6BEA9F5A" w14:textId="77777777" w:rsidTr="008A36BE">
        <w:trPr>
          <w:jc w:val="center"/>
        </w:trPr>
        <w:tc>
          <w:tcPr>
            <w:tcW w:w="668" w:type="dxa"/>
            <w:tcBorders>
              <w:top w:val="single" w:sz="1" w:space="0" w:color="152935"/>
              <w:left w:val="none" w:sz="1" w:space="0" w:color="152935"/>
              <w:bottom w:val="single" w:sz="1" w:space="0" w:color="AEAEAE"/>
              <w:right w:val="none" w:sz="1" w:space="0" w:color="152935"/>
            </w:tcBorders>
            <w:shd w:val="clear" w:color="auto" w:fill="E0E0E0"/>
          </w:tcPr>
          <w:p w14:paraId="2F4034EE" w14:textId="5F3736DB" w:rsidR="00C62A02" w:rsidRPr="00697F3B" w:rsidRDefault="00C62A02" w:rsidP="00C62A02">
            <w:pPr>
              <w:spacing w:before="15" w:after="10"/>
              <w:ind w:left="30" w:right="40"/>
              <w:rPr>
                <w:rFonts w:eastAsia="Arial"/>
                <w:color w:val="264A60"/>
                <w:sz w:val="20"/>
                <w:szCs w:val="20"/>
              </w:rPr>
            </w:pPr>
            <w:r w:rsidRPr="00697F3B">
              <w:rPr>
                <w:rFonts w:eastAsia="Arial"/>
                <w:color w:val="264A60"/>
                <w:sz w:val="20"/>
                <w:szCs w:val="20"/>
              </w:rPr>
              <w:lastRenderedPageBreak/>
              <w:t>7</w:t>
            </w:r>
          </w:p>
        </w:tc>
        <w:tc>
          <w:tcPr>
            <w:tcW w:w="4000" w:type="dxa"/>
            <w:tcBorders>
              <w:top w:val="single" w:sz="1" w:space="0" w:color="152935"/>
              <w:left w:val="none" w:sz="1" w:space="0" w:color="152935"/>
              <w:bottom w:val="single" w:sz="1" w:space="0" w:color="AEAEAE"/>
              <w:right w:val="single" w:sz="1" w:space="0" w:color="E0E0E0"/>
            </w:tcBorders>
            <w:shd w:val="clear" w:color="auto" w:fill="F9F9FB"/>
          </w:tcPr>
          <w:p w14:paraId="4D3B575E" w14:textId="5A608B8D" w:rsidR="00C62A02" w:rsidRPr="00697F3B" w:rsidRDefault="00C62A02" w:rsidP="00C62A02">
            <w:pPr>
              <w:spacing w:before="15" w:after="10"/>
              <w:ind w:left="30" w:right="40"/>
              <w:rPr>
                <w:rFonts w:eastAsia="Arial"/>
                <w:color w:val="010205"/>
                <w:sz w:val="20"/>
                <w:szCs w:val="20"/>
              </w:rPr>
            </w:pPr>
            <w:r w:rsidRPr="00697F3B">
              <w:rPr>
                <w:rFonts w:eastAsia="Arial"/>
                <w:color w:val="010205"/>
                <w:sz w:val="20"/>
                <w:szCs w:val="20"/>
              </w:rPr>
              <w:t>La distribution de « Risque social » est la même sur les catégories de fonds Articles 8 et 9.</w:t>
            </w:r>
          </w:p>
        </w:tc>
        <w:tc>
          <w:tcPr>
            <w:tcW w:w="1276"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456C26F0" w14:textId="2F1C61AB"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Art 8 : 22,75</w:t>
            </w:r>
          </w:p>
          <w:p w14:paraId="789380DE" w14:textId="0A5B5D64"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Art 9 : 15,31</w:t>
            </w:r>
          </w:p>
        </w:tc>
        <w:tc>
          <w:tcPr>
            <w:tcW w:w="1549"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3710639D" w14:textId="77777777"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,046</w:t>
            </w:r>
          </w:p>
          <w:p w14:paraId="4DC3CF0A" w14:textId="0EB40865"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w:t>
            </w:r>
          </w:p>
        </w:tc>
      </w:tr>
      <w:tr w:rsidR="00C62A02" w:rsidRPr="00697F3B" w14:paraId="32A37574" w14:textId="77777777" w:rsidTr="008A36BE">
        <w:trPr>
          <w:jc w:val="center"/>
        </w:trPr>
        <w:tc>
          <w:tcPr>
            <w:tcW w:w="668" w:type="dxa"/>
            <w:tcBorders>
              <w:top w:val="single" w:sz="1" w:space="0" w:color="152935"/>
              <w:left w:val="none" w:sz="1" w:space="0" w:color="152935"/>
              <w:bottom w:val="single" w:sz="1" w:space="0" w:color="AEAEAE"/>
              <w:right w:val="none" w:sz="1" w:space="0" w:color="152935"/>
            </w:tcBorders>
            <w:shd w:val="clear" w:color="auto" w:fill="E0E0E0"/>
          </w:tcPr>
          <w:p w14:paraId="7C90B972" w14:textId="6440516A" w:rsidR="00C62A02" w:rsidRPr="00697F3B" w:rsidRDefault="00C62A02" w:rsidP="00C62A02">
            <w:pPr>
              <w:spacing w:before="15" w:after="10"/>
              <w:ind w:left="30" w:right="40"/>
              <w:rPr>
                <w:rFonts w:eastAsia="Arial"/>
                <w:color w:val="264A60"/>
                <w:sz w:val="20"/>
                <w:szCs w:val="20"/>
              </w:rPr>
            </w:pPr>
            <w:r w:rsidRPr="00697F3B">
              <w:rPr>
                <w:rFonts w:eastAsia="Arial"/>
                <w:color w:val="264A60"/>
                <w:sz w:val="20"/>
                <w:szCs w:val="20"/>
              </w:rPr>
              <w:t>8</w:t>
            </w:r>
          </w:p>
        </w:tc>
        <w:tc>
          <w:tcPr>
            <w:tcW w:w="4000" w:type="dxa"/>
            <w:tcBorders>
              <w:top w:val="single" w:sz="1" w:space="0" w:color="152935"/>
              <w:left w:val="none" w:sz="1" w:space="0" w:color="152935"/>
              <w:bottom w:val="single" w:sz="1" w:space="0" w:color="AEAEAE"/>
              <w:right w:val="single" w:sz="1" w:space="0" w:color="E0E0E0"/>
            </w:tcBorders>
            <w:shd w:val="clear" w:color="auto" w:fill="F9F9FB"/>
          </w:tcPr>
          <w:p w14:paraId="572736FC" w14:textId="77EEFBF5" w:rsidR="00C62A02" w:rsidRPr="00697F3B" w:rsidRDefault="00C62A02" w:rsidP="00C62A02">
            <w:pPr>
              <w:spacing w:before="15" w:after="10"/>
              <w:ind w:left="30" w:right="40"/>
              <w:rPr>
                <w:rFonts w:eastAsia="Arial"/>
                <w:color w:val="010205"/>
                <w:sz w:val="20"/>
                <w:szCs w:val="20"/>
              </w:rPr>
            </w:pPr>
            <w:r w:rsidRPr="00697F3B">
              <w:rPr>
                <w:rFonts w:eastAsia="Arial"/>
                <w:color w:val="010205"/>
                <w:sz w:val="20"/>
                <w:szCs w:val="20"/>
              </w:rPr>
              <w:t>La distribution de « Risque de gouvernance » est la même sur les catégories de fonds Articles 8 et 9.</w:t>
            </w:r>
          </w:p>
        </w:tc>
        <w:tc>
          <w:tcPr>
            <w:tcW w:w="1276"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6ED320B2" w14:textId="5FB2F239"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Art 8 : 22,20</w:t>
            </w:r>
          </w:p>
          <w:p w14:paraId="16754308" w14:textId="1A1A332A"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Art 9 : 15,54</w:t>
            </w:r>
          </w:p>
        </w:tc>
        <w:tc>
          <w:tcPr>
            <w:tcW w:w="1549"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5FD41507" w14:textId="77777777"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,079</w:t>
            </w:r>
          </w:p>
          <w:p w14:paraId="2B994972" w14:textId="66379F82" w:rsidR="00C62A02" w:rsidRPr="00697F3B" w:rsidRDefault="00C62A02" w:rsidP="00C62A02">
            <w:pPr>
              <w:spacing w:before="15" w:after="10"/>
              <w:ind w:left="30" w:right="40"/>
              <w:jc w:val="center"/>
              <w:rPr>
                <w:rFonts w:eastAsia="Arial"/>
                <w:color w:val="010205"/>
                <w:sz w:val="20"/>
                <w:szCs w:val="20"/>
              </w:rPr>
            </w:pPr>
            <w:r w:rsidRPr="00697F3B">
              <w:rPr>
                <w:rFonts w:eastAsia="Arial"/>
                <w:color w:val="010205"/>
                <w:sz w:val="20"/>
                <w:szCs w:val="20"/>
              </w:rPr>
              <w:t>*</w:t>
            </w:r>
          </w:p>
        </w:tc>
      </w:tr>
      <w:tr w:rsidR="00C62A02" w:rsidRPr="00697F3B" w14:paraId="1E77A756" w14:textId="77777777" w:rsidTr="008A36BE">
        <w:trPr>
          <w:jc w:val="center"/>
        </w:trPr>
        <w:tc>
          <w:tcPr>
            <w:tcW w:w="668" w:type="dxa"/>
            <w:tcBorders>
              <w:top w:val="single" w:sz="1" w:space="0" w:color="152935"/>
              <w:left w:val="none" w:sz="1" w:space="0" w:color="152935"/>
              <w:bottom w:val="single" w:sz="1" w:space="0" w:color="AEAEAE"/>
              <w:right w:val="none" w:sz="1" w:space="0" w:color="152935"/>
            </w:tcBorders>
            <w:shd w:val="clear" w:color="auto" w:fill="E0E0E0"/>
          </w:tcPr>
          <w:p w14:paraId="31695D9C" w14:textId="5B06BE42" w:rsidR="00C62A02" w:rsidRPr="00697F3B" w:rsidRDefault="00C62A02" w:rsidP="00C62A02">
            <w:pPr>
              <w:spacing w:before="15" w:after="10"/>
              <w:ind w:left="30" w:right="40"/>
              <w:rPr>
                <w:sz w:val="20"/>
                <w:szCs w:val="20"/>
              </w:rPr>
            </w:pPr>
            <w:r w:rsidRPr="00697F3B">
              <w:rPr>
                <w:rFonts w:eastAsia="Arial"/>
                <w:color w:val="264A60"/>
                <w:sz w:val="20"/>
                <w:szCs w:val="20"/>
              </w:rPr>
              <w:t>9</w:t>
            </w:r>
          </w:p>
        </w:tc>
        <w:tc>
          <w:tcPr>
            <w:tcW w:w="4000" w:type="dxa"/>
            <w:tcBorders>
              <w:top w:val="single" w:sz="1" w:space="0" w:color="152935"/>
              <w:left w:val="none" w:sz="1" w:space="0" w:color="152935"/>
              <w:bottom w:val="single" w:sz="1" w:space="0" w:color="AEAEAE"/>
              <w:right w:val="single" w:sz="1" w:space="0" w:color="E0E0E0"/>
            </w:tcBorders>
            <w:shd w:val="clear" w:color="auto" w:fill="F9F9FB"/>
          </w:tcPr>
          <w:p w14:paraId="3238E83D" w14:textId="38FA3CA7" w:rsidR="00C62A02" w:rsidRPr="00697F3B" w:rsidRDefault="00C62A02" w:rsidP="00C62A02">
            <w:pPr>
              <w:spacing w:before="15" w:after="10"/>
              <w:ind w:left="30" w:right="40"/>
              <w:rPr>
                <w:sz w:val="20"/>
                <w:szCs w:val="20"/>
              </w:rPr>
            </w:pPr>
            <w:r w:rsidRPr="00697F3B">
              <w:rPr>
                <w:rFonts w:eastAsia="Arial"/>
                <w:color w:val="010205"/>
                <w:sz w:val="20"/>
                <w:szCs w:val="20"/>
              </w:rPr>
              <w:t xml:space="preserve">La distribution de « Le nombre de domaines contestables dans lequel le fonds est présent (/15) » est la même sur les catégories de fonds Articles 8 et 9. </w:t>
            </w:r>
          </w:p>
        </w:tc>
        <w:tc>
          <w:tcPr>
            <w:tcW w:w="1276"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0C0400D1" w14:textId="58C98B4C" w:rsidR="00C62A02" w:rsidRPr="00697F3B" w:rsidRDefault="00C62A02" w:rsidP="00C62A02">
            <w:pPr>
              <w:spacing w:before="15" w:after="10"/>
              <w:ind w:left="30" w:right="40"/>
              <w:jc w:val="center"/>
              <w:rPr>
                <w:sz w:val="20"/>
                <w:szCs w:val="20"/>
              </w:rPr>
            </w:pPr>
            <w:r w:rsidRPr="00697F3B">
              <w:rPr>
                <w:sz w:val="20"/>
                <w:szCs w:val="20"/>
              </w:rPr>
              <w:t>Art 8 : 22,55</w:t>
            </w:r>
          </w:p>
          <w:p w14:paraId="4C323956" w14:textId="348A2378" w:rsidR="00C62A02" w:rsidRPr="00697F3B" w:rsidRDefault="00C62A02" w:rsidP="00C62A02">
            <w:pPr>
              <w:spacing w:before="15" w:after="10"/>
              <w:ind w:left="30" w:right="40"/>
              <w:jc w:val="center"/>
              <w:rPr>
                <w:sz w:val="20"/>
                <w:szCs w:val="20"/>
              </w:rPr>
            </w:pPr>
            <w:r w:rsidRPr="00697F3B">
              <w:rPr>
                <w:sz w:val="20"/>
                <w:szCs w:val="20"/>
              </w:rPr>
              <w:t>Art 9 : 14,59</w:t>
            </w:r>
          </w:p>
        </w:tc>
        <w:tc>
          <w:tcPr>
            <w:tcW w:w="1549"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3AA68DA5" w14:textId="77777777" w:rsidR="00C62A02" w:rsidRPr="00697F3B" w:rsidRDefault="00C62A02" w:rsidP="00C62A02">
            <w:pPr>
              <w:spacing w:before="15" w:after="10"/>
              <w:ind w:left="30" w:right="40"/>
              <w:jc w:val="center"/>
              <w:rPr>
                <w:sz w:val="20"/>
                <w:szCs w:val="20"/>
                <w:vertAlign w:val="superscript"/>
              </w:rPr>
            </w:pPr>
            <w:r w:rsidRPr="00697F3B">
              <w:rPr>
                <w:rFonts w:eastAsia="Arial"/>
                <w:color w:val="010205"/>
                <w:sz w:val="20"/>
                <w:szCs w:val="20"/>
              </w:rPr>
              <w:t>,028</w:t>
            </w:r>
          </w:p>
          <w:p w14:paraId="3DCE7587" w14:textId="2992DF28" w:rsidR="00C62A02" w:rsidRPr="00697F3B" w:rsidRDefault="00C62A02" w:rsidP="00C62A02">
            <w:pPr>
              <w:spacing w:before="15" w:after="10"/>
              <w:ind w:left="30" w:right="40"/>
              <w:jc w:val="center"/>
              <w:rPr>
                <w:sz w:val="20"/>
                <w:szCs w:val="20"/>
              </w:rPr>
            </w:pPr>
            <w:r w:rsidRPr="00697F3B">
              <w:rPr>
                <w:rFonts w:eastAsia="Arial"/>
                <w:color w:val="010205"/>
                <w:sz w:val="20"/>
                <w:szCs w:val="20"/>
              </w:rPr>
              <w:t>**</w:t>
            </w:r>
          </w:p>
        </w:tc>
      </w:tr>
      <w:tr w:rsidR="00C62A02" w:rsidRPr="00697F3B" w14:paraId="156CD68A" w14:textId="77777777" w:rsidTr="008A36BE">
        <w:trPr>
          <w:jc w:val="center"/>
        </w:trPr>
        <w:tc>
          <w:tcPr>
            <w:tcW w:w="668" w:type="dxa"/>
            <w:tcBorders>
              <w:top w:val="single" w:sz="1" w:space="0" w:color="AEAEAE"/>
              <w:left w:val="none" w:sz="1" w:space="0" w:color="152935"/>
              <w:bottom w:val="single" w:sz="1" w:space="0" w:color="AEAEAE"/>
              <w:right w:val="none" w:sz="1" w:space="0" w:color="152935"/>
            </w:tcBorders>
            <w:shd w:val="clear" w:color="auto" w:fill="E0E0E0"/>
          </w:tcPr>
          <w:p w14:paraId="6F5B4756" w14:textId="202822BA" w:rsidR="00C62A02" w:rsidRPr="00697F3B" w:rsidRDefault="00C62A02" w:rsidP="00C62A02">
            <w:pPr>
              <w:spacing w:before="15" w:after="10"/>
              <w:ind w:left="30" w:right="40"/>
              <w:rPr>
                <w:sz w:val="20"/>
                <w:szCs w:val="20"/>
              </w:rPr>
            </w:pPr>
            <w:r w:rsidRPr="00697F3B">
              <w:rPr>
                <w:rFonts w:eastAsia="Arial"/>
                <w:color w:val="264A60"/>
                <w:sz w:val="20"/>
                <w:szCs w:val="20"/>
              </w:rPr>
              <w:t>10</w:t>
            </w:r>
          </w:p>
        </w:tc>
        <w:tc>
          <w:tcPr>
            <w:tcW w:w="4000" w:type="dxa"/>
            <w:tcBorders>
              <w:top w:val="single" w:sz="1" w:space="0" w:color="AEAEAE"/>
              <w:left w:val="none" w:sz="1" w:space="0" w:color="152935"/>
              <w:bottom w:val="single" w:sz="1" w:space="0" w:color="AEAEAE"/>
              <w:right w:val="single" w:sz="1" w:space="0" w:color="E0E0E0"/>
            </w:tcBorders>
            <w:shd w:val="clear" w:color="auto" w:fill="F9F9FB"/>
          </w:tcPr>
          <w:p w14:paraId="1BCC97D2" w14:textId="273FD975" w:rsidR="00C62A02" w:rsidRPr="00697F3B" w:rsidRDefault="00C62A02" w:rsidP="00C62A02">
            <w:pPr>
              <w:spacing w:before="15" w:after="10"/>
              <w:ind w:left="30" w:right="40"/>
              <w:rPr>
                <w:sz w:val="20"/>
                <w:szCs w:val="20"/>
              </w:rPr>
            </w:pPr>
            <w:r w:rsidRPr="00697F3B">
              <w:rPr>
                <w:rFonts w:eastAsia="Arial"/>
                <w:color w:val="010205"/>
                <w:sz w:val="20"/>
                <w:szCs w:val="20"/>
              </w:rPr>
              <w:t>La distribution de « Le plus haut pourcentage d’implication dans un domaine contestable par fonds (%) » est la même sur les catégories de fonds Articles 8 et 9.</w:t>
            </w:r>
          </w:p>
        </w:tc>
        <w:tc>
          <w:tcPr>
            <w:tcW w:w="1276" w:type="dxa"/>
            <w:tcBorders>
              <w:top w:val="single" w:sz="1" w:space="0" w:color="AEAEAE"/>
              <w:left w:val="single" w:sz="1" w:space="0" w:color="E0E0E0"/>
              <w:bottom w:val="single" w:sz="1" w:space="0" w:color="AEAEAE"/>
              <w:right w:val="single" w:sz="1" w:space="0" w:color="E0E0E0"/>
            </w:tcBorders>
            <w:shd w:val="clear" w:color="auto" w:fill="F9F9FB"/>
            <w:vAlign w:val="center"/>
          </w:tcPr>
          <w:p w14:paraId="000D7A8A" w14:textId="77777777" w:rsidR="00C62A02" w:rsidRPr="00697F3B" w:rsidRDefault="00C62A02" w:rsidP="00C62A02">
            <w:pPr>
              <w:spacing w:before="15" w:after="10"/>
              <w:ind w:left="30" w:right="40"/>
              <w:jc w:val="center"/>
              <w:rPr>
                <w:sz w:val="20"/>
                <w:szCs w:val="20"/>
              </w:rPr>
            </w:pPr>
            <w:r w:rsidRPr="00697F3B">
              <w:rPr>
                <w:sz w:val="20"/>
                <w:szCs w:val="20"/>
              </w:rPr>
              <w:t>Art 8 : 16,50</w:t>
            </w:r>
          </w:p>
          <w:p w14:paraId="12E90438" w14:textId="6919F3C1" w:rsidR="00C62A02" w:rsidRPr="00697F3B" w:rsidRDefault="00C62A02" w:rsidP="00C62A02">
            <w:pPr>
              <w:spacing w:before="15" w:after="10"/>
              <w:ind w:left="30" w:right="40"/>
              <w:jc w:val="center"/>
              <w:rPr>
                <w:sz w:val="20"/>
                <w:szCs w:val="20"/>
              </w:rPr>
            </w:pPr>
            <w:r w:rsidRPr="00697F3B">
              <w:rPr>
                <w:sz w:val="20"/>
                <w:szCs w:val="20"/>
              </w:rPr>
              <w:t>Art 9 : 17,22</w:t>
            </w:r>
          </w:p>
        </w:tc>
        <w:tc>
          <w:tcPr>
            <w:tcW w:w="1549" w:type="dxa"/>
            <w:tcBorders>
              <w:top w:val="single" w:sz="1" w:space="0" w:color="AEAEAE"/>
              <w:left w:val="single" w:sz="1" w:space="0" w:color="E0E0E0"/>
              <w:bottom w:val="single" w:sz="1" w:space="0" w:color="AEAEAE"/>
              <w:right w:val="single" w:sz="1" w:space="0" w:color="E0E0E0"/>
            </w:tcBorders>
            <w:shd w:val="clear" w:color="auto" w:fill="F9F9FB"/>
            <w:vAlign w:val="center"/>
          </w:tcPr>
          <w:p w14:paraId="1053A346" w14:textId="056252E3" w:rsidR="00C62A02" w:rsidRPr="00697F3B" w:rsidRDefault="00C62A02" w:rsidP="00C62A02">
            <w:pPr>
              <w:spacing w:before="15" w:after="10"/>
              <w:ind w:left="30" w:right="40"/>
              <w:jc w:val="center"/>
              <w:rPr>
                <w:sz w:val="20"/>
                <w:szCs w:val="20"/>
              </w:rPr>
            </w:pPr>
            <w:r w:rsidRPr="00697F3B">
              <w:rPr>
                <w:rFonts w:eastAsia="Arial"/>
                <w:color w:val="010205"/>
                <w:sz w:val="20"/>
                <w:szCs w:val="20"/>
              </w:rPr>
              <w:t>,862</w:t>
            </w:r>
          </w:p>
        </w:tc>
      </w:tr>
    </w:tbl>
    <w:p w14:paraId="665283AC" w14:textId="0938A886" w:rsidR="00704460" w:rsidRPr="00697F3B" w:rsidRDefault="0082237F" w:rsidP="008A36BE">
      <w:pPr>
        <w:spacing w:after="240" w:line="360" w:lineRule="auto"/>
        <w:ind w:firstLine="708"/>
        <w:jc w:val="both"/>
        <w:rPr>
          <w:color w:val="000000" w:themeColor="text1"/>
        </w:rPr>
      </w:pPr>
      <w:r w:rsidRPr="00697F3B">
        <w:rPr>
          <w:color w:val="000000" w:themeColor="text1"/>
        </w:rPr>
        <w:t xml:space="preserve">* significatif à </w:t>
      </w:r>
      <w:r w:rsidR="00E87A20" w:rsidRPr="00697F3B">
        <w:rPr>
          <w:color w:val="000000" w:themeColor="text1"/>
        </w:rPr>
        <w:t>10%, ** significatif à 5%</w:t>
      </w:r>
    </w:p>
    <w:p w14:paraId="60F9900E" w14:textId="7EA0311E" w:rsidR="00B60608" w:rsidRPr="00697F3B" w:rsidRDefault="005E7B73" w:rsidP="00B26E04">
      <w:pPr>
        <w:spacing w:after="240" w:line="360" w:lineRule="auto"/>
        <w:jc w:val="both"/>
        <w:rPr>
          <w:color w:val="000000" w:themeColor="text1"/>
        </w:rPr>
      </w:pPr>
      <w:r w:rsidRPr="00697F3B">
        <w:rPr>
          <w:color w:val="000000" w:themeColor="text1"/>
        </w:rPr>
        <w:t>Notons également que nous avons effectué un test de robustesse</w:t>
      </w:r>
      <w:r w:rsidR="008A2BB1" w:rsidRPr="00697F3B">
        <w:rPr>
          <w:color w:val="000000" w:themeColor="text1"/>
        </w:rPr>
        <w:t xml:space="preserve"> (voir Tableau 5)</w:t>
      </w:r>
      <w:r w:rsidRPr="00697F3B">
        <w:rPr>
          <w:color w:val="000000" w:themeColor="text1"/>
        </w:rPr>
        <w:t xml:space="preserve"> par rapport aux</w:t>
      </w:r>
      <w:r w:rsidR="00DA0078" w:rsidRPr="00697F3B">
        <w:rPr>
          <w:color w:val="000000" w:themeColor="text1"/>
        </w:rPr>
        <w:t xml:space="preserve"> choix des</w:t>
      </w:r>
      <w:r w:rsidRPr="00697F3B">
        <w:rPr>
          <w:color w:val="000000" w:themeColor="text1"/>
        </w:rPr>
        <w:t xml:space="preserve"> promoteurs </w:t>
      </w:r>
      <w:r w:rsidR="00DA0078" w:rsidRPr="00697F3B">
        <w:rPr>
          <w:color w:val="000000" w:themeColor="text1"/>
        </w:rPr>
        <w:t>pour les équivalents traditionnels des</w:t>
      </w:r>
      <w:r w:rsidRPr="00697F3B">
        <w:rPr>
          <w:color w:val="000000" w:themeColor="text1"/>
        </w:rPr>
        <w:t xml:space="preserve"> fonds</w:t>
      </w:r>
      <w:r w:rsidR="00DA0078" w:rsidRPr="00697F3B">
        <w:rPr>
          <w:color w:val="000000" w:themeColor="text1"/>
        </w:rPr>
        <w:t xml:space="preserve"> ISR. En effet, il a été rarement possible dans notre échantillon d’associer deux fonds de promoteurs identiques lors du </w:t>
      </w:r>
      <w:r w:rsidR="00DA0078" w:rsidRPr="00697F3B">
        <w:rPr>
          <w:i/>
          <w:iCs/>
          <w:color w:val="000000" w:themeColor="text1"/>
        </w:rPr>
        <w:t>pair-</w:t>
      </w:r>
      <w:proofErr w:type="spellStart"/>
      <w:r w:rsidR="00DA0078" w:rsidRPr="00697F3B">
        <w:rPr>
          <w:i/>
          <w:iCs/>
          <w:color w:val="000000" w:themeColor="text1"/>
        </w:rPr>
        <w:t>matching</w:t>
      </w:r>
      <w:proofErr w:type="spellEnd"/>
      <w:r w:rsidR="00DA0078" w:rsidRPr="00697F3B">
        <w:rPr>
          <w:color w:val="000000" w:themeColor="text1"/>
        </w:rPr>
        <w:t>,</w:t>
      </w:r>
      <w:r w:rsidR="00F63F25" w:rsidRPr="00697F3B">
        <w:rPr>
          <w:color w:val="000000" w:themeColor="text1"/>
        </w:rPr>
        <w:t xml:space="preserve"> </w:t>
      </w:r>
      <w:r w:rsidR="003B42DE" w:rsidRPr="00697F3B">
        <w:rPr>
          <w:color w:val="000000" w:themeColor="text1"/>
        </w:rPr>
        <w:t xml:space="preserve">(cela n’a été possible que </w:t>
      </w:r>
      <w:r w:rsidR="00F63F25" w:rsidRPr="00697F3B">
        <w:rPr>
          <w:color w:val="000000" w:themeColor="text1"/>
        </w:rPr>
        <w:t>11</w:t>
      </w:r>
      <w:r w:rsidR="00DA0078" w:rsidRPr="00697F3B">
        <w:rPr>
          <w:color w:val="000000" w:themeColor="text1"/>
        </w:rPr>
        <w:t xml:space="preserve"> fois sur </w:t>
      </w:r>
      <w:r w:rsidR="00F63F25" w:rsidRPr="00697F3B">
        <w:rPr>
          <w:color w:val="000000" w:themeColor="text1"/>
        </w:rPr>
        <w:t>35</w:t>
      </w:r>
      <w:r w:rsidR="003B42DE" w:rsidRPr="00697F3B">
        <w:rPr>
          <w:color w:val="000000" w:themeColor="text1"/>
        </w:rPr>
        <w:t>)</w:t>
      </w:r>
      <w:r w:rsidR="00F63F25" w:rsidRPr="00697F3B">
        <w:rPr>
          <w:color w:val="000000" w:themeColor="text1"/>
        </w:rPr>
        <w:t>.</w:t>
      </w:r>
      <w:r w:rsidR="00375BF6" w:rsidRPr="00697F3B">
        <w:rPr>
          <w:color w:val="000000" w:themeColor="text1"/>
        </w:rPr>
        <w:t xml:space="preserve"> Ainsi, nous avons scindé notre échantillon en deux groupes : promoteurs du fonds ISR et du fonds traditionnels identiques vs promoteurs différents. Il apparait que pour </w:t>
      </w:r>
      <w:r w:rsidRPr="00697F3B">
        <w:rPr>
          <w:color w:val="000000" w:themeColor="text1"/>
        </w:rPr>
        <w:t>le sous-échantillon créé avec tous des fonds du même promoteur</w:t>
      </w:r>
      <w:r w:rsidR="0077006A" w:rsidRPr="00697F3B">
        <w:rPr>
          <w:color w:val="000000" w:themeColor="text1"/>
        </w:rPr>
        <w:t xml:space="preserve">, les hypothèses nulles </w:t>
      </w:r>
      <w:r w:rsidR="009E2584" w:rsidRPr="00697F3B">
        <w:rPr>
          <w:color w:val="000000" w:themeColor="text1"/>
        </w:rPr>
        <w:t xml:space="preserve">n'ont </w:t>
      </w:r>
      <w:r w:rsidR="005C312C" w:rsidRPr="00697F3B">
        <w:rPr>
          <w:color w:val="000000" w:themeColor="text1"/>
        </w:rPr>
        <w:t>pu être</w:t>
      </w:r>
      <w:r w:rsidR="009E2584" w:rsidRPr="00697F3B">
        <w:rPr>
          <w:color w:val="000000" w:themeColor="text1"/>
        </w:rPr>
        <w:t xml:space="preserve"> rejetées</w:t>
      </w:r>
      <w:r w:rsidR="0077006A" w:rsidRPr="00697F3B">
        <w:rPr>
          <w:color w:val="000000" w:themeColor="text1"/>
        </w:rPr>
        <w:t xml:space="preserve"> </w:t>
      </w:r>
      <w:r w:rsidR="005C312C" w:rsidRPr="00697F3B">
        <w:rPr>
          <w:color w:val="000000" w:themeColor="text1"/>
        </w:rPr>
        <w:t xml:space="preserve">que pour </w:t>
      </w:r>
      <w:r w:rsidR="00B47533" w:rsidRPr="00697F3B">
        <w:rPr>
          <w:color w:val="000000" w:themeColor="text1"/>
        </w:rPr>
        <w:t>5</w:t>
      </w:r>
      <w:r w:rsidR="00B26E04" w:rsidRPr="00697F3B">
        <w:rPr>
          <w:color w:val="000000" w:themeColor="text1"/>
        </w:rPr>
        <w:t xml:space="preserve"> </w:t>
      </w:r>
      <w:r w:rsidR="009E2584" w:rsidRPr="00697F3B">
        <w:rPr>
          <w:color w:val="000000" w:themeColor="text1"/>
        </w:rPr>
        <w:t>sous-hypothèses</w:t>
      </w:r>
      <w:r w:rsidR="00B26E04" w:rsidRPr="00697F3B">
        <w:rPr>
          <w:color w:val="000000" w:themeColor="text1"/>
        </w:rPr>
        <w:t xml:space="preserve"> sur </w:t>
      </w:r>
      <w:r w:rsidR="00B47533" w:rsidRPr="00697F3B">
        <w:rPr>
          <w:color w:val="000000" w:themeColor="text1"/>
        </w:rPr>
        <w:t>10</w:t>
      </w:r>
      <w:r w:rsidR="00B26E04" w:rsidRPr="00697F3B">
        <w:rPr>
          <w:color w:val="000000" w:themeColor="text1"/>
        </w:rPr>
        <w:t xml:space="preserve"> au niveau de la performance extra-financière</w:t>
      </w:r>
      <w:r w:rsidR="009E2584" w:rsidRPr="00697F3B">
        <w:rPr>
          <w:color w:val="000000" w:themeColor="text1"/>
        </w:rPr>
        <w:t>. L</w:t>
      </w:r>
      <w:r w:rsidR="00B26E04" w:rsidRPr="00697F3B">
        <w:rPr>
          <w:color w:val="000000" w:themeColor="text1"/>
        </w:rPr>
        <w:t xml:space="preserve">es conclusions sont </w:t>
      </w:r>
      <w:r w:rsidR="009E2584" w:rsidRPr="00697F3B">
        <w:rPr>
          <w:color w:val="000000" w:themeColor="text1"/>
        </w:rPr>
        <w:t xml:space="preserve">donc </w:t>
      </w:r>
      <w:r w:rsidR="00B26E04" w:rsidRPr="00697F3B">
        <w:rPr>
          <w:color w:val="000000" w:themeColor="text1"/>
        </w:rPr>
        <w:t>un peu plus mitigées que celles précédemment obtenues</w:t>
      </w:r>
      <w:r w:rsidR="00BE53C3" w:rsidRPr="00697F3B">
        <w:rPr>
          <w:color w:val="000000" w:themeColor="text1"/>
        </w:rPr>
        <w:t xml:space="preserve"> et la différence de performance extra-financière </w:t>
      </w:r>
      <w:r w:rsidR="007131EE" w:rsidRPr="00697F3B">
        <w:rPr>
          <w:color w:val="000000" w:themeColor="text1"/>
        </w:rPr>
        <w:t xml:space="preserve">entre fonds ISR et fonds traditionnels </w:t>
      </w:r>
      <w:r w:rsidR="00BE53C3" w:rsidRPr="00697F3B">
        <w:rPr>
          <w:color w:val="000000" w:themeColor="text1"/>
        </w:rPr>
        <w:t xml:space="preserve">n’est </w:t>
      </w:r>
      <w:r w:rsidR="007131EE" w:rsidRPr="00697F3B">
        <w:rPr>
          <w:color w:val="000000" w:themeColor="text1"/>
        </w:rPr>
        <w:t>plus aussi marquée</w:t>
      </w:r>
      <w:r w:rsidR="00BE53C3" w:rsidRPr="00697F3B">
        <w:rPr>
          <w:color w:val="000000" w:themeColor="text1"/>
        </w:rPr>
        <w:t xml:space="preserve">. </w:t>
      </w:r>
      <w:r w:rsidR="00B26E04" w:rsidRPr="00697F3B">
        <w:rPr>
          <w:color w:val="000000" w:themeColor="text1"/>
        </w:rPr>
        <w:t>S</w:t>
      </w:r>
      <w:r w:rsidR="007C2D50" w:rsidRPr="00697F3B">
        <w:rPr>
          <w:color w:val="000000" w:themeColor="text1"/>
        </w:rPr>
        <w:t>ans la contrainte du promoteur pour le choix des équivalents traditionnels</w:t>
      </w:r>
      <w:r w:rsidR="0077006A" w:rsidRPr="00697F3B">
        <w:rPr>
          <w:color w:val="000000" w:themeColor="text1"/>
        </w:rPr>
        <w:t>, l</w:t>
      </w:r>
      <w:r w:rsidR="007C2D50" w:rsidRPr="00697F3B">
        <w:rPr>
          <w:color w:val="000000" w:themeColor="text1"/>
        </w:rPr>
        <w:t xml:space="preserve">es </w:t>
      </w:r>
      <w:r w:rsidR="0077006A" w:rsidRPr="00697F3B">
        <w:rPr>
          <w:color w:val="000000" w:themeColor="text1"/>
        </w:rPr>
        <w:t>hypothèse</w:t>
      </w:r>
      <w:r w:rsidR="007C2D50" w:rsidRPr="00697F3B">
        <w:rPr>
          <w:color w:val="000000" w:themeColor="text1"/>
        </w:rPr>
        <w:t>s</w:t>
      </w:r>
      <w:r w:rsidR="0077006A" w:rsidRPr="00697F3B">
        <w:rPr>
          <w:color w:val="000000" w:themeColor="text1"/>
        </w:rPr>
        <w:t xml:space="preserve"> nulle</w:t>
      </w:r>
      <w:r w:rsidR="007C2D50" w:rsidRPr="00697F3B">
        <w:rPr>
          <w:color w:val="000000" w:themeColor="text1"/>
        </w:rPr>
        <w:t>s</w:t>
      </w:r>
      <w:r w:rsidR="0077006A" w:rsidRPr="00697F3B">
        <w:rPr>
          <w:color w:val="000000" w:themeColor="text1"/>
        </w:rPr>
        <w:t xml:space="preserve"> </w:t>
      </w:r>
      <w:r w:rsidR="007C2D50" w:rsidRPr="00697F3B">
        <w:rPr>
          <w:color w:val="000000" w:themeColor="text1"/>
        </w:rPr>
        <w:t>sont</w:t>
      </w:r>
      <w:r w:rsidR="00B47533" w:rsidRPr="00697F3B">
        <w:rPr>
          <w:color w:val="000000" w:themeColor="text1"/>
        </w:rPr>
        <w:t xml:space="preserve"> presque</w:t>
      </w:r>
      <w:r w:rsidR="0077006A" w:rsidRPr="00697F3B">
        <w:rPr>
          <w:color w:val="000000" w:themeColor="text1"/>
        </w:rPr>
        <w:t xml:space="preserve"> </w:t>
      </w:r>
      <w:r w:rsidR="00375BF6" w:rsidRPr="00697F3B">
        <w:rPr>
          <w:color w:val="000000" w:themeColor="text1"/>
        </w:rPr>
        <w:t xml:space="preserve">toutes </w:t>
      </w:r>
      <w:r w:rsidR="0077006A" w:rsidRPr="00697F3B">
        <w:rPr>
          <w:color w:val="000000" w:themeColor="text1"/>
        </w:rPr>
        <w:t>rejet</w:t>
      </w:r>
      <w:r w:rsidR="007C2D50" w:rsidRPr="00697F3B">
        <w:rPr>
          <w:color w:val="000000" w:themeColor="text1"/>
        </w:rPr>
        <w:t>ées</w:t>
      </w:r>
      <w:r w:rsidR="00375BF6" w:rsidRPr="00697F3B">
        <w:rPr>
          <w:color w:val="000000" w:themeColor="text1"/>
        </w:rPr>
        <w:t xml:space="preserve"> </w:t>
      </w:r>
      <w:r w:rsidR="004C5BF9" w:rsidRPr="00697F3B">
        <w:rPr>
          <w:color w:val="000000" w:themeColor="text1"/>
        </w:rPr>
        <w:t xml:space="preserve">à </w:t>
      </w:r>
      <w:r w:rsidR="00982DB7" w:rsidRPr="00697F3B">
        <w:rPr>
          <w:color w:val="000000" w:themeColor="text1"/>
        </w:rPr>
        <w:t>1</w:t>
      </w:r>
      <w:r w:rsidR="004C5BF9" w:rsidRPr="00697F3B">
        <w:rPr>
          <w:color w:val="000000" w:themeColor="text1"/>
        </w:rPr>
        <w:t xml:space="preserve">% </w:t>
      </w:r>
      <w:r w:rsidR="00375BF6" w:rsidRPr="00697F3B">
        <w:rPr>
          <w:color w:val="000000" w:themeColor="text1"/>
        </w:rPr>
        <w:t>pour les indicateurs extra-financiers</w:t>
      </w:r>
      <w:r w:rsidR="00B47533" w:rsidRPr="00697F3B">
        <w:rPr>
          <w:color w:val="000000" w:themeColor="text1"/>
        </w:rPr>
        <w:t>, à l’exception</w:t>
      </w:r>
      <w:r w:rsidR="00982DB7" w:rsidRPr="00697F3B">
        <w:rPr>
          <w:color w:val="000000" w:themeColor="text1"/>
        </w:rPr>
        <w:t xml:space="preserve"> </w:t>
      </w:r>
      <w:r w:rsidR="00B47533" w:rsidRPr="00697F3B">
        <w:rPr>
          <w:color w:val="000000" w:themeColor="text1"/>
        </w:rPr>
        <w:t xml:space="preserve">des numéros 7 et 8. </w:t>
      </w:r>
      <w:r w:rsidR="0077006A" w:rsidRPr="00697F3B">
        <w:rPr>
          <w:color w:val="000000" w:themeColor="text1"/>
        </w:rPr>
        <w:t xml:space="preserve">Il y </w:t>
      </w:r>
      <w:r w:rsidR="00BE53C3" w:rsidRPr="00697F3B">
        <w:rPr>
          <w:color w:val="000000" w:themeColor="text1"/>
        </w:rPr>
        <w:t>a</w:t>
      </w:r>
      <w:r w:rsidR="0077006A" w:rsidRPr="00697F3B">
        <w:rPr>
          <w:color w:val="000000" w:themeColor="text1"/>
        </w:rPr>
        <w:t xml:space="preserve"> donc</w:t>
      </w:r>
      <w:r w:rsidR="00BE53C3" w:rsidRPr="00697F3B">
        <w:rPr>
          <w:color w:val="000000" w:themeColor="text1"/>
        </w:rPr>
        <w:t xml:space="preserve"> bien</w:t>
      </w:r>
      <w:r w:rsidR="0077006A" w:rsidRPr="00697F3B">
        <w:rPr>
          <w:color w:val="000000" w:themeColor="text1"/>
        </w:rPr>
        <w:t xml:space="preserve"> une différence statistiquement significative entre la performance extra-financière des fonds ISR et celle des fonds traditionnels</w:t>
      </w:r>
      <w:r w:rsidR="00982DB7" w:rsidRPr="00697F3B">
        <w:rPr>
          <w:color w:val="000000" w:themeColor="text1"/>
        </w:rPr>
        <w:t xml:space="preserve"> lorsque les promoteurs sont différents</w:t>
      </w:r>
      <w:r w:rsidR="00375BF6" w:rsidRPr="00697F3B">
        <w:rPr>
          <w:color w:val="000000" w:themeColor="text1"/>
        </w:rPr>
        <w:t xml:space="preserve">, </w:t>
      </w:r>
      <w:r w:rsidR="007C2D50" w:rsidRPr="00697F3B">
        <w:rPr>
          <w:color w:val="000000" w:themeColor="text1"/>
        </w:rPr>
        <w:t>comme annoncé précédemment</w:t>
      </w:r>
      <w:r w:rsidR="00982DB7" w:rsidRPr="00697F3B">
        <w:rPr>
          <w:color w:val="000000" w:themeColor="text1"/>
        </w:rPr>
        <w:t xml:space="preserve">. </w:t>
      </w:r>
      <w:r w:rsidR="0013546A" w:rsidRPr="00697F3B">
        <w:rPr>
          <w:color w:val="000000" w:themeColor="text1"/>
        </w:rPr>
        <w:t>Ainsi, l'impact du promoteur sur les résultats concernant la variation de performance extra-financière des fonds est soulevé, remettant encore plus en question la qualité des fonds ISR, notamment en raison de l'absence probable de différence de performance extra-financière entre les fonds de différents types d'un même promoteur.</w:t>
      </w:r>
    </w:p>
    <w:p w14:paraId="0D70BC80" w14:textId="77777777" w:rsidR="00697F3B" w:rsidRDefault="00697F3B">
      <w:pPr>
        <w:rPr>
          <w:rFonts w:eastAsiaTheme="minorHAnsi"/>
          <w:color w:val="000000" w:themeColor="text1"/>
          <w:sz w:val="18"/>
          <w:szCs w:val="18"/>
          <w:lang w:eastAsia="en-US"/>
        </w:rPr>
      </w:pPr>
      <w:r>
        <w:rPr>
          <w:color w:val="000000" w:themeColor="text1"/>
          <w:sz w:val="18"/>
          <w:szCs w:val="18"/>
        </w:rPr>
        <w:br w:type="page"/>
      </w:r>
    </w:p>
    <w:p w14:paraId="47CDE74F" w14:textId="728C5A4A" w:rsidR="00852E5E" w:rsidRPr="00697F3B" w:rsidRDefault="00852E5E" w:rsidP="00B60608">
      <w:pPr>
        <w:pStyle w:val="Paragraphedeliste"/>
        <w:spacing w:after="240" w:line="360" w:lineRule="auto"/>
        <w:jc w:val="center"/>
        <w:rPr>
          <w:rFonts w:ascii="Times New Roman" w:hAnsi="Times New Roman" w:cs="Times New Roman"/>
          <w:color w:val="000000" w:themeColor="text1"/>
        </w:rPr>
      </w:pPr>
      <w:r w:rsidRPr="00697F3B">
        <w:rPr>
          <w:rFonts w:ascii="Times New Roman" w:hAnsi="Times New Roman" w:cs="Times New Roman"/>
          <w:color w:val="000000" w:themeColor="text1"/>
          <w:sz w:val="18"/>
          <w:szCs w:val="18"/>
        </w:rPr>
        <w:lastRenderedPageBreak/>
        <w:t xml:space="preserve">Tableau  5: </w:t>
      </w:r>
      <w:r w:rsidR="00B60608" w:rsidRPr="00697F3B">
        <w:rPr>
          <w:rFonts w:ascii="Times New Roman" w:hAnsi="Times New Roman" w:cs="Times New Roman"/>
          <w:color w:val="000000" w:themeColor="text1"/>
          <w:sz w:val="18"/>
          <w:szCs w:val="18"/>
        </w:rPr>
        <w:t>Test de robustesse U de Mann-</w:t>
      </w:r>
      <w:proofErr w:type="spellStart"/>
      <w:r w:rsidR="00B60608" w:rsidRPr="00697F3B">
        <w:rPr>
          <w:rFonts w:ascii="Times New Roman" w:hAnsi="Times New Roman" w:cs="Times New Roman"/>
          <w:color w:val="000000" w:themeColor="text1"/>
          <w:sz w:val="18"/>
          <w:szCs w:val="18"/>
        </w:rPr>
        <w:t>Withney</w:t>
      </w:r>
      <w:proofErr w:type="spellEnd"/>
      <w:r w:rsidR="00B60608" w:rsidRPr="00697F3B">
        <w:rPr>
          <w:rFonts w:ascii="Times New Roman" w:hAnsi="Times New Roman" w:cs="Times New Roman"/>
          <w:color w:val="000000" w:themeColor="text1"/>
          <w:sz w:val="18"/>
          <w:szCs w:val="18"/>
        </w:rPr>
        <w:t xml:space="preserve"> pour échantillons indépendants (fonds du même promoteur et fonds de promoteurs différents)</w:t>
      </w:r>
    </w:p>
    <w:tbl>
      <w:tblPr>
        <w:tblW w:w="11029" w:type="dxa"/>
        <w:jc w:val="center"/>
        <w:tblLayout w:type="fixed"/>
        <w:tblCellMar>
          <w:left w:w="10" w:type="dxa"/>
          <w:right w:w="10" w:type="dxa"/>
        </w:tblCellMar>
        <w:tblLook w:val="0000" w:firstRow="0" w:lastRow="0" w:firstColumn="0" w:lastColumn="0" w:noHBand="0" w:noVBand="0"/>
      </w:tblPr>
      <w:tblGrid>
        <w:gridCol w:w="557"/>
        <w:gridCol w:w="4820"/>
        <w:gridCol w:w="1559"/>
        <w:gridCol w:w="1418"/>
        <w:gridCol w:w="1541"/>
        <w:gridCol w:w="1134"/>
      </w:tblGrid>
      <w:tr w:rsidR="007408B4" w:rsidRPr="00697F3B" w14:paraId="489F7CB8" w14:textId="77777777" w:rsidTr="008A36BE">
        <w:trPr>
          <w:jc w:val="center"/>
        </w:trPr>
        <w:tc>
          <w:tcPr>
            <w:tcW w:w="557" w:type="dxa"/>
            <w:tcBorders>
              <w:top w:val="none" w:sz="1" w:space="0" w:color="152935"/>
              <w:left w:val="none" w:sz="1" w:space="0" w:color="152935"/>
              <w:bottom w:val="single" w:sz="1" w:space="0" w:color="152935"/>
              <w:right w:val="single" w:sz="1" w:space="0" w:color="E0E0E0"/>
            </w:tcBorders>
            <w:shd w:val="clear" w:color="auto" w:fill="FFFFFF"/>
          </w:tcPr>
          <w:p w14:paraId="70C471F4" w14:textId="77777777" w:rsidR="007408B4" w:rsidRPr="00697F3B" w:rsidRDefault="007408B4" w:rsidP="00B31DC8">
            <w:pPr>
              <w:spacing w:before="10" w:after="10"/>
              <w:ind w:left="30" w:right="40"/>
              <w:jc w:val="center"/>
              <w:rPr>
                <w:rFonts w:eastAsia="Arial"/>
                <w:color w:val="264A60"/>
                <w:sz w:val="20"/>
                <w:szCs w:val="20"/>
              </w:rPr>
            </w:pPr>
          </w:p>
        </w:tc>
        <w:tc>
          <w:tcPr>
            <w:tcW w:w="4820" w:type="dxa"/>
            <w:tcBorders>
              <w:top w:val="none" w:sz="1" w:space="0" w:color="152935"/>
              <w:left w:val="none" w:sz="1" w:space="0" w:color="152935"/>
              <w:bottom w:val="single" w:sz="1" w:space="0" w:color="152935"/>
              <w:right w:val="single" w:sz="1" w:space="0" w:color="E0E0E0"/>
            </w:tcBorders>
            <w:shd w:val="clear" w:color="auto" w:fill="FFFFFF"/>
            <w:vAlign w:val="bottom"/>
          </w:tcPr>
          <w:p w14:paraId="3B548651" w14:textId="77777777" w:rsidR="007408B4" w:rsidRPr="00697F3B" w:rsidRDefault="007408B4" w:rsidP="00B31DC8">
            <w:pPr>
              <w:spacing w:before="10" w:after="10"/>
              <w:ind w:left="30" w:right="40"/>
              <w:jc w:val="center"/>
              <w:rPr>
                <w:sz w:val="20"/>
                <w:szCs w:val="20"/>
              </w:rPr>
            </w:pPr>
            <w:r w:rsidRPr="00697F3B">
              <w:rPr>
                <w:rFonts w:eastAsia="Arial"/>
                <w:color w:val="264A60"/>
                <w:sz w:val="20"/>
                <w:szCs w:val="20"/>
              </w:rPr>
              <w:t>Hypothèse nulle</w:t>
            </w:r>
          </w:p>
        </w:tc>
        <w:tc>
          <w:tcPr>
            <w:tcW w:w="1559" w:type="dxa"/>
            <w:tcBorders>
              <w:top w:val="none" w:sz="1" w:space="0" w:color="152935"/>
              <w:left w:val="single" w:sz="1" w:space="0" w:color="E0E0E0"/>
              <w:bottom w:val="single" w:sz="1" w:space="0" w:color="152935"/>
              <w:right w:val="single" w:sz="1" w:space="0" w:color="E0E0E0"/>
            </w:tcBorders>
            <w:shd w:val="clear" w:color="auto" w:fill="FFFFFF"/>
            <w:vAlign w:val="center"/>
          </w:tcPr>
          <w:p w14:paraId="34B1A1D3" w14:textId="741E01D3" w:rsidR="007408B4" w:rsidRPr="00697F3B" w:rsidRDefault="007408B4" w:rsidP="00AF4030">
            <w:pPr>
              <w:spacing w:before="10" w:after="10"/>
              <w:ind w:left="30" w:right="40"/>
              <w:jc w:val="center"/>
              <w:rPr>
                <w:rFonts w:eastAsia="Arial"/>
                <w:color w:val="264A60"/>
                <w:sz w:val="20"/>
                <w:szCs w:val="20"/>
              </w:rPr>
            </w:pPr>
            <w:r w:rsidRPr="00697F3B">
              <w:rPr>
                <w:rFonts w:eastAsia="Arial"/>
                <w:color w:val="264A60"/>
                <w:sz w:val="20"/>
                <w:szCs w:val="20"/>
              </w:rPr>
              <w:t xml:space="preserve">Rang moyen (en prenant en compte les </w:t>
            </w:r>
            <w:r w:rsidR="00AF4030" w:rsidRPr="00697F3B">
              <w:rPr>
                <w:rFonts w:eastAsia="Arial"/>
                <w:color w:val="264A60"/>
                <w:sz w:val="20"/>
                <w:szCs w:val="20"/>
              </w:rPr>
              <w:t>fonds du même promoteur)</w:t>
            </w:r>
          </w:p>
        </w:tc>
        <w:tc>
          <w:tcPr>
            <w:tcW w:w="1418" w:type="dxa"/>
            <w:tcBorders>
              <w:top w:val="none" w:sz="1" w:space="0" w:color="152935"/>
              <w:left w:val="single" w:sz="1" w:space="0" w:color="E0E0E0"/>
              <w:bottom w:val="single" w:sz="1" w:space="0" w:color="152935"/>
              <w:right w:val="single" w:sz="1" w:space="0" w:color="E0E0E0"/>
            </w:tcBorders>
            <w:shd w:val="clear" w:color="auto" w:fill="FFFFFF"/>
            <w:vAlign w:val="center"/>
          </w:tcPr>
          <w:p w14:paraId="1D99F1AC" w14:textId="7158BB80" w:rsidR="007408B4" w:rsidRPr="00697F3B" w:rsidRDefault="007408B4" w:rsidP="00AF4030">
            <w:pPr>
              <w:spacing w:before="10" w:after="10"/>
              <w:ind w:left="30" w:right="40"/>
              <w:jc w:val="center"/>
              <w:rPr>
                <w:sz w:val="20"/>
                <w:szCs w:val="20"/>
              </w:rPr>
            </w:pPr>
            <w:proofErr w:type="spellStart"/>
            <w:r w:rsidRPr="00697F3B">
              <w:rPr>
                <w:rFonts w:eastAsia="Arial"/>
                <w:color w:val="264A60"/>
                <w:sz w:val="20"/>
                <w:szCs w:val="20"/>
              </w:rPr>
              <w:t>Sig</w:t>
            </w:r>
            <w:proofErr w:type="spellEnd"/>
            <w:r w:rsidRPr="00697F3B">
              <w:rPr>
                <w:rFonts w:eastAsia="Arial"/>
                <w:color w:val="264A60"/>
                <w:sz w:val="20"/>
                <w:szCs w:val="20"/>
              </w:rPr>
              <w:t xml:space="preserve"> (en prenant en compte les fonds </w:t>
            </w:r>
            <w:r w:rsidR="00AF4030" w:rsidRPr="00697F3B">
              <w:rPr>
                <w:rFonts w:eastAsia="Arial"/>
                <w:color w:val="264A60"/>
                <w:sz w:val="20"/>
                <w:szCs w:val="20"/>
              </w:rPr>
              <w:t>du même promoteur)</w:t>
            </w:r>
          </w:p>
        </w:tc>
        <w:tc>
          <w:tcPr>
            <w:tcW w:w="1541" w:type="dxa"/>
            <w:tcBorders>
              <w:top w:val="none" w:sz="1" w:space="0" w:color="152935"/>
              <w:left w:val="single" w:sz="1" w:space="0" w:color="E0E0E0"/>
              <w:bottom w:val="single" w:sz="1" w:space="0" w:color="152935"/>
              <w:right w:val="single" w:sz="1" w:space="0" w:color="E0E0E0"/>
            </w:tcBorders>
            <w:shd w:val="clear" w:color="auto" w:fill="FFFFFF"/>
            <w:vAlign w:val="center"/>
          </w:tcPr>
          <w:p w14:paraId="35D91B0B" w14:textId="2CBCC2E6" w:rsidR="007408B4" w:rsidRPr="00697F3B" w:rsidRDefault="00AF4030" w:rsidP="00AF4030">
            <w:pPr>
              <w:spacing w:before="10" w:after="10"/>
              <w:ind w:left="30" w:right="40"/>
              <w:jc w:val="center"/>
              <w:rPr>
                <w:rFonts w:eastAsia="Arial"/>
                <w:color w:val="264A60"/>
                <w:sz w:val="20"/>
                <w:szCs w:val="20"/>
              </w:rPr>
            </w:pPr>
            <w:r w:rsidRPr="00697F3B">
              <w:rPr>
                <w:rFonts w:eastAsia="Arial"/>
                <w:color w:val="264A60"/>
                <w:sz w:val="20"/>
                <w:szCs w:val="20"/>
              </w:rPr>
              <w:t>Rang moyen (en prenant en compte les fonds de promoteurs différents)</w:t>
            </w:r>
          </w:p>
        </w:tc>
        <w:tc>
          <w:tcPr>
            <w:tcW w:w="1134" w:type="dxa"/>
            <w:tcBorders>
              <w:top w:val="none" w:sz="1" w:space="0" w:color="152935"/>
              <w:left w:val="single" w:sz="1" w:space="0" w:color="E0E0E0"/>
              <w:bottom w:val="single" w:sz="1" w:space="0" w:color="152935"/>
              <w:right w:val="single" w:sz="1" w:space="0" w:color="E0E0E0"/>
            </w:tcBorders>
            <w:shd w:val="clear" w:color="auto" w:fill="FFFFFF"/>
            <w:vAlign w:val="center"/>
          </w:tcPr>
          <w:p w14:paraId="64EF3A61" w14:textId="546C21B5" w:rsidR="007408B4" w:rsidRPr="00697F3B" w:rsidRDefault="007408B4" w:rsidP="00AF4030">
            <w:pPr>
              <w:spacing w:before="10" w:after="10"/>
              <w:ind w:left="30" w:right="40"/>
              <w:jc w:val="center"/>
              <w:rPr>
                <w:rFonts w:eastAsia="Arial"/>
                <w:color w:val="264A60"/>
                <w:sz w:val="20"/>
                <w:szCs w:val="20"/>
              </w:rPr>
            </w:pPr>
            <w:proofErr w:type="spellStart"/>
            <w:r w:rsidRPr="00697F3B">
              <w:rPr>
                <w:rFonts w:eastAsia="Arial"/>
                <w:color w:val="264A60"/>
                <w:sz w:val="20"/>
                <w:szCs w:val="20"/>
              </w:rPr>
              <w:t>Sig</w:t>
            </w:r>
            <w:proofErr w:type="spellEnd"/>
            <w:r w:rsidRPr="00697F3B">
              <w:rPr>
                <w:rFonts w:eastAsia="Arial"/>
                <w:color w:val="264A60"/>
                <w:sz w:val="20"/>
                <w:szCs w:val="20"/>
              </w:rPr>
              <w:t xml:space="preserve"> (en prenant en compte les fonds </w:t>
            </w:r>
            <w:r w:rsidR="00AF4030" w:rsidRPr="00697F3B">
              <w:rPr>
                <w:rFonts w:eastAsia="Arial"/>
                <w:color w:val="264A60"/>
                <w:sz w:val="20"/>
                <w:szCs w:val="20"/>
              </w:rPr>
              <w:t>de promoteurs différents</w:t>
            </w:r>
            <w:r w:rsidRPr="00697F3B">
              <w:rPr>
                <w:rFonts w:eastAsia="Arial"/>
                <w:color w:val="264A60"/>
                <w:sz w:val="20"/>
                <w:szCs w:val="20"/>
              </w:rPr>
              <w:t>)</w:t>
            </w:r>
          </w:p>
        </w:tc>
      </w:tr>
      <w:tr w:rsidR="007408B4" w:rsidRPr="00697F3B" w14:paraId="0B7CB5BA" w14:textId="77777777" w:rsidTr="008A36BE">
        <w:trPr>
          <w:jc w:val="center"/>
        </w:trPr>
        <w:tc>
          <w:tcPr>
            <w:tcW w:w="557" w:type="dxa"/>
            <w:tcBorders>
              <w:top w:val="single" w:sz="1" w:space="0" w:color="152935"/>
              <w:left w:val="none" w:sz="1" w:space="0" w:color="152935"/>
              <w:bottom w:val="single" w:sz="1" w:space="0" w:color="AEAEAE"/>
              <w:right w:val="single" w:sz="1" w:space="0" w:color="E0E0E0"/>
            </w:tcBorders>
            <w:shd w:val="clear" w:color="auto" w:fill="F9F9FB"/>
            <w:vAlign w:val="center"/>
          </w:tcPr>
          <w:p w14:paraId="298084BF"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1</w:t>
            </w:r>
          </w:p>
        </w:tc>
        <w:tc>
          <w:tcPr>
            <w:tcW w:w="4820" w:type="dxa"/>
            <w:tcBorders>
              <w:top w:val="single" w:sz="1" w:space="0" w:color="152935"/>
              <w:left w:val="none" w:sz="1" w:space="0" w:color="152935"/>
              <w:bottom w:val="single" w:sz="1" w:space="0" w:color="AEAEAE"/>
              <w:right w:val="single" w:sz="1" w:space="0" w:color="E0E0E0"/>
            </w:tcBorders>
            <w:shd w:val="clear" w:color="auto" w:fill="F9F9FB"/>
          </w:tcPr>
          <w:p w14:paraId="42716E6D" w14:textId="56F0FF7E" w:rsidR="007408B4" w:rsidRPr="00697F3B" w:rsidRDefault="007408B4" w:rsidP="00B31DC8">
            <w:pPr>
              <w:spacing w:before="15" w:after="10"/>
              <w:ind w:left="30" w:right="40"/>
              <w:rPr>
                <w:sz w:val="20"/>
                <w:szCs w:val="20"/>
              </w:rPr>
            </w:pPr>
            <w:r w:rsidRPr="00697F3B">
              <w:rPr>
                <w:rFonts w:eastAsia="Arial"/>
                <w:color w:val="010205"/>
                <w:sz w:val="20"/>
                <w:szCs w:val="20"/>
              </w:rPr>
              <w:t xml:space="preserve">La distribution de « La cote de durabilité </w:t>
            </w:r>
            <w:proofErr w:type="spellStart"/>
            <w:r w:rsidRPr="00697F3B">
              <w:rPr>
                <w:rFonts w:eastAsia="Arial"/>
                <w:color w:val="010205"/>
                <w:sz w:val="20"/>
                <w:szCs w:val="20"/>
              </w:rPr>
              <w:t>Morningstar</w:t>
            </w:r>
            <w:proofErr w:type="spellEnd"/>
            <w:r w:rsidRPr="00697F3B">
              <w:rPr>
                <w:rFonts w:eastAsia="Arial"/>
                <w:color w:val="010205"/>
                <w:sz w:val="20"/>
                <w:szCs w:val="20"/>
              </w:rPr>
              <w:t xml:space="preserve"> (/5) » est la même sur les fonds ISR et non ISR</w:t>
            </w:r>
            <w:r w:rsidR="00264045" w:rsidRPr="00697F3B">
              <w:rPr>
                <w:rFonts w:eastAsia="Arial"/>
                <w:color w:val="010205"/>
                <w:sz w:val="20"/>
                <w:szCs w:val="20"/>
              </w:rPr>
              <w:t>.</w:t>
            </w:r>
          </w:p>
        </w:tc>
        <w:tc>
          <w:tcPr>
            <w:tcW w:w="1559" w:type="dxa"/>
            <w:tcBorders>
              <w:top w:val="single" w:sz="1" w:space="0" w:color="152935"/>
              <w:left w:val="single" w:sz="1" w:space="0" w:color="E0E0E0"/>
              <w:bottom w:val="single" w:sz="1" w:space="0" w:color="AEAEAE"/>
              <w:right w:val="single" w:sz="1" w:space="0" w:color="E0E0E0"/>
            </w:tcBorders>
            <w:shd w:val="clear" w:color="auto" w:fill="F9F9FB"/>
          </w:tcPr>
          <w:p w14:paraId="14A619AD" w14:textId="226D6239"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011B0F" w:rsidRPr="00697F3B">
              <w:rPr>
                <w:rFonts w:eastAsia="Arial"/>
                <w:color w:val="010205"/>
                <w:sz w:val="20"/>
                <w:szCs w:val="20"/>
              </w:rPr>
              <w:t>14,40</w:t>
            </w:r>
          </w:p>
          <w:p w14:paraId="4333BFAA" w14:textId="5116AFC8"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Non ISR :</w:t>
            </w:r>
            <w:r w:rsidR="00011B0F" w:rsidRPr="00697F3B">
              <w:rPr>
                <w:rFonts w:eastAsia="Arial"/>
                <w:color w:val="010205"/>
                <w:sz w:val="20"/>
                <w:szCs w:val="20"/>
              </w:rPr>
              <w:t>7,91</w:t>
            </w:r>
          </w:p>
          <w:p w14:paraId="334CB0FA" w14:textId="77777777" w:rsidR="007408B4" w:rsidRPr="00697F3B" w:rsidRDefault="007408B4" w:rsidP="00B31DC8">
            <w:pPr>
              <w:spacing w:before="15" w:after="10"/>
              <w:ind w:right="40"/>
              <w:rPr>
                <w:rFonts w:eastAsia="Arial"/>
                <w:color w:val="010205"/>
                <w:sz w:val="20"/>
                <w:szCs w:val="20"/>
              </w:rPr>
            </w:pPr>
          </w:p>
        </w:tc>
        <w:tc>
          <w:tcPr>
            <w:tcW w:w="1418" w:type="dxa"/>
            <w:tcBorders>
              <w:top w:val="single" w:sz="1" w:space="0" w:color="152935"/>
              <w:left w:val="single" w:sz="1" w:space="0" w:color="E0E0E0"/>
              <w:bottom w:val="single" w:sz="1" w:space="0" w:color="AEAEAE"/>
              <w:right w:val="single" w:sz="1" w:space="0" w:color="E0E0E0"/>
            </w:tcBorders>
            <w:shd w:val="clear" w:color="auto" w:fill="F9F9FB"/>
          </w:tcPr>
          <w:p w14:paraId="2B36BF83" w14:textId="77777777" w:rsidR="007408B4" w:rsidRPr="00697F3B" w:rsidRDefault="009E116B" w:rsidP="00B31DC8">
            <w:pPr>
              <w:spacing w:before="15" w:after="10"/>
              <w:ind w:left="30" w:right="40"/>
              <w:jc w:val="center"/>
              <w:rPr>
                <w:sz w:val="20"/>
                <w:szCs w:val="20"/>
              </w:rPr>
            </w:pPr>
            <w:r w:rsidRPr="00697F3B">
              <w:rPr>
                <w:sz w:val="20"/>
                <w:szCs w:val="20"/>
              </w:rPr>
              <w:t>,016</w:t>
            </w:r>
          </w:p>
          <w:p w14:paraId="2A64DA34" w14:textId="1D42CC27" w:rsidR="00F93024" w:rsidRPr="00697F3B" w:rsidRDefault="00F93024" w:rsidP="00B31DC8">
            <w:pPr>
              <w:spacing w:before="15" w:after="10"/>
              <w:ind w:left="30" w:right="40"/>
              <w:jc w:val="center"/>
              <w:rPr>
                <w:sz w:val="20"/>
                <w:szCs w:val="20"/>
              </w:rPr>
            </w:pPr>
            <w:r w:rsidRPr="00697F3B">
              <w:rPr>
                <w:sz w:val="20"/>
                <w:szCs w:val="20"/>
              </w:rPr>
              <w:t>**</w:t>
            </w:r>
          </w:p>
        </w:tc>
        <w:tc>
          <w:tcPr>
            <w:tcW w:w="1541" w:type="dxa"/>
            <w:tcBorders>
              <w:top w:val="single" w:sz="1" w:space="0" w:color="152935"/>
              <w:left w:val="single" w:sz="1" w:space="0" w:color="E0E0E0"/>
              <w:bottom w:val="single" w:sz="1" w:space="0" w:color="AEAEAE"/>
              <w:right w:val="single" w:sz="1" w:space="0" w:color="E0E0E0"/>
            </w:tcBorders>
            <w:shd w:val="clear" w:color="auto" w:fill="F9F9FB"/>
          </w:tcPr>
          <w:p w14:paraId="7A13D561" w14:textId="1A63E7B9"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2E1C08" w:rsidRPr="00697F3B">
              <w:rPr>
                <w:rFonts w:eastAsia="Arial"/>
                <w:color w:val="010205"/>
                <w:sz w:val="20"/>
                <w:szCs w:val="20"/>
              </w:rPr>
              <w:t>34,43</w:t>
            </w:r>
          </w:p>
          <w:p w14:paraId="65EDD7EE" w14:textId="32BF56A5"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Non ISR : </w:t>
            </w:r>
            <w:r w:rsidR="002E1C08" w:rsidRPr="00697F3B">
              <w:rPr>
                <w:rFonts w:eastAsia="Arial"/>
                <w:color w:val="010205"/>
                <w:sz w:val="20"/>
                <w:szCs w:val="20"/>
              </w:rPr>
              <w:t>13</w:t>
            </w:r>
          </w:p>
        </w:tc>
        <w:tc>
          <w:tcPr>
            <w:tcW w:w="1134" w:type="dxa"/>
            <w:tcBorders>
              <w:top w:val="single" w:sz="1" w:space="0" w:color="152935"/>
              <w:left w:val="single" w:sz="1" w:space="0" w:color="E0E0E0"/>
              <w:bottom w:val="single" w:sz="1" w:space="0" w:color="AEAEAE"/>
              <w:right w:val="single" w:sz="1" w:space="0" w:color="E0E0E0"/>
            </w:tcBorders>
            <w:shd w:val="clear" w:color="auto" w:fill="F9F9FB"/>
          </w:tcPr>
          <w:p w14:paraId="7081C2AA"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&lt;,001</w:t>
            </w:r>
          </w:p>
          <w:p w14:paraId="3D15E19A"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w:t>
            </w:r>
          </w:p>
        </w:tc>
      </w:tr>
      <w:tr w:rsidR="007408B4" w:rsidRPr="00697F3B" w14:paraId="714274F6"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4A545FCF"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2</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21EC6DBB" w14:textId="76866893" w:rsidR="007408B4" w:rsidRPr="00697F3B" w:rsidRDefault="007408B4" w:rsidP="00B31DC8">
            <w:pPr>
              <w:spacing w:before="15" w:after="10"/>
              <w:ind w:left="30" w:right="40"/>
              <w:rPr>
                <w:rFonts w:eastAsia="Arial"/>
                <w:color w:val="010205"/>
                <w:sz w:val="20"/>
                <w:szCs w:val="20"/>
              </w:rPr>
            </w:pPr>
            <w:r w:rsidRPr="00697F3B">
              <w:rPr>
                <w:rFonts w:eastAsia="Arial"/>
                <w:color w:val="010205"/>
                <w:sz w:val="20"/>
                <w:szCs w:val="20"/>
              </w:rPr>
              <w:t xml:space="preserve">La distribution de « La note extra-financière de MSCI disponible sur </w:t>
            </w:r>
            <w:proofErr w:type="spellStart"/>
            <w:r w:rsidRPr="00697F3B">
              <w:rPr>
                <w:rFonts w:eastAsia="Arial"/>
                <w:color w:val="010205"/>
                <w:sz w:val="20"/>
                <w:szCs w:val="20"/>
              </w:rPr>
              <w:t>FactSet</w:t>
            </w:r>
            <w:proofErr w:type="spellEnd"/>
            <w:r w:rsidRPr="00697F3B">
              <w:rPr>
                <w:rFonts w:eastAsia="Arial"/>
                <w:color w:val="010205"/>
                <w:sz w:val="20"/>
                <w:szCs w:val="20"/>
              </w:rPr>
              <w:t xml:space="preserve"> (/10) » est la même sur les fonds ISR et non ISR</w:t>
            </w:r>
            <w:r w:rsidR="00264045" w:rsidRPr="00697F3B">
              <w:rPr>
                <w:rFonts w:eastAsia="Arial"/>
                <w:color w:val="010205"/>
                <w:sz w:val="20"/>
                <w:szCs w:val="20"/>
              </w:rPr>
              <w:t>.</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063A5722" w14:textId="69F40C60"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011B0F" w:rsidRPr="00697F3B">
              <w:rPr>
                <w:rFonts w:eastAsia="Arial"/>
                <w:color w:val="010205"/>
                <w:sz w:val="20"/>
                <w:szCs w:val="20"/>
              </w:rPr>
              <w:t>13,50</w:t>
            </w:r>
          </w:p>
          <w:p w14:paraId="072D6FAC" w14:textId="03C6A663"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Non ISR : </w:t>
            </w:r>
            <w:r w:rsidR="00011B0F" w:rsidRPr="00697F3B">
              <w:rPr>
                <w:rFonts w:eastAsia="Arial"/>
                <w:color w:val="010205"/>
                <w:sz w:val="20"/>
                <w:szCs w:val="20"/>
              </w:rPr>
              <w:t>9,50</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2E059C6D" w14:textId="7B47AC0F" w:rsidR="007408B4" w:rsidRPr="00697F3B" w:rsidRDefault="009E116B" w:rsidP="00B31DC8">
            <w:pPr>
              <w:spacing w:before="15" w:after="10"/>
              <w:ind w:left="30" w:right="40"/>
              <w:jc w:val="center"/>
              <w:rPr>
                <w:sz w:val="20"/>
                <w:szCs w:val="20"/>
              </w:rPr>
            </w:pPr>
            <w:r w:rsidRPr="00697F3B">
              <w:rPr>
                <w:sz w:val="20"/>
                <w:szCs w:val="20"/>
              </w:rPr>
              <w:t>,151</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284ED5BE" w14:textId="5BB860EC"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2E1C08" w:rsidRPr="00697F3B">
              <w:rPr>
                <w:rFonts w:eastAsia="Arial"/>
                <w:color w:val="010205"/>
                <w:sz w:val="20"/>
                <w:szCs w:val="20"/>
              </w:rPr>
              <w:t>31,78</w:t>
            </w:r>
          </w:p>
          <w:p w14:paraId="736AB32F" w14:textId="0F8B117F"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Non ISR : </w:t>
            </w:r>
            <w:r w:rsidR="002E1C08" w:rsidRPr="00697F3B">
              <w:rPr>
                <w:rFonts w:eastAsia="Arial"/>
                <w:color w:val="010205"/>
                <w:sz w:val="20"/>
                <w:szCs w:val="20"/>
              </w:rPr>
              <w:t>16,54</w:t>
            </w:r>
          </w:p>
        </w:tc>
        <w:tc>
          <w:tcPr>
            <w:tcW w:w="1134" w:type="dxa"/>
            <w:tcBorders>
              <w:top w:val="single" w:sz="1" w:space="0" w:color="AEAEAE"/>
              <w:left w:val="single" w:sz="1" w:space="0" w:color="E0E0E0"/>
              <w:bottom w:val="single" w:sz="1" w:space="0" w:color="AEAEAE"/>
              <w:right w:val="single" w:sz="1" w:space="0" w:color="E0E0E0"/>
            </w:tcBorders>
            <w:shd w:val="clear" w:color="auto" w:fill="F9F9FB"/>
          </w:tcPr>
          <w:p w14:paraId="5F69181F"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&lt;,001</w:t>
            </w:r>
          </w:p>
          <w:p w14:paraId="5DCF3573" w14:textId="77777777" w:rsidR="007408B4" w:rsidRPr="00697F3B" w:rsidRDefault="007408B4" w:rsidP="00B31DC8">
            <w:pPr>
              <w:spacing w:before="15" w:after="10"/>
              <w:ind w:left="30" w:right="40"/>
              <w:jc w:val="center"/>
              <w:rPr>
                <w:rFonts w:eastAsia="Arial"/>
                <w:color w:val="010205"/>
                <w:sz w:val="20"/>
                <w:szCs w:val="20"/>
              </w:rPr>
            </w:pPr>
            <w:r w:rsidRPr="00697F3B">
              <w:rPr>
                <w:sz w:val="20"/>
                <w:szCs w:val="20"/>
              </w:rPr>
              <w:t>***</w:t>
            </w:r>
          </w:p>
        </w:tc>
      </w:tr>
      <w:tr w:rsidR="007408B4" w:rsidRPr="00697F3B" w14:paraId="32CAEA08"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1D8DE8B2"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3</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6824BAB8" w14:textId="2EC74782" w:rsidR="007408B4" w:rsidRPr="00697F3B" w:rsidRDefault="007408B4" w:rsidP="00B31DC8">
            <w:pPr>
              <w:spacing w:before="15" w:after="10"/>
              <w:ind w:left="30" w:right="40"/>
              <w:rPr>
                <w:rFonts w:eastAsia="Arial"/>
                <w:color w:val="010205"/>
                <w:sz w:val="20"/>
                <w:szCs w:val="20"/>
              </w:rPr>
            </w:pPr>
            <w:r w:rsidRPr="00697F3B">
              <w:rPr>
                <w:rFonts w:eastAsia="Arial"/>
                <w:color w:val="010205"/>
                <w:sz w:val="20"/>
                <w:szCs w:val="20"/>
              </w:rPr>
              <w:t>La distribution de « L’exposition du chiffre d'affaires aux solutions à impact durable de MSCI (%) » est la même sur les fonds ISR et non ISR</w:t>
            </w:r>
            <w:r w:rsidR="00264045" w:rsidRPr="00697F3B">
              <w:rPr>
                <w:rFonts w:eastAsia="Arial"/>
                <w:color w:val="010205"/>
                <w:sz w:val="20"/>
                <w:szCs w:val="20"/>
              </w:rPr>
              <w:t>.</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641C1EAD" w14:textId="0376A1AD"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011B0F" w:rsidRPr="00697F3B">
              <w:rPr>
                <w:rFonts w:eastAsia="Arial"/>
                <w:color w:val="010205"/>
                <w:sz w:val="20"/>
                <w:szCs w:val="20"/>
              </w:rPr>
              <w:t>12</w:t>
            </w:r>
          </w:p>
          <w:p w14:paraId="25D1BA07" w14:textId="58A4F5FA"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Non ISR :</w:t>
            </w:r>
            <w:r w:rsidR="00011B0F" w:rsidRPr="00697F3B">
              <w:rPr>
                <w:rFonts w:eastAsia="Arial"/>
                <w:color w:val="010205"/>
                <w:sz w:val="20"/>
                <w:szCs w:val="20"/>
              </w:rPr>
              <w:t xml:space="preserve"> 11</w:t>
            </w:r>
            <w:r w:rsidRPr="00697F3B">
              <w:rPr>
                <w:rFonts w:eastAsia="Arial"/>
                <w:color w:val="010205"/>
                <w:sz w:val="20"/>
                <w:szCs w:val="20"/>
              </w:rPr>
              <w:t xml:space="preserve"> </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303158F3" w14:textId="77777777" w:rsidR="007408B4" w:rsidRPr="00697F3B" w:rsidRDefault="009E116B" w:rsidP="00B31DC8">
            <w:pPr>
              <w:spacing w:before="15" w:after="10"/>
              <w:ind w:left="30" w:right="40"/>
              <w:jc w:val="center"/>
              <w:rPr>
                <w:sz w:val="20"/>
                <w:szCs w:val="20"/>
              </w:rPr>
            </w:pPr>
            <w:r w:rsidRPr="00697F3B">
              <w:rPr>
                <w:sz w:val="20"/>
                <w:szCs w:val="20"/>
              </w:rPr>
              <w:t>,748</w:t>
            </w:r>
          </w:p>
          <w:p w14:paraId="4838B399" w14:textId="6C24A74F" w:rsidR="009E116B" w:rsidRPr="00697F3B" w:rsidRDefault="009E116B" w:rsidP="009E116B">
            <w:pPr>
              <w:spacing w:before="15" w:after="10"/>
              <w:ind w:right="40"/>
              <w:rPr>
                <w:sz w:val="20"/>
                <w:szCs w:val="20"/>
              </w:rPr>
            </w:pP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424EDF35" w14:textId="7B432E16"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2E1C08" w:rsidRPr="00697F3B">
              <w:rPr>
                <w:rFonts w:eastAsia="Arial"/>
                <w:color w:val="010205"/>
                <w:sz w:val="20"/>
                <w:szCs w:val="20"/>
              </w:rPr>
              <w:t>33,26</w:t>
            </w:r>
          </w:p>
          <w:p w14:paraId="66D5B9EF" w14:textId="5926ADAB"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Non ISR : </w:t>
            </w:r>
            <w:r w:rsidR="002E1C08" w:rsidRPr="00697F3B">
              <w:rPr>
                <w:rFonts w:eastAsia="Arial"/>
                <w:color w:val="010205"/>
                <w:sz w:val="20"/>
                <w:szCs w:val="20"/>
              </w:rPr>
              <w:t>15,13</w:t>
            </w:r>
          </w:p>
          <w:p w14:paraId="304B032E" w14:textId="77777777" w:rsidR="007408B4" w:rsidRPr="00697F3B" w:rsidRDefault="007408B4" w:rsidP="00B31DC8">
            <w:pPr>
              <w:spacing w:before="15" w:after="10"/>
              <w:ind w:left="30" w:right="40"/>
              <w:jc w:val="center"/>
              <w:rPr>
                <w:rFonts w:eastAsia="Arial"/>
                <w:color w:val="010205"/>
                <w:sz w:val="20"/>
                <w:szCs w:val="20"/>
              </w:rPr>
            </w:pPr>
          </w:p>
        </w:tc>
        <w:tc>
          <w:tcPr>
            <w:tcW w:w="1134" w:type="dxa"/>
            <w:tcBorders>
              <w:top w:val="single" w:sz="1" w:space="0" w:color="AEAEAE"/>
              <w:left w:val="single" w:sz="1" w:space="0" w:color="E0E0E0"/>
              <w:bottom w:val="single" w:sz="1" w:space="0" w:color="AEAEAE"/>
              <w:right w:val="single" w:sz="1" w:space="0" w:color="E0E0E0"/>
            </w:tcBorders>
            <w:shd w:val="clear" w:color="auto" w:fill="F9F9FB"/>
          </w:tcPr>
          <w:p w14:paraId="48C5D121"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&lt;,001</w:t>
            </w:r>
          </w:p>
          <w:p w14:paraId="67F4BB86"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w:t>
            </w:r>
          </w:p>
        </w:tc>
      </w:tr>
      <w:tr w:rsidR="007408B4" w:rsidRPr="00697F3B" w14:paraId="1F732CB5"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2D811364"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4</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4BD1BF0A" w14:textId="2E0F05D8" w:rsidR="007408B4" w:rsidRPr="00697F3B" w:rsidRDefault="007408B4" w:rsidP="00B31DC8">
            <w:pPr>
              <w:spacing w:before="15" w:after="10"/>
              <w:ind w:left="30" w:right="40"/>
              <w:rPr>
                <w:rFonts w:eastAsia="Arial"/>
                <w:color w:val="010205"/>
                <w:sz w:val="20"/>
                <w:szCs w:val="20"/>
              </w:rPr>
            </w:pPr>
            <w:r w:rsidRPr="00697F3B">
              <w:rPr>
                <w:rFonts w:eastAsia="Arial"/>
                <w:color w:val="010205"/>
                <w:sz w:val="20"/>
                <w:szCs w:val="20"/>
              </w:rPr>
              <w:t>La distribution de « L’exposition des revenus aux critères d’exclusion SFI de MSCI (%) » est la même sur les fonds ISR et non ISR</w:t>
            </w:r>
            <w:r w:rsidR="00264045" w:rsidRPr="00697F3B">
              <w:rPr>
                <w:rFonts w:eastAsia="Arial"/>
                <w:color w:val="010205"/>
                <w:sz w:val="20"/>
                <w:szCs w:val="20"/>
              </w:rPr>
              <w:t>.</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489AC90F" w14:textId="1AE0667C"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CC3171" w:rsidRPr="00697F3B">
              <w:rPr>
                <w:rFonts w:eastAsia="Arial"/>
                <w:color w:val="010205"/>
                <w:sz w:val="20"/>
                <w:szCs w:val="20"/>
              </w:rPr>
              <w:t>6,86</w:t>
            </w:r>
          </w:p>
          <w:p w14:paraId="752029E6" w14:textId="5A4408D3"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Non ISR :</w:t>
            </w:r>
            <w:r w:rsidR="00CC3171" w:rsidRPr="00697F3B">
              <w:rPr>
                <w:rFonts w:eastAsia="Arial"/>
                <w:color w:val="010205"/>
                <w:sz w:val="20"/>
                <w:szCs w:val="20"/>
              </w:rPr>
              <w:t xml:space="preserve"> 16,14</w:t>
            </w:r>
            <w:r w:rsidRPr="00697F3B">
              <w:rPr>
                <w:rFonts w:eastAsia="Arial"/>
                <w:color w:val="010205"/>
                <w:sz w:val="20"/>
                <w:szCs w:val="20"/>
              </w:rPr>
              <w:t xml:space="preserve"> </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2F307B03" w14:textId="77777777" w:rsidR="007408B4" w:rsidRPr="00697F3B" w:rsidRDefault="009E116B" w:rsidP="00B31DC8">
            <w:pPr>
              <w:spacing w:before="15" w:after="10"/>
              <w:ind w:left="30" w:right="40"/>
              <w:jc w:val="center"/>
              <w:rPr>
                <w:sz w:val="20"/>
                <w:szCs w:val="20"/>
              </w:rPr>
            </w:pPr>
            <w:r w:rsidRPr="00697F3B">
              <w:rPr>
                <w:sz w:val="20"/>
                <w:szCs w:val="20"/>
              </w:rPr>
              <w:t>&lt;,001</w:t>
            </w:r>
          </w:p>
          <w:p w14:paraId="5241141A" w14:textId="5B11F4DC" w:rsidR="00F93024" w:rsidRPr="00697F3B" w:rsidRDefault="00F93024" w:rsidP="00B31DC8">
            <w:pPr>
              <w:spacing w:before="15" w:after="10"/>
              <w:ind w:left="30" w:right="40"/>
              <w:jc w:val="center"/>
              <w:rPr>
                <w:sz w:val="20"/>
                <w:szCs w:val="20"/>
              </w:rPr>
            </w:pPr>
            <w:r w:rsidRPr="00697F3B">
              <w:rPr>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25AD126C" w14:textId="6CBCA7B4"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2E1C08" w:rsidRPr="00697F3B">
              <w:rPr>
                <w:rFonts w:eastAsia="Arial"/>
                <w:color w:val="010205"/>
                <w:sz w:val="20"/>
                <w:szCs w:val="20"/>
              </w:rPr>
              <w:t>18,67</w:t>
            </w:r>
          </w:p>
          <w:p w14:paraId="7BA87F10" w14:textId="5C217D6F"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Non ISR :</w:t>
            </w:r>
            <w:r w:rsidR="002E1C08" w:rsidRPr="00697F3B">
              <w:rPr>
                <w:rFonts w:eastAsia="Arial"/>
                <w:color w:val="010205"/>
                <w:sz w:val="20"/>
                <w:szCs w:val="20"/>
              </w:rPr>
              <w:t xml:space="preserve"> 29,10</w:t>
            </w:r>
            <w:r w:rsidRPr="00697F3B">
              <w:rPr>
                <w:rFonts w:eastAsia="Arial"/>
                <w:color w:val="010205"/>
                <w:sz w:val="20"/>
                <w:szCs w:val="20"/>
              </w:rPr>
              <w:t xml:space="preserve"> </w:t>
            </w:r>
          </w:p>
        </w:tc>
        <w:tc>
          <w:tcPr>
            <w:tcW w:w="1134" w:type="dxa"/>
            <w:tcBorders>
              <w:top w:val="single" w:sz="1" w:space="0" w:color="AEAEAE"/>
              <w:left w:val="single" w:sz="1" w:space="0" w:color="E0E0E0"/>
              <w:bottom w:val="single" w:sz="1" w:space="0" w:color="AEAEAE"/>
              <w:right w:val="single" w:sz="1" w:space="0" w:color="E0E0E0"/>
            </w:tcBorders>
            <w:shd w:val="clear" w:color="auto" w:fill="F9F9FB"/>
          </w:tcPr>
          <w:p w14:paraId="0A1F941C" w14:textId="5CF72C9E"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,00</w:t>
            </w:r>
            <w:r w:rsidR="00852E5E" w:rsidRPr="00697F3B">
              <w:rPr>
                <w:rFonts w:eastAsia="Arial"/>
                <w:color w:val="010205"/>
                <w:sz w:val="20"/>
                <w:szCs w:val="20"/>
              </w:rPr>
              <w:t>9</w:t>
            </w:r>
          </w:p>
          <w:p w14:paraId="78819D0E"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w:t>
            </w:r>
          </w:p>
        </w:tc>
      </w:tr>
      <w:tr w:rsidR="007408B4" w:rsidRPr="00697F3B" w14:paraId="6A6C05B0"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2086D095"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5</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6EFC99C6" w14:textId="27CB817E" w:rsidR="007408B4" w:rsidRPr="00697F3B" w:rsidRDefault="007408B4" w:rsidP="00B31DC8">
            <w:pPr>
              <w:spacing w:before="15" w:after="10"/>
              <w:ind w:left="30" w:right="40"/>
              <w:rPr>
                <w:rFonts w:eastAsia="Arial"/>
                <w:color w:val="010205"/>
                <w:sz w:val="20"/>
                <w:szCs w:val="20"/>
              </w:rPr>
            </w:pPr>
            <w:r w:rsidRPr="00697F3B">
              <w:rPr>
                <w:rFonts w:eastAsia="Arial"/>
                <w:color w:val="010205"/>
                <w:sz w:val="20"/>
                <w:szCs w:val="20"/>
              </w:rPr>
              <w:t xml:space="preserve">La distribution de « Le score de durabilité entreprise (12 mois) de </w:t>
            </w:r>
            <w:proofErr w:type="spellStart"/>
            <w:r w:rsidRPr="00697F3B">
              <w:rPr>
                <w:rFonts w:eastAsia="Arial"/>
                <w:color w:val="010205"/>
                <w:sz w:val="20"/>
                <w:szCs w:val="20"/>
              </w:rPr>
              <w:t>Morningstar</w:t>
            </w:r>
            <w:proofErr w:type="spellEnd"/>
            <w:r w:rsidRPr="00697F3B">
              <w:rPr>
                <w:rFonts w:eastAsia="Arial"/>
                <w:color w:val="010205"/>
                <w:sz w:val="20"/>
                <w:szCs w:val="20"/>
              </w:rPr>
              <w:t> » est la même sur les fonds ISR et non ISR</w:t>
            </w:r>
            <w:r w:rsidR="00264045" w:rsidRPr="00697F3B">
              <w:rPr>
                <w:rFonts w:eastAsia="Arial"/>
                <w:color w:val="010205"/>
                <w:sz w:val="20"/>
                <w:szCs w:val="20"/>
              </w:rPr>
              <w:t>.</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6BA4433A" w14:textId="6D71EEB9"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CC3171" w:rsidRPr="00697F3B">
              <w:rPr>
                <w:rFonts w:eastAsia="Arial"/>
                <w:color w:val="010205"/>
                <w:sz w:val="20"/>
                <w:szCs w:val="20"/>
              </w:rPr>
              <w:t>6,70</w:t>
            </w:r>
          </w:p>
          <w:p w14:paraId="17B4037B" w14:textId="1E14DED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Non ISR :</w:t>
            </w:r>
            <w:r w:rsidR="00CC3171" w:rsidRPr="00697F3B">
              <w:rPr>
                <w:rFonts w:eastAsia="Arial"/>
                <w:color w:val="010205"/>
                <w:sz w:val="20"/>
                <w:szCs w:val="20"/>
              </w:rPr>
              <w:t xml:space="preserve"> 14,91</w:t>
            </w:r>
            <w:r w:rsidRPr="00697F3B">
              <w:rPr>
                <w:rFonts w:eastAsia="Arial"/>
                <w:color w:val="010205"/>
                <w:sz w:val="20"/>
                <w:szCs w:val="20"/>
              </w:rPr>
              <w:t xml:space="preserve"> </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157F091D" w14:textId="77777777" w:rsidR="007408B4" w:rsidRPr="00697F3B" w:rsidRDefault="009E116B" w:rsidP="00B31DC8">
            <w:pPr>
              <w:spacing w:before="15" w:after="10"/>
              <w:ind w:left="30" w:right="40"/>
              <w:jc w:val="center"/>
              <w:rPr>
                <w:sz w:val="20"/>
                <w:szCs w:val="20"/>
              </w:rPr>
            </w:pPr>
            <w:r w:rsidRPr="00697F3B">
              <w:rPr>
                <w:sz w:val="20"/>
                <w:szCs w:val="20"/>
              </w:rPr>
              <w:t>,002</w:t>
            </w:r>
          </w:p>
          <w:p w14:paraId="54ED20B4" w14:textId="1B4A2E55" w:rsidR="00F93024" w:rsidRPr="00697F3B" w:rsidRDefault="00F93024" w:rsidP="00B31DC8">
            <w:pPr>
              <w:spacing w:before="15" w:after="10"/>
              <w:ind w:left="30" w:right="40"/>
              <w:jc w:val="center"/>
              <w:rPr>
                <w:sz w:val="20"/>
                <w:szCs w:val="20"/>
              </w:rPr>
            </w:pPr>
            <w:r w:rsidRPr="00697F3B">
              <w:rPr>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3A5B1837" w14:textId="076DEB51" w:rsidR="00F93024" w:rsidRPr="00697F3B" w:rsidRDefault="007408B4" w:rsidP="00F93024">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9D2542" w:rsidRPr="00697F3B">
              <w:rPr>
                <w:rFonts w:eastAsia="Arial"/>
                <w:color w:val="010205"/>
                <w:sz w:val="20"/>
                <w:szCs w:val="20"/>
              </w:rPr>
              <w:t>11,14</w:t>
            </w:r>
          </w:p>
          <w:p w14:paraId="0079B270" w14:textId="35617F19"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 xml:space="preserve">Non ISR : </w:t>
            </w:r>
            <w:r w:rsidR="009D2542" w:rsidRPr="00697F3B">
              <w:rPr>
                <w:rFonts w:eastAsia="Arial"/>
                <w:color w:val="010205"/>
                <w:sz w:val="20"/>
                <w:szCs w:val="20"/>
              </w:rPr>
              <w:t>32,87</w:t>
            </w:r>
          </w:p>
        </w:tc>
        <w:tc>
          <w:tcPr>
            <w:tcW w:w="1134" w:type="dxa"/>
            <w:tcBorders>
              <w:top w:val="single" w:sz="1" w:space="0" w:color="AEAEAE"/>
              <w:left w:val="single" w:sz="1" w:space="0" w:color="E0E0E0"/>
              <w:bottom w:val="single" w:sz="1" w:space="0" w:color="AEAEAE"/>
              <w:right w:val="single" w:sz="1" w:space="0" w:color="E0E0E0"/>
            </w:tcBorders>
            <w:shd w:val="clear" w:color="auto" w:fill="F9F9FB"/>
          </w:tcPr>
          <w:p w14:paraId="57BF232A"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&lt;,001</w:t>
            </w:r>
          </w:p>
          <w:p w14:paraId="5AB4F01A" w14:textId="77777777" w:rsidR="007408B4" w:rsidRPr="00697F3B" w:rsidRDefault="007408B4" w:rsidP="00B31DC8">
            <w:pPr>
              <w:spacing w:before="15" w:after="10"/>
              <w:ind w:left="30" w:right="40"/>
              <w:jc w:val="center"/>
              <w:rPr>
                <w:rFonts w:eastAsia="Arial"/>
                <w:color w:val="010205"/>
                <w:sz w:val="20"/>
                <w:szCs w:val="20"/>
              </w:rPr>
            </w:pPr>
            <w:r w:rsidRPr="00697F3B">
              <w:rPr>
                <w:rFonts w:eastAsia="Arial"/>
                <w:color w:val="010205"/>
                <w:sz w:val="20"/>
                <w:szCs w:val="20"/>
              </w:rPr>
              <w:t>***</w:t>
            </w:r>
          </w:p>
        </w:tc>
      </w:tr>
      <w:tr w:rsidR="008F09A2" w:rsidRPr="00697F3B" w14:paraId="6EB56E8F"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07F619D4" w14:textId="1D76D83B"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6</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07499A62" w14:textId="73522094" w:rsidR="008F09A2" w:rsidRPr="00697F3B" w:rsidRDefault="008F09A2" w:rsidP="008F09A2">
            <w:pPr>
              <w:spacing w:before="15" w:after="10"/>
              <w:ind w:left="30" w:right="40"/>
              <w:rPr>
                <w:rFonts w:eastAsia="Arial"/>
                <w:color w:val="010205"/>
                <w:sz w:val="20"/>
                <w:szCs w:val="20"/>
              </w:rPr>
            </w:pPr>
            <w:r w:rsidRPr="00697F3B">
              <w:rPr>
                <w:rFonts w:eastAsia="Arial"/>
                <w:color w:val="010205"/>
                <w:sz w:val="20"/>
                <w:szCs w:val="20"/>
              </w:rPr>
              <w:t>La distribution de « Risque environnemental » est la même sur les fonds ISR et non ISR.</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30B8C31B" w14:textId="7C342755"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537B67" w:rsidRPr="00697F3B">
              <w:rPr>
                <w:rFonts w:eastAsia="Arial"/>
                <w:color w:val="010205"/>
                <w:sz w:val="20"/>
                <w:szCs w:val="20"/>
              </w:rPr>
              <w:t>10</w:t>
            </w:r>
          </w:p>
          <w:p w14:paraId="2DB45634" w14:textId="268B8101"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Non ISR :</w:t>
            </w:r>
            <w:r w:rsidR="00537B67" w:rsidRPr="00697F3B">
              <w:rPr>
                <w:rFonts w:eastAsia="Arial"/>
                <w:color w:val="010205"/>
                <w:sz w:val="20"/>
                <w:szCs w:val="20"/>
              </w:rPr>
              <w:t xml:space="preserve"> 14,18</w:t>
            </w:r>
            <w:r w:rsidRPr="00697F3B">
              <w:rPr>
                <w:rFonts w:eastAsia="Arial"/>
                <w:color w:val="010205"/>
                <w:sz w:val="20"/>
                <w:szCs w:val="20"/>
              </w:rPr>
              <w:t xml:space="preserve"> </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7A5BCFFF" w14:textId="0FC49659" w:rsidR="008F09A2" w:rsidRPr="00697F3B" w:rsidRDefault="00537B67" w:rsidP="008F09A2">
            <w:pPr>
              <w:spacing w:before="15" w:after="10"/>
              <w:ind w:left="30" w:right="40"/>
              <w:jc w:val="center"/>
              <w:rPr>
                <w:sz w:val="20"/>
                <w:szCs w:val="20"/>
              </w:rPr>
            </w:pPr>
            <w:r w:rsidRPr="00697F3B">
              <w:rPr>
                <w:sz w:val="20"/>
                <w:szCs w:val="20"/>
              </w:rPr>
              <w:t>,151</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1C7FF74C" w14:textId="1D231170"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B47533" w:rsidRPr="00697F3B">
              <w:rPr>
                <w:rFonts w:eastAsia="Arial"/>
                <w:color w:val="010205"/>
                <w:sz w:val="20"/>
                <w:szCs w:val="20"/>
              </w:rPr>
              <w:t>28,66</w:t>
            </w:r>
          </w:p>
          <w:p w14:paraId="2F4751F0" w14:textId="50AC795B"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 xml:space="preserve">Non ISR : </w:t>
            </w:r>
            <w:r w:rsidR="00B47533" w:rsidRPr="00697F3B">
              <w:rPr>
                <w:rFonts w:eastAsia="Arial"/>
                <w:color w:val="010205"/>
                <w:sz w:val="20"/>
                <w:szCs w:val="20"/>
              </w:rPr>
              <w:t>49,48</w:t>
            </w:r>
          </w:p>
        </w:tc>
        <w:tc>
          <w:tcPr>
            <w:tcW w:w="1134" w:type="dxa"/>
            <w:tcBorders>
              <w:top w:val="single" w:sz="1" w:space="0" w:color="AEAEAE"/>
              <w:left w:val="single" w:sz="1" w:space="0" w:color="E0E0E0"/>
              <w:bottom w:val="single" w:sz="1" w:space="0" w:color="AEAEAE"/>
              <w:right w:val="single" w:sz="1" w:space="0" w:color="E0E0E0"/>
            </w:tcBorders>
            <w:shd w:val="clear" w:color="auto" w:fill="F9F9FB"/>
          </w:tcPr>
          <w:p w14:paraId="2D924DD9" w14:textId="77777777" w:rsidR="00D37190" w:rsidRPr="00697F3B" w:rsidRDefault="00D37190" w:rsidP="00D37190">
            <w:pPr>
              <w:spacing w:before="15" w:after="10"/>
              <w:ind w:left="30" w:right="40"/>
              <w:jc w:val="center"/>
              <w:rPr>
                <w:rFonts w:eastAsia="Arial"/>
                <w:color w:val="010205"/>
                <w:sz w:val="20"/>
                <w:szCs w:val="20"/>
              </w:rPr>
            </w:pPr>
            <w:r w:rsidRPr="00697F3B">
              <w:rPr>
                <w:rFonts w:eastAsia="Arial"/>
                <w:color w:val="010205"/>
                <w:sz w:val="20"/>
                <w:szCs w:val="20"/>
              </w:rPr>
              <w:t>&lt;,001</w:t>
            </w:r>
          </w:p>
          <w:p w14:paraId="5E1F3808" w14:textId="60C154AC" w:rsidR="008F09A2" w:rsidRPr="00697F3B" w:rsidRDefault="00D37190" w:rsidP="00D37190">
            <w:pPr>
              <w:spacing w:before="15" w:after="10"/>
              <w:ind w:left="30" w:right="40"/>
              <w:jc w:val="center"/>
              <w:rPr>
                <w:rFonts w:eastAsia="Arial"/>
                <w:color w:val="010205"/>
                <w:sz w:val="20"/>
                <w:szCs w:val="20"/>
              </w:rPr>
            </w:pPr>
            <w:r w:rsidRPr="00697F3B">
              <w:rPr>
                <w:rFonts w:eastAsia="Arial"/>
                <w:color w:val="010205"/>
                <w:sz w:val="20"/>
                <w:szCs w:val="20"/>
              </w:rPr>
              <w:t>***</w:t>
            </w:r>
          </w:p>
        </w:tc>
      </w:tr>
      <w:tr w:rsidR="008F09A2" w:rsidRPr="00697F3B" w14:paraId="16DF8BB0"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78E96B2D" w14:textId="15246273"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7</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2DC18F51" w14:textId="2FE1940B" w:rsidR="008F09A2" w:rsidRPr="00697F3B" w:rsidRDefault="008F09A2" w:rsidP="008F09A2">
            <w:pPr>
              <w:spacing w:before="15" w:after="10"/>
              <w:ind w:left="30" w:right="40"/>
              <w:rPr>
                <w:rFonts w:eastAsia="Arial"/>
                <w:color w:val="010205"/>
                <w:sz w:val="20"/>
                <w:szCs w:val="20"/>
              </w:rPr>
            </w:pPr>
            <w:r w:rsidRPr="00697F3B">
              <w:rPr>
                <w:rFonts w:eastAsia="Arial"/>
                <w:color w:val="010205"/>
                <w:sz w:val="20"/>
                <w:szCs w:val="20"/>
              </w:rPr>
              <w:t>La distribution de « Risque social » est la même sur les fonds ISR et non ISR.</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7BF941A9" w14:textId="70B9D7E5"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ISR :</w:t>
            </w:r>
            <w:r w:rsidR="00537B67" w:rsidRPr="00697F3B">
              <w:rPr>
                <w:rFonts w:eastAsia="Arial"/>
                <w:color w:val="010205"/>
                <w:sz w:val="20"/>
                <w:szCs w:val="20"/>
              </w:rPr>
              <w:t xml:space="preserve"> 8,33</w:t>
            </w:r>
          </w:p>
          <w:p w14:paraId="75A3D48A" w14:textId="7CB63573"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Non ISR :</w:t>
            </w:r>
            <w:r w:rsidR="00537B67" w:rsidRPr="00697F3B">
              <w:rPr>
                <w:rFonts w:eastAsia="Arial"/>
                <w:color w:val="010205"/>
                <w:sz w:val="20"/>
                <w:szCs w:val="20"/>
              </w:rPr>
              <w:t xml:space="preserve"> 16</w:t>
            </w:r>
            <w:r w:rsidRPr="00697F3B">
              <w:rPr>
                <w:rFonts w:eastAsia="Arial"/>
                <w:color w:val="010205"/>
                <w:sz w:val="20"/>
                <w:szCs w:val="20"/>
              </w:rPr>
              <w:t xml:space="preserve"> </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3A04BDFB" w14:textId="77777777" w:rsidR="008F09A2" w:rsidRPr="00697F3B" w:rsidRDefault="00537B67" w:rsidP="008F09A2">
            <w:pPr>
              <w:spacing w:before="15" w:after="10"/>
              <w:ind w:left="30" w:right="40"/>
              <w:jc w:val="center"/>
              <w:rPr>
                <w:sz w:val="20"/>
                <w:szCs w:val="20"/>
              </w:rPr>
            </w:pPr>
            <w:r w:rsidRPr="00697F3B">
              <w:rPr>
                <w:sz w:val="20"/>
                <w:szCs w:val="20"/>
              </w:rPr>
              <w:t>,006</w:t>
            </w:r>
          </w:p>
          <w:p w14:paraId="291DA23A" w14:textId="6195508A" w:rsidR="00537B67" w:rsidRPr="00697F3B" w:rsidRDefault="00537B67" w:rsidP="008F09A2">
            <w:pPr>
              <w:spacing w:before="15" w:after="10"/>
              <w:ind w:left="30" w:right="40"/>
              <w:jc w:val="center"/>
              <w:rPr>
                <w:sz w:val="20"/>
                <w:szCs w:val="20"/>
              </w:rPr>
            </w:pPr>
            <w:r w:rsidRPr="00697F3B">
              <w:rPr>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29702345" w14:textId="35C44D84"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ISR :</w:t>
            </w:r>
            <w:r w:rsidR="00D37190" w:rsidRPr="00697F3B">
              <w:rPr>
                <w:rFonts w:eastAsia="Arial"/>
                <w:color w:val="010205"/>
                <w:sz w:val="20"/>
                <w:szCs w:val="20"/>
              </w:rPr>
              <w:t>32,81</w:t>
            </w:r>
          </w:p>
          <w:p w14:paraId="70E55AB7" w14:textId="6116BB42"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 xml:space="preserve">Non ISR : </w:t>
            </w:r>
            <w:r w:rsidR="00D37190" w:rsidRPr="00697F3B">
              <w:rPr>
                <w:rFonts w:eastAsia="Arial"/>
                <w:color w:val="010205"/>
                <w:sz w:val="20"/>
                <w:szCs w:val="20"/>
              </w:rPr>
              <w:t>41</w:t>
            </w:r>
          </w:p>
        </w:tc>
        <w:tc>
          <w:tcPr>
            <w:tcW w:w="1134" w:type="dxa"/>
            <w:tcBorders>
              <w:top w:val="single" w:sz="1" w:space="0" w:color="AEAEAE"/>
              <w:left w:val="single" w:sz="1" w:space="0" w:color="E0E0E0"/>
              <w:bottom w:val="single" w:sz="1" w:space="0" w:color="AEAEAE"/>
              <w:right w:val="single" w:sz="1" w:space="0" w:color="E0E0E0"/>
            </w:tcBorders>
            <w:shd w:val="clear" w:color="auto" w:fill="F9F9FB"/>
          </w:tcPr>
          <w:p w14:paraId="29D621E8" w14:textId="4AD44F3B" w:rsidR="008F09A2" w:rsidRPr="00697F3B" w:rsidRDefault="00D37190" w:rsidP="008F09A2">
            <w:pPr>
              <w:spacing w:before="15" w:after="10"/>
              <w:ind w:left="30" w:right="40"/>
              <w:jc w:val="center"/>
              <w:rPr>
                <w:rFonts w:eastAsia="Arial"/>
                <w:color w:val="010205"/>
                <w:sz w:val="20"/>
                <w:szCs w:val="20"/>
              </w:rPr>
            </w:pPr>
            <w:r w:rsidRPr="00697F3B">
              <w:rPr>
                <w:rFonts w:eastAsia="Arial"/>
                <w:color w:val="010205"/>
                <w:sz w:val="20"/>
                <w:szCs w:val="20"/>
              </w:rPr>
              <w:t>,113</w:t>
            </w:r>
          </w:p>
        </w:tc>
      </w:tr>
      <w:tr w:rsidR="008F09A2" w:rsidRPr="00697F3B" w14:paraId="52D7CA59"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5B0951CA" w14:textId="004FCF26"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8</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0F939092" w14:textId="10CA88C6" w:rsidR="008F09A2" w:rsidRPr="00697F3B" w:rsidRDefault="008F09A2" w:rsidP="008F09A2">
            <w:pPr>
              <w:spacing w:before="15" w:after="10"/>
              <w:ind w:left="30" w:right="40"/>
              <w:rPr>
                <w:rFonts w:eastAsia="Arial"/>
                <w:color w:val="010205"/>
                <w:sz w:val="20"/>
                <w:szCs w:val="20"/>
              </w:rPr>
            </w:pPr>
            <w:r w:rsidRPr="00697F3B">
              <w:rPr>
                <w:rFonts w:eastAsia="Arial"/>
                <w:color w:val="010205"/>
                <w:sz w:val="20"/>
                <w:szCs w:val="20"/>
              </w:rPr>
              <w:t>La distribution de « Risque de gouvernance » est la même sur les fonds ISR et non ISR.</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44EDCE9A" w14:textId="29E454A0"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537B67" w:rsidRPr="00697F3B">
              <w:rPr>
                <w:rFonts w:eastAsia="Arial"/>
                <w:color w:val="010205"/>
                <w:sz w:val="20"/>
                <w:szCs w:val="20"/>
              </w:rPr>
              <w:t>7,96</w:t>
            </w:r>
          </w:p>
          <w:p w14:paraId="2B1DF0E1" w14:textId="4A2585C4"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Non ISR :</w:t>
            </w:r>
            <w:r w:rsidR="00537B67" w:rsidRPr="00697F3B">
              <w:rPr>
                <w:rFonts w:eastAsia="Arial"/>
                <w:color w:val="010205"/>
                <w:sz w:val="20"/>
                <w:szCs w:val="20"/>
              </w:rPr>
              <w:t xml:space="preserve"> 16,41</w:t>
            </w:r>
            <w:r w:rsidRPr="00697F3B">
              <w:rPr>
                <w:rFonts w:eastAsia="Arial"/>
                <w:color w:val="010205"/>
                <w:sz w:val="20"/>
                <w:szCs w:val="20"/>
              </w:rPr>
              <w:t xml:space="preserve"> </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2C74BB7D" w14:textId="77777777" w:rsidR="008F09A2" w:rsidRPr="00697F3B" w:rsidRDefault="00537B67" w:rsidP="008F09A2">
            <w:pPr>
              <w:spacing w:before="15" w:after="10"/>
              <w:ind w:left="30" w:right="40"/>
              <w:jc w:val="center"/>
              <w:rPr>
                <w:sz w:val="20"/>
                <w:szCs w:val="20"/>
              </w:rPr>
            </w:pPr>
            <w:r w:rsidRPr="00697F3B">
              <w:rPr>
                <w:sz w:val="20"/>
                <w:szCs w:val="20"/>
              </w:rPr>
              <w:t>,002</w:t>
            </w:r>
          </w:p>
          <w:p w14:paraId="36AEB849" w14:textId="529FFA3D" w:rsidR="00537B67" w:rsidRPr="00697F3B" w:rsidRDefault="00537B67" w:rsidP="008F09A2">
            <w:pPr>
              <w:spacing w:before="15" w:after="10"/>
              <w:ind w:left="30" w:right="40"/>
              <w:jc w:val="center"/>
              <w:rPr>
                <w:sz w:val="20"/>
                <w:szCs w:val="20"/>
              </w:rPr>
            </w:pPr>
            <w:r w:rsidRPr="00697F3B">
              <w:rPr>
                <w:sz w:val="20"/>
                <w:szCs w:val="20"/>
              </w:rPr>
              <w:t>***</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4FCD2CEC" w14:textId="2D3E9DD3"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 xml:space="preserve">ISR : </w:t>
            </w:r>
            <w:r w:rsidR="00D37190" w:rsidRPr="00697F3B">
              <w:rPr>
                <w:rFonts w:eastAsia="Arial"/>
                <w:color w:val="010205"/>
                <w:sz w:val="20"/>
                <w:szCs w:val="20"/>
              </w:rPr>
              <w:t>32,81</w:t>
            </w:r>
          </w:p>
          <w:p w14:paraId="67E0AC79" w14:textId="7796CB87"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 xml:space="preserve">Non ISR : </w:t>
            </w:r>
            <w:r w:rsidR="00D37190" w:rsidRPr="00697F3B">
              <w:rPr>
                <w:rFonts w:eastAsia="Arial"/>
                <w:color w:val="010205"/>
                <w:sz w:val="20"/>
                <w:szCs w:val="20"/>
              </w:rPr>
              <w:t>41</w:t>
            </w:r>
          </w:p>
        </w:tc>
        <w:tc>
          <w:tcPr>
            <w:tcW w:w="1134" w:type="dxa"/>
            <w:tcBorders>
              <w:top w:val="single" w:sz="1" w:space="0" w:color="AEAEAE"/>
              <w:left w:val="single" w:sz="1" w:space="0" w:color="E0E0E0"/>
              <w:bottom w:val="single" w:sz="1" w:space="0" w:color="AEAEAE"/>
              <w:right w:val="single" w:sz="1" w:space="0" w:color="E0E0E0"/>
            </w:tcBorders>
            <w:shd w:val="clear" w:color="auto" w:fill="F9F9FB"/>
          </w:tcPr>
          <w:p w14:paraId="314583A3" w14:textId="1F176889" w:rsidR="008F09A2" w:rsidRPr="00697F3B" w:rsidRDefault="00D37190" w:rsidP="008F09A2">
            <w:pPr>
              <w:spacing w:before="15" w:after="10"/>
              <w:ind w:left="30" w:right="40"/>
              <w:jc w:val="center"/>
              <w:rPr>
                <w:rFonts w:eastAsia="Arial"/>
                <w:color w:val="010205"/>
                <w:sz w:val="20"/>
                <w:szCs w:val="20"/>
              </w:rPr>
            </w:pPr>
            <w:r w:rsidRPr="00697F3B">
              <w:rPr>
                <w:rFonts w:eastAsia="Arial"/>
                <w:color w:val="010205"/>
                <w:sz w:val="20"/>
                <w:szCs w:val="20"/>
              </w:rPr>
              <w:t>,113</w:t>
            </w:r>
          </w:p>
        </w:tc>
      </w:tr>
      <w:tr w:rsidR="008F09A2" w:rsidRPr="00697F3B" w14:paraId="7A824708"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4D230E86" w14:textId="5B7D4606"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9</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54F0FF7F" w14:textId="45337CF7" w:rsidR="008F09A2" w:rsidRPr="00697F3B" w:rsidRDefault="008F09A2" w:rsidP="008F09A2">
            <w:pPr>
              <w:spacing w:before="15" w:after="10"/>
              <w:ind w:left="30" w:right="40"/>
              <w:rPr>
                <w:rFonts w:eastAsia="Arial"/>
                <w:color w:val="010205"/>
                <w:sz w:val="20"/>
                <w:szCs w:val="20"/>
              </w:rPr>
            </w:pPr>
            <w:r w:rsidRPr="00697F3B">
              <w:rPr>
                <w:rFonts w:eastAsia="Arial"/>
                <w:color w:val="010205"/>
                <w:sz w:val="20"/>
                <w:szCs w:val="20"/>
              </w:rPr>
              <w:t>La distribution de « Le nombre de domaines contestables dans lequel le fonds est présent (/15) » est la même sur les fonds ISR et non ISR.</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3C869CA7" w14:textId="2A10812C"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ISR : 9,25</w:t>
            </w:r>
          </w:p>
          <w:p w14:paraId="133493A1" w14:textId="6B94262E"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 xml:space="preserve">Non ISR : 12,59 </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00F22490" w14:textId="79E6B8C3" w:rsidR="008F09A2" w:rsidRPr="00697F3B" w:rsidRDefault="008F09A2" w:rsidP="008F09A2">
            <w:pPr>
              <w:spacing w:before="15" w:after="10"/>
              <w:ind w:left="30" w:right="40"/>
              <w:jc w:val="center"/>
              <w:rPr>
                <w:sz w:val="20"/>
                <w:szCs w:val="20"/>
              </w:rPr>
            </w:pPr>
            <w:r w:rsidRPr="00697F3B">
              <w:rPr>
                <w:sz w:val="20"/>
                <w:szCs w:val="20"/>
              </w:rPr>
              <w:t>,223</w:t>
            </w: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64714D66" w14:textId="1833BA96"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ISR : 14,14</w:t>
            </w:r>
          </w:p>
          <w:p w14:paraId="69B33EE2" w14:textId="7C28F254"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Non ISR : 32,08</w:t>
            </w:r>
          </w:p>
        </w:tc>
        <w:tc>
          <w:tcPr>
            <w:tcW w:w="1134" w:type="dxa"/>
            <w:tcBorders>
              <w:top w:val="single" w:sz="1" w:space="0" w:color="AEAEAE"/>
              <w:left w:val="single" w:sz="1" w:space="0" w:color="E0E0E0"/>
              <w:bottom w:val="single" w:sz="1" w:space="0" w:color="AEAEAE"/>
              <w:right w:val="single" w:sz="1" w:space="0" w:color="E0E0E0"/>
            </w:tcBorders>
            <w:shd w:val="clear" w:color="auto" w:fill="F9F9FB"/>
          </w:tcPr>
          <w:p w14:paraId="1C8060EF" w14:textId="77777777"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&lt;,001</w:t>
            </w:r>
          </w:p>
          <w:p w14:paraId="04137BD5" w14:textId="77777777"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w:t>
            </w:r>
          </w:p>
        </w:tc>
      </w:tr>
      <w:tr w:rsidR="008F09A2" w:rsidRPr="00697F3B" w14:paraId="58F5AF67" w14:textId="77777777" w:rsidTr="008A36BE">
        <w:trPr>
          <w:jc w:val="center"/>
        </w:trPr>
        <w:tc>
          <w:tcPr>
            <w:tcW w:w="557" w:type="dxa"/>
            <w:tcBorders>
              <w:top w:val="single" w:sz="1" w:space="0" w:color="AEAEAE"/>
              <w:left w:val="none" w:sz="1" w:space="0" w:color="152935"/>
              <w:bottom w:val="single" w:sz="1" w:space="0" w:color="AEAEAE"/>
              <w:right w:val="single" w:sz="1" w:space="0" w:color="E0E0E0"/>
            </w:tcBorders>
            <w:shd w:val="clear" w:color="auto" w:fill="F9F9FB"/>
            <w:vAlign w:val="center"/>
          </w:tcPr>
          <w:p w14:paraId="72EC07FF" w14:textId="400182B5"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10</w:t>
            </w:r>
          </w:p>
        </w:tc>
        <w:tc>
          <w:tcPr>
            <w:tcW w:w="4820" w:type="dxa"/>
            <w:tcBorders>
              <w:top w:val="single" w:sz="1" w:space="0" w:color="AEAEAE"/>
              <w:left w:val="none" w:sz="1" w:space="0" w:color="152935"/>
              <w:bottom w:val="single" w:sz="1" w:space="0" w:color="AEAEAE"/>
              <w:right w:val="single" w:sz="1" w:space="0" w:color="E0E0E0"/>
            </w:tcBorders>
            <w:shd w:val="clear" w:color="auto" w:fill="F9F9FB"/>
          </w:tcPr>
          <w:p w14:paraId="63FBB8D9" w14:textId="634DE06D" w:rsidR="008F09A2" w:rsidRPr="00697F3B" w:rsidRDefault="008F09A2" w:rsidP="008F09A2">
            <w:pPr>
              <w:spacing w:before="15" w:after="10"/>
              <w:ind w:left="30" w:right="40"/>
              <w:rPr>
                <w:rFonts w:eastAsia="Arial"/>
                <w:color w:val="010205"/>
                <w:sz w:val="20"/>
                <w:szCs w:val="20"/>
              </w:rPr>
            </w:pPr>
            <w:r w:rsidRPr="00697F3B">
              <w:rPr>
                <w:rFonts w:eastAsia="Arial"/>
                <w:color w:val="010205"/>
                <w:sz w:val="20"/>
                <w:szCs w:val="20"/>
              </w:rPr>
              <w:t>La distribution de « Le plus haut pourcentage d’implication dans un domaine contestable par fonds (%) » est la même sur les fonds ISR et non ISR.</w:t>
            </w:r>
          </w:p>
        </w:tc>
        <w:tc>
          <w:tcPr>
            <w:tcW w:w="1559" w:type="dxa"/>
            <w:tcBorders>
              <w:top w:val="single" w:sz="1" w:space="0" w:color="AEAEAE"/>
              <w:left w:val="single" w:sz="1" w:space="0" w:color="E0E0E0"/>
              <w:bottom w:val="single" w:sz="1" w:space="0" w:color="AEAEAE"/>
              <w:right w:val="single" w:sz="1" w:space="0" w:color="E0E0E0"/>
            </w:tcBorders>
            <w:shd w:val="clear" w:color="auto" w:fill="F9F9FB"/>
          </w:tcPr>
          <w:p w14:paraId="4AEF365F" w14:textId="515BD6E7"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ISR : 10,90</w:t>
            </w:r>
          </w:p>
          <w:p w14:paraId="5605B6AC" w14:textId="196DF290"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Non ISR : 11,09</w:t>
            </w:r>
          </w:p>
        </w:tc>
        <w:tc>
          <w:tcPr>
            <w:tcW w:w="1418" w:type="dxa"/>
            <w:tcBorders>
              <w:top w:val="single" w:sz="1" w:space="0" w:color="AEAEAE"/>
              <w:left w:val="single" w:sz="1" w:space="0" w:color="E0E0E0"/>
              <w:bottom w:val="single" w:sz="1" w:space="0" w:color="AEAEAE"/>
              <w:right w:val="single" w:sz="1" w:space="0" w:color="E0E0E0"/>
            </w:tcBorders>
            <w:shd w:val="clear" w:color="auto" w:fill="F9F9FB"/>
          </w:tcPr>
          <w:p w14:paraId="343DCE5C" w14:textId="5DFC5ECC" w:rsidR="008F09A2" w:rsidRPr="00697F3B" w:rsidRDefault="008F09A2" w:rsidP="008F09A2">
            <w:pPr>
              <w:spacing w:before="15" w:after="10"/>
              <w:ind w:left="30" w:right="40"/>
              <w:jc w:val="center"/>
              <w:rPr>
                <w:sz w:val="20"/>
                <w:szCs w:val="20"/>
              </w:rPr>
            </w:pPr>
            <w:r w:rsidRPr="00697F3B">
              <w:rPr>
                <w:sz w:val="20"/>
                <w:szCs w:val="20"/>
              </w:rPr>
              <w:t>,973</w:t>
            </w:r>
          </w:p>
          <w:p w14:paraId="42226C26" w14:textId="352F4611" w:rsidR="008F09A2" w:rsidRPr="00697F3B" w:rsidRDefault="008F09A2" w:rsidP="008F09A2">
            <w:pPr>
              <w:spacing w:before="15" w:after="10"/>
              <w:ind w:left="30" w:right="40"/>
              <w:jc w:val="center"/>
              <w:rPr>
                <w:sz w:val="20"/>
                <w:szCs w:val="20"/>
              </w:rPr>
            </w:pPr>
          </w:p>
        </w:tc>
        <w:tc>
          <w:tcPr>
            <w:tcW w:w="1541" w:type="dxa"/>
            <w:tcBorders>
              <w:top w:val="single" w:sz="1" w:space="0" w:color="AEAEAE"/>
              <w:left w:val="single" w:sz="1" w:space="0" w:color="E0E0E0"/>
              <w:bottom w:val="single" w:sz="1" w:space="0" w:color="AEAEAE"/>
              <w:right w:val="single" w:sz="1" w:space="0" w:color="E0E0E0"/>
            </w:tcBorders>
            <w:shd w:val="clear" w:color="auto" w:fill="F9F9FB"/>
          </w:tcPr>
          <w:p w14:paraId="3D9BC7A5" w14:textId="2AC5FAFA"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ISR : 30,23</w:t>
            </w:r>
          </w:p>
          <w:p w14:paraId="1C46D69E" w14:textId="715DC8CC"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Non ISR : 17,33</w:t>
            </w:r>
          </w:p>
        </w:tc>
        <w:tc>
          <w:tcPr>
            <w:tcW w:w="1134" w:type="dxa"/>
            <w:tcBorders>
              <w:top w:val="single" w:sz="1" w:space="0" w:color="AEAEAE"/>
              <w:left w:val="single" w:sz="1" w:space="0" w:color="E0E0E0"/>
              <w:bottom w:val="single" w:sz="1" w:space="0" w:color="AEAEAE"/>
              <w:right w:val="single" w:sz="1" w:space="0" w:color="E0E0E0"/>
            </w:tcBorders>
            <w:shd w:val="clear" w:color="auto" w:fill="F9F9FB"/>
          </w:tcPr>
          <w:p w14:paraId="64A41E6C" w14:textId="264DB7B4"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,001</w:t>
            </w:r>
          </w:p>
          <w:p w14:paraId="073009D4" w14:textId="77777777" w:rsidR="008F09A2" w:rsidRPr="00697F3B" w:rsidRDefault="008F09A2" w:rsidP="008F09A2">
            <w:pPr>
              <w:spacing w:before="15" w:after="10"/>
              <w:ind w:left="30" w:right="40"/>
              <w:jc w:val="center"/>
              <w:rPr>
                <w:rFonts w:eastAsia="Arial"/>
                <w:color w:val="010205"/>
                <w:sz w:val="20"/>
                <w:szCs w:val="20"/>
              </w:rPr>
            </w:pPr>
            <w:r w:rsidRPr="00697F3B">
              <w:rPr>
                <w:rFonts w:eastAsia="Arial"/>
                <w:color w:val="010205"/>
                <w:sz w:val="20"/>
                <w:szCs w:val="20"/>
              </w:rPr>
              <w:t>***</w:t>
            </w:r>
          </w:p>
        </w:tc>
      </w:tr>
    </w:tbl>
    <w:p w14:paraId="7C4D4395" w14:textId="5E449388" w:rsidR="00B7014E" w:rsidRPr="00697F3B" w:rsidRDefault="00852E5E" w:rsidP="00D62052">
      <w:pPr>
        <w:spacing w:after="240" w:line="360" w:lineRule="auto"/>
        <w:jc w:val="both"/>
        <w:rPr>
          <w:color w:val="000000" w:themeColor="text1"/>
        </w:rPr>
      </w:pPr>
      <w:r w:rsidRPr="00697F3B">
        <w:rPr>
          <w:color w:val="000000" w:themeColor="text1"/>
        </w:rPr>
        <w:t>** significatif à 5% , *** significatif à 1%</w:t>
      </w:r>
    </w:p>
    <w:p w14:paraId="7477DD4D" w14:textId="4DCAE8AE" w:rsidR="003373E7" w:rsidRPr="00697F3B" w:rsidRDefault="005F304D" w:rsidP="003739A1">
      <w:pPr>
        <w:spacing w:after="240" w:line="360" w:lineRule="auto"/>
        <w:rPr>
          <w:b/>
          <w:bCs/>
          <w:smallCaps/>
          <w:sz w:val="28"/>
          <w:szCs w:val="28"/>
          <w:lang w:val="fr-FR"/>
        </w:rPr>
      </w:pPr>
      <w:r w:rsidRPr="00697F3B">
        <w:rPr>
          <w:b/>
          <w:bCs/>
          <w:smallCaps/>
          <w:sz w:val="28"/>
          <w:szCs w:val="28"/>
          <w:lang w:val="fr-FR"/>
        </w:rPr>
        <w:t>Conclu</w:t>
      </w:r>
      <w:r w:rsidR="00FE739C" w:rsidRPr="00697F3B">
        <w:rPr>
          <w:b/>
          <w:bCs/>
          <w:smallCaps/>
          <w:sz w:val="28"/>
          <w:szCs w:val="28"/>
          <w:lang w:val="fr-FR"/>
        </w:rPr>
        <w:t>sion</w:t>
      </w:r>
    </w:p>
    <w:p w14:paraId="1238E80F" w14:textId="686424B6" w:rsidR="007A5A0B" w:rsidRPr="00697F3B" w:rsidRDefault="007A5A0B" w:rsidP="003739A1">
      <w:pPr>
        <w:spacing w:after="240" w:line="360" w:lineRule="auto"/>
        <w:jc w:val="both"/>
        <w:rPr>
          <w:color w:val="000000" w:themeColor="text1"/>
        </w:rPr>
      </w:pPr>
      <w:r w:rsidRPr="00697F3B">
        <w:rPr>
          <w:color w:val="000000" w:themeColor="text1"/>
        </w:rPr>
        <w:t>Dans cet article, nous nous sommes intéressé</w:t>
      </w:r>
      <w:r w:rsidR="0084303A">
        <w:rPr>
          <w:color w:val="000000" w:themeColor="text1"/>
        </w:rPr>
        <w:t>e</w:t>
      </w:r>
      <w:r w:rsidR="003C780E" w:rsidRPr="00697F3B">
        <w:rPr>
          <w:color w:val="000000" w:themeColor="text1"/>
        </w:rPr>
        <w:t>s</w:t>
      </w:r>
      <w:r w:rsidRPr="00697F3B">
        <w:rPr>
          <w:color w:val="000000" w:themeColor="text1"/>
        </w:rPr>
        <w:t xml:space="preserve"> </w:t>
      </w:r>
      <w:r w:rsidR="00B7014E" w:rsidRPr="00697F3B">
        <w:rPr>
          <w:color w:val="000000" w:themeColor="text1"/>
        </w:rPr>
        <w:t>à la performance extra-financière des</w:t>
      </w:r>
      <w:r w:rsidRPr="00697F3B">
        <w:rPr>
          <w:color w:val="000000" w:themeColor="text1"/>
        </w:rPr>
        <w:t xml:space="preserve"> fonds d’investissement socialement responsables</w:t>
      </w:r>
      <w:r w:rsidR="00B7014E" w:rsidRPr="00697F3B">
        <w:rPr>
          <w:color w:val="000000" w:themeColor="text1"/>
        </w:rPr>
        <w:t>.</w:t>
      </w:r>
    </w:p>
    <w:p w14:paraId="578874EB" w14:textId="7A181FE4" w:rsidR="006F35D7" w:rsidRPr="00697F3B" w:rsidRDefault="00F86315" w:rsidP="003739A1">
      <w:pPr>
        <w:spacing w:after="240" w:line="360" w:lineRule="auto"/>
        <w:jc w:val="both"/>
        <w:rPr>
          <w:color w:val="000000" w:themeColor="text1"/>
        </w:rPr>
      </w:pPr>
      <w:r w:rsidRPr="00697F3B">
        <w:rPr>
          <w:color w:val="000000" w:themeColor="text1"/>
        </w:rPr>
        <w:t>Notre étude a été</w:t>
      </w:r>
      <w:r w:rsidR="006F35D7" w:rsidRPr="00697F3B">
        <w:rPr>
          <w:color w:val="000000" w:themeColor="text1"/>
        </w:rPr>
        <w:t xml:space="preserve"> effectuée sur </w:t>
      </w:r>
      <w:r w:rsidRPr="00697F3B">
        <w:rPr>
          <w:color w:val="000000" w:themeColor="text1"/>
        </w:rPr>
        <w:t>un</w:t>
      </w:r>
      <w:r w:rsidR="006F35D7" w:rsidRPr="00697F3B">
        <w:rPr>
          <w:color w:val="000000" w:themeColor="text1"/>
        </w:rPr>
        <w:t xml:space="preserve"> échantillon </w:t>
      </w:r>
      <w:r w:rsidR="001B1108" w:rsidRPr="00697F3B">
        <w:rPr>
          <w:color w:val="000000" w:themeColor="text1"/>
        </w:rPr>
        <w:t xml:space="preserve">initial </w:t>
      </w:r>
      <w:r w:rsidRPr="00697F3B">
        <w:rPr>
          <w:color w:val="000000" w:themeColor="text1"/>
        </w:rPr>
        <w:t>de</w:t>
      </w:r>
      <w:r w:rsidR="006F35D7" w:rsidRPr="00697F3B">
        <w:rPr>
          <w:color w:val="000000" w:themeColor="text1"/>
        </w:rPr>
        <w:t xml:space="preserve"> </w:t>
      </w:r>
      <w:r w:rsidR="00B655C7" w:rsidRPr="00697F3B">
        <w:rPr>
          <w:color w:val="000000" w:themeColor="text1"/>
        </w:rPr>
        <w:t>68</w:t>
      </w:r>
      <w:r w:rsidR="006F35D7" w:rsidRPr="00697F3B">
        <w:rPr>
          <w:color w:val="000000" w:themeColor="text1"/>
        </w:rPr>
        <w:t xml:space="preserve"> fonds d’investissement socialement responsables belges, et ce</w:t>
      </w:r>
      <w:r w:rsidR="00240C70" w:rsidRPr="00697F3B">
        <w:rPr>
          <w:color w:val="000000" w:themeColor="text1"/>
        </w:rPr>
        <w:t xml:space="preserve"> </w:t>
      </w:r>
      <w:r w:rsidR="006F35D7" w:rsidRPr="00697F3B">
        <w:rPr>
          <w:color w:val="000000" w:themeColor="text1"/>
        </w:rPr>
        <w:t xml:space="preserve">à l’aide </w:t>
      </w:r>
      <w:r w:rsidR="00B655C7" w:rsidRPr="00697F3B">
        <w:rPr>
          <w:color w:val="000000" w:themeColor="text1"/>
        </w:rPr>
        <w:t xml:space="preserve">de </w:t>
      </w:r>
      <w:r w:rsidR="006F35D7" w:rsidRPr="00697F3B">
        <w:rPr>
          <w:color w:val="000000" w:themeColor="text1"/>
        </w:rPr>
        <w:t>tests</w:t>
      </w:r>
      <w:r w:rsidR="00B655C7" w:rsidRPr="00697F3B">
        <w:rPr>
          <w:color w:val="000000" w:themeColor="text1"/>
        </w:rPr>
        <w:t xml:space="preserve"> statistiques de Wilcoxon et de </w:t>
      </w:r>
      <w:r w:rsidR="006F35D7" w:rsidRPr="00697F3B">
        <w:rPr>
          <w:color w:val="000000" w:themeColor="text1"/>
        </w:rPr>
        <w:t>Mann-Whitney.</w:t>
      </w:r>
    </w:p>
    <w:p w14:paraId="74F247D3" w14:textId="545DDE67" w:rsidR="00F845F1" w:rsidRPr="00697F3B" w:rsidRDefault="00C85496" w:rsidP="003739A1">
      <w:pPr>
        <w:spacing w:after="240" w:line="360" w:lineRule="auto"/>
        <w:jc w:val="both"/>
        <w:rPr>
          <w:color w:val="000000" w:themeColor="text1"/>
        </w:rPr>
      </w:pPr>
      <w:r w:rsidRPr="00697F3B">
        <w:rPr>
          <w:color w:val="000000" w:themeColor="text1"/>
        </w:rPr>
        <w:t>N</w:t>
      </w:r>
      <w:r w:rsidR="007A5A0B" w:rsidRPr="00697F3B">
        <w:rPr>
          <w:color w:val="000000" w:themeColor="text1"/>
        </w:rPr>
        <w:t>ous sommes parvenu</w:t>
      </w:r>
      <w:r w:rsidR="0084303A">
        <w:rPr>
          <w:color w:val="000000" w:themeColor="text1"/>
        </w:rPr>
        <w:t>e</w:t>
      </w:r>
      <w:r w:rsidR="00B875D6" w:rsidRPr="00697F3B">
        <w:rPr>
          <w:color w:val="000000" w:themeColor="text1"/>
        </w:rPr>
        <w:t>s</w:t>
      </w:r>
      <w:r w:rsidR="007A5A0B" w:rsidRPr="00697F3B">
        <w:rPr>
          <w:color w:val="000000" w:themeColor="text1"/>
        </w:rPr>
        <w:t xml:space="preserve"> aux conclusions suivantes</w:t>
      </w:r>
      <w:r w:rsidR="00375BF6" w:rsidRPr="00697F3B">
        <w:rPr>
          <w:color w:val="000000" w:themeColor="text1"/>
        </w:rPr>
        <w:t>. La performance extra-financière</w:t>
      </w:r>
      <w:r w:rsidR="00B655C7" w:rsidRPr="00697F3B">
        <w:rPr>
          <w:color w:val="000000" w:themeColor="text1"/>
        </w:rPr>
        <w:t xml:space="preserve"> des fonds d’investissement socialement responsables </w:t>
      </w:r>
      <w:r w:rsidR="00375BF6" w:rsidRPr="00697F3B">
        <w:rPr>
          <w:color w:val="000000" w:themeColor="text1"/>
        </w:rPr>
        <w:t>est meilleure</w:t>
      </w:r>
      <w:r w:rsidR="001D4CD5" w:rsidRPr="00697F3B">
        <w:rPr>
          <w:color w:val="000000" w:themeColor="text1"/>
        </w:rPr>
        <w:t xml:space="preserve"> que </w:t>
      </w:r>
      <w:r w:rsidR="00375BF6" w:rsidRPr="00697F3B">
        <w:rPr>
          <w:color w:val="000000" w:themeColor="text1"/>
        </w:rPr>
        <w:t>celle des</w:t>
      </w:r>
      <w:r w:rsidR="00B655C7" w:rsidRPr="00697F3B">
        <w:rPr>
          <w:color w:val="000000" w:themeColor="text1"/>
        </w:rPr>
        <w:t xml:space="preserve"> fonds traditionnels</w:t>
      </w:r>
      <w:r w:rsidR="00566581" w:rsidRPr="00697F3B">
        <w:rPr>
          <w:color w:val="000000" w:themeColor="text1"/>
        </w:rPr>
        <w:t xml:space="preserve">, et cette tendance est constatée de manière cohérente par les divers évaluateurs. </w:t>
      </w:r>
      <w:r w:rsidR="00375BF6" w:rsidRPr="00697F3B">
        <w:rPr>
          <w:color w:val="000000" w:themeColor="text1"/>
        </w:rPr>
        <w:t xml:space="preserve">Par ailleurs, bien que plus favorable, la performance extra-financière des fonds ISR n’est pas irréprochable. </w:t>
      </w:r>
      <w:r w:rsidR="00375BF6" w:rsidRPr="00697F3B">
        <w:rPr>
          <w:color w:val="000000" w:themeColor="text1"/>
        </w:rPr>
        <w:lastRenderedPageBreak/>
        <w:t xml:space="preserve">Effectivement, les risques extra-financiers et l’implication dans des domaines contestables peuvent poser questions sur le réel caractère responsable de ces fonds. </w:t>
      </w:r>
      <w:r w:rsidR="0067581C" w:rsidRPr="00697F3B">
        <w:rPr>
          <w:color w:val="000000" w:themeColor="text1"/>
        </w:rPr>
        <w:t>L</w:t>
      </w:r>
      <w:r w:rsidR="0013546A" w:rsidRPr="00697F3B">
        <w:rPr>
          <w:color w:val="000000" w:themeColor="text1"/>
        </w:rPr>
        <w:t>'incidence du promoteur demeure une question ouverte</w:t>
      </w:r>
      <w:r w:rsidR="00FC2C68" w:rsidRPr="00697F3B">
        <w:rPr>
          <w:color w:val="000000" w:themeColor="text1"/>
        </w:rPr>
        <w:t xml:space="preserve"> étant donné que l</w:t>
      </w:r>
      <w:r w:rsidR="00BE2EB1" w:rsidRPr="00697F3B">
        <w:rPr>
          <w:color w:val="000000" w:themeColor="text1"/>
        </w:rPr>
        <w:t xml:space="preserve">a performance extra-financière ne semble pas différer entre les </w:t>
      </w:r>
      <w:r w:rsidR="00FC2C68" w:rsidRPr="00697F3B">
        <w:rPr>
          <w:color w:val="000000" w:themeColor="text1"/>
        </w:rPr>
        <w:t>fonds ISR et</w:t>
      </w:r>
      <w:r w:rsidR="00BE2EB1" w:rsidRPr="00697F3B">
        <w:rPr>
          <w:color w:val="000000" w:themeColor="text1"/>
        </w:rPr>
        <w:t xml:space="preserve"> les fonds</w:t>
      </w:r>
      <w:r w:rsidR="00FC2C68" w:rsidRPr="00697F3B">
        <w:rPr>
          <w:color w:val="000000" w:themeColor="text1"/>
        </w:rPr>
        <w:t xml:space="preserve"> traditionnels d’un même promoteur</w:t>
      </w:r>
      <w:r w:rsidR="00BE2EB1" w:rsidRPr="00697F3B">
        <w:rPr>
          <w:color w:val="000000" w:themeColor="text1"/>
        </w:rPr>
        <w:t xml:space="preserve">. </w:t>
      </w:r>
      <w:r w:rsidR="0002732C" w:rsidRPr="00697F3B">
        <w:rPr>
          <w:color w:val="000000" w:themeColor="text1"/>
        </w:rPr>
        <w:t xml:space="preserve">En outre, il est peu fréquent de constater une disparité notable de performance extra-financière entre les fonds soumis à l'article 8 et à l'article 9 du règlement SFDR, ce qui </w:t>
      </w:r>
      <w:r w:rsidR="009C4432" w:rsidRPr="00697F3B">
        <w:rPr>
          <w:color w:val="000000" w:themeColor="text1"/>
        </w:rPr>
        <w:t>souligne encore la nécessité de prudence et suggère que les réglementations actuelles ne couvrent pas encore tous les aspects nécessaires.</w:t>
      </w:r>
      <w:r w:rsidR="00807627" w:rsidRPr="00697F3B">
        <w:rPr>
          <w:color w:val="000000" w:themeColor="text1"/>
        </w:rPr>
        <w:t xml:space="preserve"> Nos résultats principaux peuvent être résumés de la manière suivante :</w:t>
      </w:r>
    </w:p>
    <w:p w14:paraId="342A47BC" w14:textId="64C32094" w:rsidR="00807627" w:rsidRPr="00697F3B" w:rsidRDefault="00807627" w:rsidP="00807627">
      <w:pPr>
        <w:pStyle w:val="Paragraphedeliste"/>
        <w:spacing w:after="240" w:line="360" w:lineRule="auto"/>
        <w:jc w:val="center"/>
        <w:rPr>
          <w:rFonts w:ascii="Times New Roman" w:hAnsi="Times New Roman" w:cs="Times New Roman"/>
          <w:color w:val="000000" w:themeColor="text1"/>
        </w:rPr>
      </w:pPr>
      <w:r w:rsidRPr="00697F3B">
        <w:rPr>
          <w:rFonts w:ascii="Times New Roman" w:hAnsi="Times New Roman" w:cs="Times New Roman"/>
          <w:color w:val="000000" w:themeColor="text1"/>
          <w:sz w:val="18"/>
          <w:szCs w:val="18"/>
        </w:rPr>
        <w:t>Tableau  6: Conclusions principales</w:t>
      </w:r>
    </w:p>
    <w:tbl>
      <w:tblPr>
        <w:tblW w:w="11029" w:type="dxa"/>
        <w:jc w:val="center"/>
        <w:tblLayout w:type="fixed"/>
        <w:tblCellMar>
          <w:left w:w="10" w:type="dxa"/>
          <w:right w:w="10" w:type="dxa"/>
        </w:tblCellMar>
        <w:tblLook w:val="0000" w:firstRow="0" w:lastRow="0" w:firstColumn="0" w:lastColumn="0" w:noHBand="0" w:noVBand="0"/>
      </w:tblPr>
      <w:tblGrid>
        <w:gridCol w:w="1248"/>
        <w:gridCol w:w="4678"/>
        <w:gridCol w:w="5103"/>
      </w:tblGrid>
      <w:tr w:rsidR="001908AF" w:rsidRPr="00697F3B" w14:paraId="04E092A4" w14:textId="77777777" w:rsidTr="004F0432">
        <w:trPr>
          <w:jc w:val="center"/>
        </w:trPr>
        <w:tc>
          <w:tcPr>
            <w:tcW w:w="1248" w:type="dxa"/>
            <w:tcBorders>
              <w:top w:val="none" w:sz="1" w:space="0" w:color="152935"/>
              <w:left w:val="none" w:sz="1" w:space="0" w:color="152935"/>
              <w:bottom w:val="single" w:sz="1" w:space="0" w:color="152935"/>
              <w:right w:val="single" w:sz="1" w:space="0" w:color="E0E0E0"/>
            </w:tcBorders>
            <w:shd w:val="clear" w:color="auto" w:fill="FFFFFF"/>
          </w:tcPr>
          <w:p w14:paraId="79C137C0" w14:textId="3E611ABC" w:rsidR="001908AF" w:rsidRPr="00697F3B" w:rsidRDefault="006E2EBD" w:rsidP="00B31DC8">
            <w:pPr>
              <w:spacing w:before="10" w:after="10"/>
              <w:ind w:left="30" w:right="40"/>
              <w:jc w:val="center"/>
              <w:rPr>
                <w:rFonts w:eastAsia="Arial"/>
                <w:color w:val="264A60"/>
                <w:sz w:val="20"/>
                <w:szCs w:val="20"/>
              </w:rPr>
            </w:pPr>
            <w:r w:rsidRPr="00697F3B">
              <w:rPr>
                <w:rFonts w:eastAsia="Arial"/>
                <w:color w:val="264A60"/>
                <w:sz w:val="20"/>
                <w:szCs w:val="20"/>
              </w:rPr>
              <w:t>Hypothèses</w:t>
            </w:r>
          </w:p>
        </w:tc>
        <w:tc>
          <w:tcPr>
            <w:tcW w:w="4678" w:type="dxa"/>
            <w:tcBorders>
              <w:top w:val="none" w:sz="1" w:space="0" w:color="152935"/>
              <w:left w:val="none" w:sz="1" w:space="0" w:color="152935"/>
              <w:bottom w:val="single" w:sz="1" w:space="0" w:color="152935"/>
              <w:right w:val="single" w:sz="1" w:space="0" w:color="E0E0E0"/>
            </w:tcBorders>
            <w:shd w:val="clear" w:color="auto" w:fill="FFFFFF"/>
            <w:vAlign w:val="bottom"/>
          </w:tcPr>
          <w:p w14:paraId="0484C4DA" w14:textId="54BF18AA" w:rsidR="001908AF" w:rsidRPr="00697F3B" w:rsidRDefault="00807627" w:rsidP="00B31DC8">
            <w:pPr>
              <w:spacing w:before="10" w:after="10"/>
              <w:ind w:left="30" w:right="40"/>
              <w:jc w:val="center"/>
              <w:rPr>
                <w:rFonts w:eastAsia="Arial"/>
                <w:color w:val="264A60"/>
                <w:sz w:val="20"/>
                <w:szCs w:val="20"/>
              </w:rPr>
            </w:pPr>
            <w:r w:rsidRPr="00697F3B">
              <w:rPr>
                <w:rFonts w:eastAsia="Arial"/>
                <w:color w:val="264A60"/>
                <w:sz w:val="20"/>
                <w:szCs w:val="20"/>
              </w:rPr>
              <w:t>Résultats attendus</w:t>
            </w:r>
          </w:p>
        </w:tc>
        <w:tc>
          <w:tcPr>
            <w:tcW w:w="5103" w:type="dxa"/>
            <w:tcBorders>
              <w:top w:val="none" w:sz="1" w:space="0" w:color="152935"/>
              <w:left w:val="single" w:sz="1" w:space="0" w:color="E0E0E0"/>
              <w:bottom w:val="single" w:sz="1" w:space="0" w:color="152935"/>
              <w:right w:val="single" w:sz="1" w:space="0" w:color="E0E0E0"/>
            </w:tcBorders>
            <w:shd w:val="clear" w:color="auto" w:fill="FFFFFF"/>
            <w:vAlign w:val="center"/>
          </w:tcPr>
          <w:p w14:paraId="74809BA9" w14:textId="4C22C211" w:rsidR="001908AF" w:rsidRPr="00697F3B" w:rsidRDefault="006E2EBD" w:rsidP="00B31DC8">
            <w:pPr>
              <w:spacing w:before="10" w:after="10"/>
              <w:ind w:left="30" w:right="40"/>
              <w:jc w:val="center"/>
              <w:rPr>
                <w:rFonts w:eastAsia="Arial"/>
                <w:color w:val="264A60"/>
                <w:sz w:val="20"/>
                <w:szCs w:val="20"/>
              </w:rPr>
            </w:pPr>
            <w:r w:rsidRPr="00697F3B">
              <w:rPr>
                <w:rFonts w:eastAsia="Arial"/>
                <w:color w:val="264A60"/>
                <w:sz w:val="20"/>
                <w:szCs w:val="20"/>
              </w:rPr>
              <w:t>Résultats obtenus</w:t>
            </w:r>
          </w:p>
        </w:tc>
      </w:tr>
      <w:tr w:rsidR="001908AF" w:rsidRPr="00697F3B" w14:paraId="2718585D" w14:textId="77777777" w:rsidTr="004F0432">
        <w:trPr>
          <w:jc w:val="center"/>
        </w:trPr>
        <w:tc>
          <w:tcPr>
            <w:tcW w:w="1248" w:type="dxa"/>
            <w:tcBorders>
              <w:top w:val="single" w:sz="1" w:space="0" w:color="152935"/>
              <w:left w:val="none" w:sz="1" w:space="0" w:color="152935"/>
              <w:bottom w:val="single" w:sz="1" w:space="0" w:color="AEAEAE"/>
              <w:right w:val="single" w:sz="1" w:space="0" w:color="E0E0E0"/>
            </w:tcBorders>
            <w:shd w:val="clear" w:color="auto" w:fill="F9F9FB"/>
            <w:vAlign w:val="center"/>
          </w:tcPr>
          <w:p w14:paraId="366654CD" w14:textId="365DB99A" w:rsidR="001908AF" w:rsidRPr="00697F3B" w:rsidRDefault="006E2EBD" w:rsidP="006E2EBD">
            <w:pPr>
              <w:spacing w:before="15" w:after="10"/>
              <w:ind w:left="30" w:right="40"/>
              <w:jc w:val="center"/>
              <w:rPr>
                <w:rFonts w:eastAsia="Arial"/>
                <w:color w:val="010205"/>
                <w:sz w:val="20"/>
                <w:szCs w:val="20"/>
              </w:rPr>
            </w:pPr>
            <w:r w:rsidRPr="00697F3B">
              <w:rPr>
                <w:rFonts w:eastAsia="Arial"/>
                <w:color w:val="010205"/>
                <w:sz w:val="20"/>
                <w:szCs w:val="20"/>
              </w:rPr>
              <w:t>1</w:t>
            </w:r>
          </w:p>
        </w:tc>
        <w:tc>
          <w:tcPr>
            <w:tcW w:w="4678" w:type="dxa"/>
            <w:tcBorders>
              <w:top w:val="single" w:sz="1" w:space="0" w:color="152935"/>
              <w:left w:val="none" w:sz="1" w:space="0" w:color="152935"/>
              <w:bottom w:val="single" w:sz="1" w:space="0" w:color="AEAEAE"/>
              <w:right w:val="single" w:sz="1" w:space="0" w:color="E0E0E0"/>
            </w:tcBorders>
            <w:shd w:val="clear" w:color="auto" w:fill="F9F9FB"/>
            <w:vAlign w:val="center"/>
          </w:tcPr>
          <w:p w14:paraId="410EC0DF" w14:textId="64429202" w:rsidR="006E2EBD" w:rsidRPr="00697F3B" w:rsidRDefault="006E2EBD" w:rsidP="003B4256">
            <w:pPr>
              <w:spacing w:before="240" w:after="240" w:line="360" w:lineRule="auto"/>
              <w:jc w:val="center"/>
              <w:rPr>
                <w:sz w:val="20"/>
                <w:szCs w:val="20"/>
              </w:rPr>
            </w:pPr>
            <w:r w:rsidRPr="00697F3B">
              <w:rPr>
                <w:sz w:val="20"/>
                <w:szCs w:val="20"/>
              </w:rPr>
              <w:t>Différence statistiquement significative entre les notes extra-financières attribuées par les différents évaluateurs.</w:t>
            </w:r>
          </w:p>
          <w:p w14:paraId="0ED0114B" w14:textId="7F123651" w:rsidR="001908AF" w:rsidRPr="00697F3B" w:rsidRDefault="001908AF" w:rsidP="003B4256">
            <w:pPr>
              <w:spacing w:before="15" w:after="10"/>
              <w:ind w:right="40"/>
              <w:jc w:val="center"/>
              <w:rPr>
                <w:sz w:val="20"/>
                <w:szCs w:val="20"/>
              </w:rPr>
            </w:pPr>
          </w:p>
        </w:tc>
        <w:tc>
          <w:tcPr>
            <w:tcW w:w="5103" w:type="dxa"/>
            <w:tcBorders>
              <w:top w:val="single" w:sz="1" w:space="0" w:color="152935"/>
              <w:left w:val="single" w:sz="1" w:space="0" w:color="E0E0E0"/>
              <w:bottom w:val="single" w:sz="1" w:space="0" w:color="AEAEAE"/>
              <w:right w:val="single" w:sz="1" w:space="0" w:color="E0E0E0"/>
            </w:tcBorders>
            <w:shd w:val="clear" w:color="auto" w:fill="F9F9FB"/>
            <w:vAlign w:val="center"/>
          </w:tcPr>
          <w:p w14:paraId="108AA954" w14:textId="68E84060" w:rsidR="006E2EBD" w:rsidRPr="00697F3B" w:rsidRDefault="006E2EBD" w:rsidP="003B4256">
            <w:pPr>
              <w:spacing w:before="240" w:after="240" w:line="360" w:lineRule="auto"/>
              <w:jc w:val="center"/>
              <w:rPr>
                <w:sz w:val="20"/>
                <w:szCs w:val="20"/>
              </w:rPr>
            </w:pPr>
            <w:r w:rsidRPr="00697F3B">
              <w:rPr>
                <w:rFonts w:eastAsia="Arial"/>
                <w:color w:val="010205"/>
                <w:sz w:val="20"/>
                <w:szCs w:val="20"/>
              </w:rPr>
              <w:t xml:space="preserve">Pas de différence statistiquement significative </w:t>
            </w:r>
            <w:r w:rsidRPr="00697F3B">
              <w:rPr>
                <w:sz w:val="20"/>
                <w:szCs w:val="20"/>
              </w:rPr>
              <w:t>entre les notes extra-financières attribuées par les différents évaluateurs.</w:t>
            </w:r>
          </w:p>
          <w:p w14:paraId="78A32D93" w14:textId="328EAF5E" w:rsidR="006E2EBD" w:rsidRPr="00697F3B" w:rsidRDefault="006E2EBD" w:rsidP="003B4256">
            <w:pPr>
              <w:spacing w:before="15" w:after="10"/>
              <w:ind w:left="30" w:right="40"/>
              <w:jc w:val="center"/>
              <w:rPr>
                <w:rFonts w:eastAsia="Arial"/>
                <w:color w:val="010205"/>
                <w:sz w:val="20"/>
                <w:szCs w:val="20"/>
              </w:rPr>
            </w:pPr>
          </w:p>
        </w:tc>
      </w:tr>
      <w:tr w:rsidR="001908AF" w:rsidRPr="00697F3B" w14:paraId="64E95029" w14:textId="77777777" w:rsidTr="004F0432">
        <w:trPr>
          <w:jc w:val="center"/>
        </w:trPr>
        <w:tc>
          <w:tcPr>
            <w:tcW w:w="1248" w:type="dxa"/>
            <w:tcBorders>
              <w:top w:val="single" w:sz="1" w:space="0" w:color="AEAEAE"/>
              <w:left w:val="none" w:sz="1" w:space="0" w:color="152935"/>
              <w:bottom w:val="single" w:sz="1" w:space="0" w:color="AEAEAE"/>
              <w:right w:val="single" w:sz="1" w:space="0" w:color="E0E0E0"/>
            </w:tcBorders>
            <w:shd w:val="clear" w:color="auto" w:fill="F9F9FB"/>
            <w:vAlign w:val="center"/>
          </w:tcPr>
          <w:p w14:paraId="6C02BA47" w14:textId="77777777" w:rsidR="001908AF" w:rsidRPr="00697F3B" w:rsidRDefault="001908AF" w:rsidP="00B31DC8">
            <w:pPr>
              <w:spacing w:before="15" w:after="10"/>
              <w:ind w:left="30" w:right="40"/>
              <w:jc w:val="center"/>
              <w:rPr>
                <w:rFonts w:eastAsia="Arial"/>
                <w:color w:val="010205"/>
                <w:sz w:val="20"/>
                <w:szCs w:val="20"/>
              </w:rPr>
            </w:pPr>
            <w:r w:rsidRPr="00697F3B">
              <w:rPr>
                <w:rFonts w:eastAsia="Arial"/>
                <w:color w:val="010205"/>
                <w:sz w:val="20"/>
                <w:szCs w:val="20"/>
              </w:rPr>
              <w:t>2</w:t>
            </w:r>
          </w:p>
        </w:tc>
        <w:tc>
          <w:tcPr>
            <w:tcW w:w="4678" w:type="dxa"/>
            <w:tcBorders>
              <w:top w:val="single" w:sz="1" w:space="0" w:color="AEAEAE"/>
              <w:left w:val="none" w:sz="1" w:space="0" w:color="152935"/>
              <w:bottom w:val="single" w:sz="1" w:space="0" w:color="AEAEAE"/>
              <w:right w:val="single" w:sz="1" w:space="0" w:color="E0E0E0"/>
            </w:tcBorders>
            <w:shd w:val="clear" w:color="auto" w:fill="F9F9FB"/>
          </w:tcPr>
          <w:p w14:paraId="021B0637" w14:textId="3A0742B6" w:rsidR="006E2EBD" w:rsidRPr="00697F3B" w:rsidRDefault="006E2EBD" w:rsidP="003B4256">
            <w:pPr>
              <w:spacing w:after="240" w:line="360" w:lineRule="auto"/>
              <w:jc w:val="center"/>
              <w:rPr>
                <w:sz w:val="20"/>
                <w:szCs w:val="20"/>
              </w:rPr>
            </w:pPr>
            <w:r w:rsidRPr="00697F3B">
              <w:rPr>
                <w:sz w:val="20"/>
                <w:szCs w:val="20"/>
              </w:rPr>
              <w:t>Pas de différence statistiquement significative entre les indicateurs extra-financiers des fonds d’investissement socialement responsables et les indicateurs extra-financiers de leurs équivalents traditionnels.</w:t>
            </w:r>
          </w:p>
          <w:p w14:paraId="3FB13579" w14:textId="78BAB976" w:rsidR="001908AF" w:rsidRPr="00697F3B" w:rsidRDefault="001908AF" w:rsidP="003B4256">
            <w:pPr>
              <w:spacing w:before="15" w:after="10"/>
              <w:ind w:right="40"/>
              <w:jc w:val="center"/>
              <w:rPr>
                <w:rFonts w:eastAsia="Arial"/>
                <w:color w:val="010205"/>
                <w:sz w:val="20"/>
                <w:szCs w:val="20"/>
              </w:rPr>
            </w:pPr>
          </w:p>
        </w:tc>
        <w:tc>
          <w:tcPr>
            <w:tcW w:w="5103" w:type="dxa"/>
            <w:tcBorders>
              <w:top w:val="single" w:sz="1" w:space="0" w:color="AEAEAE"/>
              <w:left w:val="single" w:sz="1" w:space="0" w:color="E0E0E0"/>
              <w:bottom w:val="single" w:sz="1" w:space="0" w:color="AEAEAE"/>
              <w:right w:val="single" w:sz="1" w:space="0" w:color="E0E0E0"/>
            </w:tcBorders>
            <w:shd w:val="clear" w:color="auto" w:fill="F9F9FB"/>
          </w:tcPr>
          <w:p w14:paraId="6D294FDA" w14:textId="56648AC6" w:rsidR="001908AF" w:rsidRPr="00697F3B" w:rsidRDefault="0020261A" w:rsidP="003B4256">
            <w:pPr>
              <w:spacing w:after="240" w:line="360" w:lineRule="auto"/>
              <w:jc w:val="center"/>
              <w:rPr>
                <w:sz w:val="20"/>
                <w:szCs w:val="20"/>
              </w:rPr>
            </w:pPr>
            <w:r w:rsidRPr="00697F3B">
              <w:rPr>
                <w:sz w:val="20"/>
                <w:szCs w:val="20"/>
              </w:rPr>
              <w:t>Différence statistiquement significative entre les indicateurs extra-financiers des fonds d’investissement socialement responsables et les indicateurs extra-financiers de leurs équivalents traditionnels. Les fonds ISR semblent plus performants que les fonds traditionnels sur les critères extra-financiers</w:t>
            </w:r>
            <w:r w:rsidR="00D72992" w:rsidRPr="00697F3B">
              <w:rPr>
                <w:sz w:val="20"/>
                <w:szCs w:val="20"/>
              </w:rPr>
              <w:t xml:space="preserve"> (à la fois au niveau environnemental, social et de gouvernance).</w:t>
            </w:r>
          </w:p>
        </w:tc>
      </w:tr>
      <w:tr w:rsidR="001908AF" w:rsidRPr="00697F3B" w14:paraId="04CD5074" w14:textId="77777777" w:rsidTr="004F0432">
        <w:trPr>
          <w:jc w:val="center"/>
        </w:trPr>
        <w:tc>
          <w:tcPr>
            <w:tcW w:w="1248" w:type="dxa"/>
            <w:tcBorders>
              <w:top w:val="single" w:sz="1" w:space="0" w:color="AEAEAE"/>
              <w:left w:val="none" w:sz="1" w:space="0" w:color="152935"/>
              <w:bottom w:val="single" w:sz="1" w:space="0" w:color="AEAEAE"/>
              <w:right w:val="single" w:sz="1" w:space="0" w:color="E0E0E0"/>
            </w:tcBorders>
            <w:shd w:val="clear" w:color="auto" w:fill="F9F9FB"/>
            <w:vAlign w:val="center"/>
          </w:tcPr>
          <w:p w14:paraId="65B5195F" w14:textId="77777777" w:rsidR="001908AF" w:rsidRPr="00697F3B" w:rsidRDefault="001908AF" w:rsidP="00B31DC8">
            <w:pPr>
              <w:spacing w:before="15" w:after="10"/>
              <w:ind w:left="30" w:right="40"/>
              <w:jc w:val="center"/>
              <w:rPr>
                <w:rFonts w:eastAsia="Arial"/>
                <w:color w:val="010205"/>
                <w:sz w:val="20"/>
                <w:szCs w:val="20"/>
              </w:rPr>
            </w:pPr>
            <w:r w:rsidRPr="00697F3B">
              <w:rPr>
                <w:rFonts w:eastAsia="Arial"/>
                <w:color w:val="010205"/>
                <w:sz w:val="20"/>
                <w:szCs w:val="20"/>
              </w:rPr>
              <w:t>3</w:t>
            </w:r>
          </w:p>
        </w:tc>
        <w:tc>
          <w:tcPr>
            <w:tcW w:w="4678" w:type="dxa"/>
            <w:tcBorders>
              <w:top w:val="single" w:sz="1" w:space="0" w:color="AEAEAE"/>
              <w:left w:val="none" w:sz="1" w:space="0" w:color="152935"/>
              <w:bottom w:val="single" w:sz="1" w:space="0" w:color="AEAEAE"/>
              <w:right w:val="single" w:sz="1" w:space="0" w:color="E0E0E0"/>
            </w:tcBorders>
            <w:shd w:val="clear" w:color="auto" w:fill="F9F9FB"/>
          </w:tcPr>
          <w:p w14:paraId="6F9B419A" w14:textId="6BCE295A" w:rsidR="001908AF" w:rsidRPr="00697F3B" w:rsidRDefault="0020261A" w:rsidP="003B4256">
            <w:pPr>
              <w:spacing w:after="240" w:line="360" w:lineRule="auto"/>
              <w:jc w:val="center"/>
              <w:rPr>
                <w:sz w:val="20"/>
                <w:szCs w:val="20"/>
              </w:rPr>
            </w:pPr>
            <w:r w:rsidRPr="00697F3B">
              <w:rPr>
                <w:sz w:val="20"/>
                <w:szCs w:val="20"/>
              </w:rPr>
              <w:t>Différence statistiquement significative entre les  indicateurs extra-financiers des fonds Article 8 et des fonds Article 9.</w:t>
            </w:r>
          </w:p>
        </w:tc>
        <w:tc>
          <w:tcPr>
            <w:tcW w:w="5103" w:type="dxa"/>
            <w:tcBorders>
              <w:top w:val="single" w:sz="1" w:space="0" w:color="AEAEAE"/>
              <w:left w:val="single" w:sz="1" w:space="0" w:color="E0E0E0"/>
              <w:bottom w:val="single" w:sz="1" w:space="0" w:color="AEAEAE"/>
              <w:right w:val="single" w:sz="1" w:space="0" w:color="E0E0E0"/>
            </w:tcBorders>
            <w:shd w:val="clear" w:color="auto" w:fill="F9F9FB"/>
          </w:tcPr>
          <w:p w14:paraId="0F81E225" w14:textId="5F1548B8" w:rsidR="001908AF" w:rsidRPr="00697F3B" w:rsidRDefault="00261119" w:rsidP="003B4256">
            <w:pPr>
              <w:spacing w:after="240" w:line="360" w:lineRule="auto"/>
              <w:jc w:val="center"/>
              <w:rPr>
                <w:sz w:val="20"/>
                <w:szCs w:val="20"/>
              </w:rPr>
            </w:pPr>
            <w:r w:rsidRPr="00697F3B">
              <w:rPr>
                <w:sz w:val="20"/>
                <w:szCs w:val="20"/>
              </w:rPr>
              <w:t xml:space="preserve">Différence statistiquement significative entre les  indicateurs extra-financiers des fonds Article 8 et des fonds Article 9 mais uniquement sur certains </w:t>
            </w:r>
            <w:r w:rsidR="00AE0474" w:rsidRPr="00697F3B">
              <w:rPr>
                <w:sz w:val="20"/>
                <w:szCs w:val="20"/>
              </w:rPr>
              <w:t>indicateurs</w:t>
            </w:r>
            <w:r w:rsidRPr="00697F3B">
              <w:rPr>
                <w:sz w:val="20"/>
                <w:szCs w:val="20"/>
              </w:rPr>
              <w:t>.</w:t>
            </w:r>
          </w:p>
        </w:tc>
      </w:tr>
    </w:tbl>
    <w:p w14:paraId="62B41AD5" w14:textId="02377BFA" w:rsidR="00197089" w:rsidRPr="00697F3B" w:rsidRDefault="00197089" w:rsidP="00D408C8">
      <w:pPr>
        <w:spacing w:before="240" w:after="240" w:line="360" w:lineRule="auto"/>
        <w:jc w:val="both"/>
        <w:rPr>
          <w:color w:val="000000" w:themeColor="text1"/>
        </w:rPr>
      </w:pPr>
      <w:r w:rsidRPr="00697F3B">
        <w:rPr>
          <w:color w:val="000000" w:themeColor="text1"/>
        </w:rPr>
        <w:t xml:space="preserve">Alors que la plupart des articles sur les fonds ISR se sont focalisés sur la comparaison de leur performance financière avec celle des fonds traditionnels, cette étude contribue à la littérature en analysant la performance extra-financière de ces fonds et en la comparant à celle des fonds traditionnels. </w:t>
      </w:r>
    </w:p>
    <w:p w14:paraId="327653B1" w14:textId="6754695E" w:rsidR="00197089" w:rsidRPr="00697F3B" w:rsidRDefault="00197089" w:rsidP="00197089">
      <w:pPr>
        <w:spacing w:after="240" w:line="360" w:lineRule="auto"/>
        <w:jc w:val="both"/>
        <w:rPr>
          <w:color w:val="000000" w:themeColor="text1"/>
        </w:rPr>
      </w:pPr>
      <w:r w:rsidRPr="00697F3B">
        <w:rPr>
          <w:color w:val="000000" w:themeColor="text1"/>
        </w:rPr>
        <w:t xml:space="preserve">Notre étude diffère sur certains points des résultats obtenus dans d’autres études.  Tout d’abord, contrairement à ce que mentionnent différents auteurs tels que </w:t>
      </w:r>
      <w:proofErr w:type="spellStart"/>
      <w:r w:rsidRPr="00697F3B">
        <w:rPr>
          <w:color w:val="000000" w:themeColor="text1"/>
        </w:rPr>
        <w:t>Chatterij</w:t>
      </w:r>
      <w:proofErr w:type="spellEnd"/>
      <w:r w:rsidRPr="00697F3B">
        <w:rPr>
          <w:color w:val="000000" w:themeColor="text1"/>
        </w:rPr>
        <w:t xml:space="preserve">, Durant, Levine et </w:t>
      </w:r>
      <w:proofErr w:type="spellStart"/>
      <w:r w:rsidRPr="00697F3B">
        <w:rPr>
          <w:color w:val="000000" w:themeColor="text1"/>
        </w:rPr>
        <w:t>Touboul</w:t>
      </w:r>
      <w:proofErr w:type="spellEnd"/>
      <w:r w:rsidRPr="00697F3B">
        <w:rPr>
          <w:color w:val="000000" w:themeColor="text1"/>
        </w:rPr>
        <w:t xml:space="preserve"> et  Doyle (2018), notre étude n’a pas démontré de différence significative entre les notes extra-financières de différents analystes. Ensuite, alors que Candelon et al. (2021) ont démontré qu’il n’y avait pas de lien entre les appellations des fonds ISR et leur performance </w:t>
      </w:r>
      <w:r w:rsidRPr="00697F3B">
        <w:rPr>
          <w:color w:val="000000" w:themeColor="text1"/>
        </w:rPr>
        <w:lastRenderedPageBreak/>
        <w:t xml:space="preserve">extra-financière, nous avons tout de même pu mettre en lumière que, de manière générale, la performance extra-financière des fonds ISR est supérieure à celle des fonds traditionnels. La performance extra-financière ne serait donc pas uniquement un outil marketing ou de l’ESG </w:t>
      </w:r>
      <w:proofErr w:type="spellStart"/>
      <w:r w:rsidRPr="00697F3B">
        <w:rPr>
          <w:i/>
          <w:iCs/>
          <w:color w:val="000000" w:themeColor="text1"/>
        </w:rPr>
        <w:t>washing</w:t>
      </w:r>
      <w:proofErr w:type="spellEnd"/>
      <w:r w:rsidRPr="00697F3B">
        <w:rPr>
          <w:color w:val="000000" w:themeColor="text1"/>
        </w:rPr>
        <w:t xml:space="preserve"> comme tendent à le dire </w:t>
      </w:r>
      <w:proofErr w:type="spellStart"/>
      <w:r w:rsidRPr="00697F3B">
        <w:rPr>
          <w:color w:val="000000" w:themeColor="text1"/>
        </w:rPr>
        <w:t>Fily</w:t>
      </w:r>
      <w:proofErr w:type="spellEnd"/>
      <w:r w:rsidRPr="00697F3B">
        <w:rPr>
          <w:color w:val="000000" w:themeColor="text1"/>
        </w:rPr>
        <w:t xml:space="preserve"> (2019) ou </w:t>
      </w:r>
      <w:proofErr w:type="spellStart"/>
      <w:r w:rsidRPr="00697F3B">
        <w:rPr>
          <w:color w:val="000000" w:themeColor="text1"/>
        </w:rPr>
        <w:t>Scatigna</w:t>
      </w:r>
      <w:proofErr w:type="spellEnd"/>
      <w:r w:rsidRPr="00697F3B">
        <w:rPr>
          <w:color w:val="000000" w:themeColor="text1"/>
        </w:rPr>
        <w:t xml:space="preserve">, Xia, </w:t>
      </w:r>
      <w:proofErr w:type="spellStart"/>
      <w:r w:rsidRPr="00697F3B">
        <w:rPr>
          <w:color w:val="000000" w:themeColor="text1"/>
        </w:rPr>
        <w:t>Zabai</w:t>
      </w:r>
      <w:proofErr w:type="spellEnd"/>
      <w:r w:rsidRPr="00697F3B">
        <w:rPr>
          <w:color w:val="000000" w:themeColor="text1"/>
        </w:rPr>
        <w:t xml:space="preserve"> et </w:t>
      </w:r>
      <w:proofErr w:type="spellStart"/>
      <w:r w:rsidRPr="00697F3B">
        <w:rPr>
          <w:color w:val="000000" w:themeColor="text1"/>
        </w:rPr>
        <w:t>Zulaica</w:t>
      </w:r>
      <w:proofErr w:type="spellEnd"/>
      <w:r w:rsidRPr="00697F3B">
        <w:rPr>
          <w:color w:val="000000" w:themeColor="text1"/>
        </w:rPr>
        <w:t xml:space="preserve"> (2021). De plus, même si </w:t>
      </w:r>
      <w:proofErr w:type="spellStart"/>
      <w:r w:rsidRPr="00697F3B">
        <w:rPr>
          <w:color w:val="000000" w:themeColor="text1"/>
        </w:rPr>
        <w:t>Novethic</w:t>
      </w:r>
      <w:proofErr w:type="spellEnd"/>
      <w:r w:rsidRPr="00697F3B">
        <w:rPr>
          <w:color w:val="000000" w:themeColor="text1"/>
        </w:rPr>
        <w:t xml:space="preserve"> </w:t>
      </w:r>
      <w:r w:rsidR="006D39B9" w:rsidRPr="00697F3B">
        <w:rPr>
          <w:color w:val="000000" w:themeColor="text1"/>
        </w:rPr>
        <w:t xml:space="preserve">(2023a : 1) </w:t>
      </w:r>
      <w:r w:rsidRPr="00697F3B">
        <w:rPr>
          <w:color w:val="000000" w:themeColor="text1"/>
        </w:rPr>
        <w:t>affirme que « </w:t>
      </w:r>
      <w:r w:rsidRPr="00697F3B">
        <w:rPr>
          <w:i/>
          <w:iCs/>
          <w:color w:val="000000" w:themeColor="text1"/>
        </w:rPr>
        <w:t>les fonds Article 9 sont encore loin des exigences du règlement SFDR</w:t>
      </w:r>
      <w:r w:rsidRPr="00697F3B">
        <w:rPr>
          <w:color w:val="000000" w:themeColor="text1"/>
        </w:rPr>
        <w:t> », les fonds Article 9 affichent tout de même une performance significativement supérieure à celle des fonds Article 8.</w:t>
      </w:r>
    </w:p>
    <w:p w14:paraId="43573EA4" w14:textId="402E2D96" w:rsidR="00E50CCA" w:rsidRPr="00697F3B" w:rsidRDefault="00197089" w:rsidP="00197089">
      <w:pPr>
        <w:spacing w:after="240" w:line="360" w:lineRule="auto"/>
        <w:jc w:val="both"/>
        <w:rPr>
          <w:color w:val="000000" w:themeColor="text1"/>
        </w:rPr>
      </w:pPr>
      <w:r w:rsidRPr="00697F3B">
        <w:rPr>
          <w:color w:val="000000" w:themeColor="text1"/>
        </w:rPr>
        <w:t xml:space="preserve">A l’avenir, il serait intéressant d’aller encore plus loin dans l’étude de la performance extra-financière des fonds d’investissement socialement responsables. Tout d’abord, nous pourrions envisager de réaliser la même étude sur un panel de fonds d’investissement socialement responsables plus grand et non plus basé uniquement sur la Belgique afin d’avoir davantage de données disponibles, et  des donnés plus diversifiées. </w:t>
      </w:r>
      <w:r w:rsidR="00764F04" w:rsidRPr="00697F3B">
        <w:rPr>
          <w:color w:val="000000" w:themeColor="text1"/>
        </w:rPr>
        <w:t>Cela nous permettrait aussi d’</w:t>
      </w:r>
      <w:r w:rsidRPr="00697F3B">
        <w:rPr>
          <w:color w:val="000000" w:themeColor="text1"/>
        </w:rPr>
        <w:t>imposer, pour chaque fonds d’investissement socialement responsable , un équivalent traditionnel du même promoteur afin de voir si cela a réellement une influence</w:t>
      </w:r>
      <w:r w:rsidR="00764F04" w:rsidRPr="00697F3B">
        <w:rPr>
          <w:color w:val="000000" w:themeColor="text1"/>
        </w:rPr>
        <w:t xml:space="preserve"> </w:t>
      </w:r>
      <w:r w:rsidRPr="00697F3B">
        <w:rPr>
          <w:color w:val="000000" w:themeColor="text1"/>
        </w:rPr>
        <w:t>dans une étude à plus large échell</w:t>
      </w:r>
      <w:r w:rsidR="00764F04" w:rsidRPr="00697F3B">
        <w:rPr>
          <w:color w:val="000000" w:themeColor="text1"/>
        </w:rPr>
        <w:t>e.</w:t>
      </w:r>
      <w:r w:rsidR="00AB7014">
        <w:rPr>
          <w:color w:val="000000" w:themeColor="text1"/>
        </w:rPr>
        <w:t xml:space="preserve"> Dans cette lignée, n</w:t>
      </w:r>
      <w:r w:rsidR="00AB7014" w:rsidRPr="00697F3B">
        <w:rPr>
          <w:color w:val="000000" w:themeColor="text1"/>
        </w:rPr>
        <w:t>ous pourrions également comparer les performances des fonds ISR entre les différents gérants d’actifs et</w:t>
      </w:r>
      <w:r w:rsidR="00AB7014">
        <w:rPr>
          <w:color w:val="000000" w:themeColor="text1"/>
        </w:rPr>
        <w:t>,</w:t>
      </w:r>
      <w:r w:rsidR="00AB7014" w:rsidRPr="00697F3B">
        <w:rPr>
          <w:color w:val="000000" w:themeColor="text1"/>
        </w:rPr>
        <w:t xml:space="preserve"> si des différences existent, comparer les caractéristiques de ces gérants en termes d’historique, de stratégie produit</w:t>
      </w:r>
      <w:r w:rsidR="00AB7014">
        <w:rPr>
          <w:color w:val="000000" w:themeColor="text1"/>
        </w:rPr>
        <w:t xml:space="preserve">, etc.. </w:t>
      </w:r>
      <w:r w:rsidRPr="00697F3B">
        <w:rPr>
          <w:color w:val="000000" w:themeColor="text1"/>
        </w:rPr>
        <w:t xml:space="preserve">En parallèle, l’utilisation de davantage de mesures de performance pourrait également être envisagée. </w:t>
      </w:r>
      <w:r w:rsidR="003F1F89" w:rsidRPr="00697F3B">
        <w:rPr>
          <w:color w:val="000000" w:themeColor="text1"/>
        </w:rPr>
        <w:t>I</w:t>
      </w:r>
      <w:r w:rsidRPr="00697F3B">
        <w:rPr>
          <w:color w:val="000000" w:themeColor="text1"/>
        </w:rPr>
        <w:t>l serait</w:t>
      </w:r>
      <w:r w:rsidR="003F1F89" w:rsidRPr="00697F3B">
        <w:rPr>
          <w:color w:val="000000" w:themeColor="text1"/>
        </w:rPr>
        <w:t xml:space="preserve"> </w:t>
      </w:r>
      <w:r w:rsidR="00AB7014">
        <w:rPr>
          <w:color w:val="000000" w:themeColor="text1"/>
        </w:rPr>
        <w:t>ainsi</w:t>
      </w:r>
      <w:r w:rsidRPr="00697F3B">
        <w:rPr>
          <w:color w:val="000000" w:themeColor="text1"/>
        </w:rPr>
        <w:t xml:space="preserve"> intéressant de réitérer cette étude une fois que davantage de données seront disponibles. En effet, lorsque nous avons réalisé notre étude, nous avons été confronté</w:t>
      </w:r>
      <w:r w:rsidR="00136A95">
        <w:rPr>
          <w:color w:val="000000" w:themeColor="text1"/>
        </w:rPr>
        <w:t>es</w:t>
      </w:r>
      <w:r w:rsidRPr="00697F3B">
        <w:rPr>
          <w:color w:val="000000" w:themeColor="text1"/>
        </w:rPr>
        <w:t xml:space="preserve"> par moment à un manque de données. Il est donc souhaitable que la réglementation SFDR évolue de manière favorable, permettant ainsi une disponibilité accrue de données tout en imposant des contraintes plus strictes aux fonds ISR pour qu'ils performent correctement sur le plan extra-financier.</w:t>
      </w:r>
      <w:r w:rsidR="00E50CCA" w:rsidRPr="00697F3B">
        <w:rPr>
          <w:color w:val="000000" w:themeColor="text1"/>
        </w:rPr>
        <w:t xml:space="preserve"> </w:t>
      </w:r>
    </w:p>
    <w:p w14:paraId="4DA3D200" w14:textId="72E16268" w:rsidR="00345EAD" w:rsidRPr="00697F3B" w:rsidRDefault="00AB7014" w:rsidP="00697F3B">
      <w:pPr>
        <w:spacing w:after="240" w:line="360" w:lineRule="auto"/>
        <w:jc w:val="both"/>
        <w:rPr>
          <w:color w:val="000000" w:themeColor="text1"/>
        </w:rPr>
      </w:pPr>
      <w:r>
        <w:rPr>
          <w:color w:val="000000" w:themeColor="text1"/>
        </w:rPr>
        <w:t>Effectivement, d</w:t>
      </w:r>
      <w:r w:rsidR="00697F3B" w:rsidRPr="00697F3B">
        <w:rPr>
          <w:color w:val="000000" w:themeColor="text1"/>
        </w:rPr>
        <w:t xml:space="preserve">’un point de vue régulation, notre étude nous montre qu’il serait pertinent de dépasser le simple processus d'auto-classification des fonds selon les articles 6, 8 ou 9, et de mettre en place un organisme de contrôle, tel qu'un audit, pour vérifier la véritable qualité des fonds. En raison du nombre croissant de reclassements vers des classes moins strictes afin d'éviter les contraintes, il pourrait aussi être nécessaire d'instaurer une réglementation obligeant les gestionnaires d'actifs à maintenir ou à augmenter, d'année en année, la proportion des fonds ISR parmi l'ensemble de leurs offres. De plus, il </w:t>
      </w:r>
      <w:r>
        <w:rPr>
          <w:color w:val="000000" w:themeColor="text1"/>
        </w:rPr>
        <w:t>semble</w:t>
      </w:r>
      <w:r w:rsidR="00697F3B" w:rsidRPr="00697F3B">
        <w:rPr>
          <w:color w:val="000000" w:themeColor="text1"/>
        </w:rPr>
        <w:t xml:space="preserve"> nécessaire d’imposer l'interdiction de certains secteurs, comme l'armement ou le travail des enfants, dans les fonds ISR. Cette mesure contribuerait à renforcer l'éthique et la responsabilité sociale des investissements.</w:t>
      </w:r>
    </w:p>
    <w:p w14:paraId="7198E1FC" w14:textId="2407786E" w:rsidR="005E19BF" w:rsidRPr="00697F3B" w:rsidRDefault="00C84BEF" w:rsidP="003739A1">
      <w:pPr>
        <w:spacing w:after="240" w:line="360" w:lineRule="auto"/>
        <w:rPr>
          <w:b/>
          <w:bCs/>
          <w:smallCaps/>
          <w:sz w:val="28"/>
          <w:szCs w:val="28"/>
          <w:lang w:val="fr-FR"/>
        </w:rPr>
      </w:pPr>
      <w:r w:rsidRPr="00697F3B">
        <w:rPr>
          <w:b/>
          <w:bCs/>
          <w:smallCaps/>
          <w:sz w:val="28"/>
          <w:szCs w:val="28"/>
          <w:lang w:val="fr-FR"/>
        </w:rPr>
        <w:lastRenderedPageBreak/>
        <w:t>références</w:t>
      </w:r>
    </w:p>
    <w:p w14:paraId="3E098E12" w14:textId="77777777" w:rsidR="00E73DCB" w:rsidRPr="00697F3B" w:rsidRDefault="00144B16" w:rsidP="003739A1">
      <w:pPr>
        <w:pStyle w:val="NormalWeb"/>
        <w:spacing w:before="0" w:beforeAutospacing="0" w:after="0" w:afterAutospacing="0" w:line="360" w:lineRule="auto"/>
      </w:pPr>
      <w:proofErr w:type="spellStart"/>
      <w:r w:rsidRPr="00697F3B">
        <w:t>Arjaliès</w:t>
      </w:r>
      <w:proofErr w:type="spellEnd"/>
      <w:r w:rsidRPr="00697F3B">
        <w:t>, D.L</w:t>
      </w:r>
      <w:r w:rsidR="00FA4D97" w:rsidRPr="00697F3B">
        <w:t>. (</w:t>
      </w:r>
      <w:r w:rsidRPr="00697F3B">
        <w:t>2010</w:t>
      </w:r>
      <w:r w:rsidR="00FA4D97" w:rsidRPr="00697F3B">
        <w:t>)</w:t>
      </w:r>
      <w:r w:rsidRPr="00697F3B">
        <w:t>. Qu’est-ce que l’Investissement Socialement Responsable.</w:t>
      </w:r>
      <w:r w:rsidR="00FA4D97" w:rsidRPr="00697F3B">
        <w:t xml:space="preserve"> </w:t>
      </w:r>
      <w:proofErr w:type="spellStart"/>
      <w:r w:rsidR="00FA4D97" w:rsidRPr="00697F3B">
        <w:t>Retrieved</w:t>
      </w:r>
      <w:proofErr w:type="spellEnd"/>
    </w:p>
    <w:p w14:paraId="44CAA691" w14:textId="0C1C8AE8" w:rsidR="00144B16" w:rsidRPr="00697F3B" w:rsidRDefault="00FA4D97" w:rsidP="003739A1">
      <w:pPr>
        <w:pStyle w:val="NormalWeb"/>
        <w:spacing w:before="0" w:beforeAutospacing="0" w:after="0" w:afterAutospacing="0" w:line="360" w:lineRule="auto"/>
        <w:ind w:firstLine="708"/>
      </w:pPr>
      <w:proofErr w:type="spellStart"/>
      <w:r w:rsidRPr="00697F3B">
        <w:t>October</w:t>
      </w:r>
      <w:proofErr w:type="spellEnd"/>
      <w:r w:rsidRPr="00697F3B">
        <w:t xml:space="preserve"> 10, 2021, </w:t>
      </w:r>
      <w:proofErr w:type="spellStart"/>
      <w:r w:rsidRPr="00697F3B">
        <w:t>from</w:t>
      </w:r>
      <w:proofErr w:type="spellEnd"/>
      <w:r w:rsidR="00144B16" w:rsidRPr="00697F3B">
        <w:t xml:space="preserve"> </w:t>
      </w:r>
      <w:hyperlink r:id="rId9" w:history="1">
        <w:r w:rsidR="00144B16" w:rsidRPr="00697F3B">
          <w:rPr>
            <w:rStyle w:val="Lienhypertexte"/>
          </w:rPr>
          <w:t>https://hal.science/hal-00482436/document</w:t>
        </w:r>
      </w:hyperlink>
    </w:p>
    <w:p w14:paraId="07FAC6E6" w14:textId="77777777" w:rsidR="00025AD1" w:rsidRPr="00697F3B" w:rsidRDefault="008D4AF8" w:rsidP="00025AD1">
      <w:pPr>
        <w:pStyle w:val="NormalWeb"/>
        <w:spacing w:before="0" w:beforeAutospacing="0" w:after="0" w:afterAutospacing="0" w:line="360" w:lineRule="auto"/>
      </w:pPr>
      <w:r w:rsidRPr="00697F3B">
        <w:t>AMF – Autorité des marchés financiers. (2022). Finance durable : bien comprendre la</w:t>
      </w:r>
    </w:p>
    <w:p w14:paraId="6182C659" w14:textId="47EDC712" w:rsidR="008D4AF8" w:rsidRPr="00697F3B" w:rsidRDefault="008D4AF8" w:rsidP="00025AD1">
      <w:pPr>
        <w:pStyle w:val="NormalWeb"/>
        <w:spacing w:before="0" w:beforeAutospacing="0" w:after="0" w:afterAutospacing="0" w:line="360" w:lineRule="auto"/>
        <w:ind w:left="708"/>
        <w:rPr>
          <w:lang w:val="en-US"/>
        </w:rPr>
      </w:pPr>
      <w:r w:rsidRPr="00697F3B">
        <w:t xml:space="preserve">Taxonomie et le règlement SFDR pour exprimer vos préférences. </w:t>
      </w:r>
      <w:r w:rsidRPr="00697F3B">
        <w:rPr>
          <w:lang w:val="en-US"/>
        </w:rPr>
        <w:t xml:space="preserve">Retrieved February 29, 2024, from </w:t>
      </w:r>
      <w:hyperlink r:id="rId10" w:anchor=":~:text=Règlement%20" w:history="1">
        <w:r w:rsidRPr="00697F3B">
          <w:rPr>
            <w:rStyle w:val="Lienhypertexte"/>
            <w:lang w:val="en-US"/>
          </w:rPr>
          <w:t>https://www.amf-france.org/fr/espace-epargnants/comprendre-les-produits-financiers/finance-durable/faire-un-placement-durable/finance-durable-bien-comprendre-la-taxonomie-et-le-reglement-sfdr-pour-exprimer-vos-preferences#:~:text=Règlement%20</w:t>
        </w:r>
      </w:hyperlink>
      <w:r w:rsidRPr="00697F3B">
        <w:rPr>
          <w:lang w:val="en-US"/>
        </w:rPr>
        <w:t xml:space="preserve"> </w:t>
      </w:r>
    </w:p>
    <w:p w14:paraId="57C92574" w14:textId="180E77C1" w:rsidR="00C555B2" w:rsidRPr="00311BF5" w:rsidRDefault="00C555B2" w:rsidP="00C555B2">
      <w:pPr>
        <w:pStyle w:val="NormalWeb"/>
        <w:spacing w:before="0" w:beforeAutospacing="0" w:after="0" w:afterAutospacing="0" w:line="360" w:lineRule="auto"/>
        <w:ind w:left="709" w:hanging="709"/>
        <w:rPr>
          <w:color w:val="000000" w:themeColor="text1"/>
          <w:lang w:val="en-US"/>
        </w:rPr>
      </w:pPr>
      <w:r w:rsidRPr="003278DD">
        <w:rPr>
          <w:color w:val="000000" w:themeColor="text1"/>
        </w:rPr>
        <w:t xml:space="preserve">Bayot, B., &amp; Cayrol, A. (2009). </w:t>
      </w:r>
      <w:r w:rsidRPr="00697F3B">
        <w:rPr>
          <w:color w:val="000000" w:themeColor="text1"/>
        </w:rPr>
        <w:t xml:space="preserve">L’investissement socialement responsable en Belgique. </w:t>
      </w:r>
      <w:proofErr w:type="spellStart"/>
      <w:r w:rsidRPr="00311BF5">
        <w:rPr>
          <w:color w:val="000000" w:themeColor="text1"/>
          <w:lang w:val="en-US"/>
        </w:rPr>
        <w:t>Financité</w:t>
      </w:r>
      <w:proofErr w:type="spellEnd"/>
      <w:r w:rsidRPr="00311BF5">
        <w:rPr>
          <w:color w:val="000000" w:themeColor="text1"/>
          <w:lang w:val="en-US"/>
        </w:rPr>
        <w:t>. Retrieved May, 21, 2024, from</w:t>
      </w:r>
      <w:r w:rsidR="00311BF5" w:rsidRPr="00311BF5">
        <w:rPr>
          <w:color w:val="000000" w:themeColor="text1"/>
          <w:lang w:val="en-US"/>
        </w:rPr>
        <w:t xml:space="preserve"> </w:t>
      </w:r>
      <w:hyperlink r:id="rId11" w:tgtFrame="_blank" w:tooltip="https://www.financite.be/sites/default/files/references/files/868_0.pdf" w:history="1">
        <w:r w:rsidR="00311BF5" w:rsidRPr="00311BF5">
          <w:rPr>
            <w:rStyle w:val="Lienhypertexte"/>
            <w:lang w:val="en-US"/>
          </w:rPr>
          <w:t>https://www.financite.be/sites/default/files/references/files/868_0.pdf</w:t>
        </w:r>
      </w:hyperlink>
    </w:p>
    <w:p w14:paraId="4CB3617F" w14:textId="11A61F76" w:rsidR="00C555B2" w:rsidRPr="00311BF5" w:rsidRDefault="00A67E04" w:rsidP="00C555B2">
      <w:pPr>
        <w:pStyle w:val="NormalWeb"/>
        <w:spacing w:before="0" w:beforeAutospacing="0" w:after="0" w:afterAutospacing="0" w:line="360" w:lineRule="auto"/>
        <w:ind w:left="709" w:hanging="709"/>
        <w:rPr>
          <w:color w:val="000000" w:themeColor="text1"/>
          <w:lang w:val="en-US"/>
        </w:rPr>
      </w:pPr>
      <w:r w:rsidRPr="00697F3B">
        <w:rPr>
          <w:color w:val="000000" w:themeColor="text1"/>
          <w:lang w:val="en-US"/>
        </w:rPr>
        <w:t xml:space="preserve">Bayot, B., </w:t>
      </w:r>
      <w:proofErr w:type="spellStart"/>
      <w:r w:rsidRPr="00697F3B">
        <w:rPr>
          <w:color w:val="000000" w:themeColor="text1"/>
          <w:lang w:val="en-US"/>
        </w:rPr>
        <w:t>Cayrol</w:t>
      </w:r>
      <w:proofErr w:type="spellEnd"/>
      <w:r w:rsidRPr="00697F3B">
        <w:rPr>
          <w:color w:val="000000" w:themeColor="text1"/>
          <w:lang w:val="en-US"/>
        </w:rPr>
        <w:t xml:space="preserve">, A., Marchand, A., &amp; Verdonck, V. (2016). </w:t>
      </w:r>
      <w:r w:rsidRPr="00697F3B">
        <w:rPr>
          <w:color w:val="000000" w:themeColor="text1"/>
        </w:rPr>
        <w:t xml:space="preserve">L’investissement socialement responsable en Belgique. </w:t>
      </w:r>
      <w:proofErr w:type="spellStart"/>
      <w:r w:rsidRPr="003278DD">
        <w:rPr>
          <w:color w:val="000000" w:themeColor="text1"/>
          <w:lang w:val="en-US"/>
        </w:rPr>
        <w:t>Financité</w:t>
      </w:r>
      <w:proofErr w:type="spellEnd"/>
      <w:r w:rsidRPr="003278DD">
        <w:rPr>
          <w:color w:val="000000" w:themeColor="text1"/>
          <w:lang w:val="en-US"/>
        </w:rPr>
        <w:t xml:space="preserve">. </w:t>
      </w:r>
      <w:r w:rsidRPr="00311BF5">
        <w:rPr>
          <w:color w:val="000000" w:themeColor="text1"/>
          <w:lang w:val="en-US"/>
        </w:rPr>
        <w:t>Retrieved May, 21, 2024, from</w:t>
      </w:r>
      <w:r w:rsidR="00311BF5" w:rsidRPr="00311BF5">
        <w:rPr>
          <w:color w:val="000000" w:themeColor="text1"/>
          <w:lang w:val="en-US"/>
        </w:rPr>
        <w:t xml:space="preserve"> </w:t>
      </w:r>
      <w:hyperlink r:id="rId12" w:tgtFrame="_blank" w:tooltip="https://www.financite.be/sites/default/files/references/files/170512-rfa_rapport2016-web_0.pdf" w:history="1">
        <w:r w:rsidR="00311BF5" w:rsidRPr="00311BF5">
          <w:rPr>
            <w:rStyle w:val="Lienhypertexte"/>
            <w:lang w:val="en-US"/>
          </w:rPr>
          <w:t>https://www.financite.be/sites/default/files/references/files/170512-rfa_rapport2016-web_0.pdf</w:t>
        </w:r>
      </w:hyperlink>
    </w:p>
    <w:p w14:paraId="244DD095" w14:textId="06304FA1" w:rsidR="005034CA" w:rsidRPr="00697F3B" w:rsidRDefault="003C107B" w:rsidP="00327D34">
      <w:pPr>
        <w:pStyle w:val="NormalWeb"/>
        <w:spacing w:before="0" w:beforeAutospacing="0" w:after="0" w:afterAutospacing="0" w:line="360" w:lineRule="auto"/>
        <w:ind w:left="709" w:hanging="709"/>
        <w:rPr>
          <w:color w:val="00B050"/>
          <w:lang w:val="en-US"/>
        </w:rPr>
      </w:pPr>
      <w:r w:rsidRPr="004E3E3A">
        <w:rPr>
          <w:color w:val="000000" w:themeColor="text1"/>
          <w:lang w:val="en-US"/>
        </w:rPr>
        <w:t xml:space="preserve">Bayot, B., </w:t>
      </w:r>
      <w:proofErr w:type="spellStart"/>
      <w:r w:rsidRPr="004E3E3A">
        <w:rPr>
          <w:color w:val="000000" w:themeColor="text1"/>
          <w:lang w:val="en-US"/>
        </w:rPr>
        <w:t>Arslane</w:t>
      </w:r>
      <w:proofErr w:type="spellEnd"/>
      <w:r w:rsidRPr="004E3E3A">
        <w:rPr>
          <w:color w:val="000000" w:themeColor="text1"/>
          <w:lang w:val="en-US"/>
        </w:rPr>
        <w:t xml:space="preserve"> Medjdoub, F., &amp; Provost, C. (2023). </w:t>
      </w:r>
      <w:r w:rsidR="00E00EA5" w:rsidRPr="00697F3B">
        <w:rPr>
          <w:color w:val="000000" w:themeColor="text1"/>
        </w:rPr>
        <w:t>Rapport sur l’investissement</w:t>
      </w:r>
      <w:r w:rsidR="009A2771" w:rsidRPr="00697F3B">
        <w:rPr>
          <w:color w:val="000000" w:themeColor="text1"/>
        </w:rPr>
        <w:t xml:space="preserve"> </w:t>
      </w:r>
      <w:r w:rsidR="00E00EA5" w:rsidRPr="00697F3B">
        <w:rPr>
          <w:color w:val="000000" w:themeColor="text1"/>
        </w:rPr>
        <w:t>socialement respons</w:t>
      </w:r>
      <w:r w:rsidR="00E502F7" w:rsidRPr="00697F3B">
        <w:rPr>
          <w:color w:val="000000" w:themeColor="text1"/>
        </w:rPr>
        <w:t>a</w:t>
      </w:r>
      <w:r w:rsidR="00E00EA5" w:rsidRPr="00697F3B">
        <w:rPr>
          <w:color w:val="000000" w:themeColor="text1"/>
        </w:rPr>
        <w:t xml:space="preserve">ble en Belgique 2023. </w:t>
      </w:r>
      <w:proofErr w:type="spellStart"/>
      <w:r w:rsidR="00E00EA5" w:rsidRPr="00697F3B">
        <w:rPr>
          <w:color w:val="000000" w:themeColor="text1"/>
          <w:lang w:val="en-US"/>
        </w:rPr>
        <w:t>Financité</w:t>
      </w:r>
      <w:proofErr w:type="spellEnd"/>
      <w:r w:rsidR="00E00EA5" w:rsidRPr="00697F3B">
        <w:rPr>
          <w:color w:val="000000" w:themeColor="text1"/>
          <w:lang w:val="en-US"/>
        </w:rPr>
        <w:t xml:space="preserve">. Retrieved January, </w:t>
      </w:r>
      <w:r w:rsidR="005034CA" w:rsidRPr="00697F3B">
        <w:rPr>
          <w:color w:val="000000" w:themeColor="text1"/>
          <w:lang w:val="en-US"/>
        </w:rPr>
        <w:t>18, 202</w:t>
      </w:r>
      <w:r w:rsidR="006B3CE6" w:rsidRPr="00697F3B">
        <w:rPr>
          <w:color w:val="000000" w:themeColor="text1"/>
          <w:lang w:val="en-US"/>
        </w:rPr>
        <w:t>4</w:t>
      </w:r>
      <w:r w:rsidR="005034CA" w:rsidRPr="00697F3B">
        <w:rPr>
          <w:color w:val="000000" w:themeColor="text1"/>
          <w:lang w:val="en-US"/>
        </w:rPr>
        <w:t>, from</w:t>
      </w:r>
      <w:r w:rsidR="006B3CE6" w:rsidRPr="00697F3B">
        <w:rPr>
          <w:color w:val="000000" w:themeColor="text1"/>
          <w:lang w:val="en-US"/>
        </w:rPr>
        <w:t xml:space="preserve"> </w:t>
      </w:r>
      <w:hyperlink r:id="rId13" w:history="1">
        <w:r w:rsidR="006B3CE6" w:rsidRPr="00697F3B">
          <w:rPr>
            <w:rStyle w:val="Lienhypertexte"/>
            <w:lang w:val="en-US"/>
          </w:rPr>
          <w:t>https://www.financite.be/sites/default/files/references/files/rapport_isr_2023_0.pdf</w:t>
        </w:r>
      </w:hyperlink>
      <w:r w:rsidR="006B3CE6" w:rsidRPr="00697F3B">
        <w:rPr>
          <w:color w:val="00B050"/>
          <w:lang w:val="en-US"/>
        </w:rPr>
        <w:t xml:space="preserve"> </w:t>
      </w:r>
    </w:p>
    <w:p w14:paraId="425128BA" w14:textId="3357ECA4" w:rsidR="00EA0107" w:rsidRPr="003278DD" w:rsidRDefault="00EA0107" w:rsidP="003739A1">
      <w:pPr>
        <w:pStyle w:val="NormalWeb"/>
        <w:spacing w:before="0" w:beforeAutospacing="0" w:after="0" w:afterAutospacing="0" w:line="360" w:lineRule="auto"/>
      </w:pPr>
      <w:r w:rsidRPr="003278DD">
        <w:t>Berg</w:t>
      </w:r>
      <w:r w:rsidR="00144B16" w:rsidRPr="003278DD">
        <w:t>,</w:t>
      </w:r>
      <w:r w:rsidRPr="003278DD">
        <w:t xml:space="preserve"> F., </w:t>
      </w:r>
      <w:proofErr w:type="spellStart"/>
      <w:r w:rsidRPr="003278DD">
        <w:t>Koelbel</w:t>
      </w:r>
      <w:proofErr w:type="spellEnd"/>
      <w:r w:rsidR="00144B16" w:rsidRPr="003278DD">
        <w:t>,</w:t>
      </w:r>
      <w:r w:rsidRPr="003278DD">
        <w:t xml:space="preserve"> J.F. et </w:t>
      </w:r>
      <w:proofErr w:type="spellStart"/>
      <w:r w:rsidRPr="003278DD">
        <w:t>Rigobon</w:t>
      </w:r>
      <w:proofErr w:type="spellEnd"/>
      <w:r w:rsidR="00144B16" w:rsidRPr="003278DD">
        <w:t>,</w:t>
      </w:r>
      <w:r w:rsidRPr="003278DD">
        <w:t xml:space="preserve"> R. </w:t>
      </w:r>
      <w:r w:rsidR="00F40AB7" w:rsidRPr="003278DD">
        <w:t>(</w:t>
      </w:r>
      <w:r w:rsidRPr="003278DD">
        <w:t>2019</w:t>
      </w:r>
      <w:r w:rsidR="00F40AB7" w:rsidRPr="003278DD">
        <w:t>)</w:t>
      </w:r>
      <w:r w:rsidR="00144B16" w:rsidRPr="003278DD">
        <w:t xml:space="preserve">. </w:t>
      </w:r>
      <w:r w:rsidRPr="00697F3B">
        <w:rPr>
          <w:lang w:val="en-US"/>
        </w:rPr>
        <w:t>Aggregate Confusion: The Divergence of ESG</w:t>
      </w:r>
      <w:r w:rsidR="00E73DCB" w:rsidRPr="00697F3B">
        <w:rPr>
          <w:lang w:val="en-US"/>
        </w:rPr>
        <w:tab/>
      </w:r>
      <w:r w:rsidRPr="00697F3B">
        <w:rPr>
          <w:lang w:val="en-US"/>
        </w:rPr>
        <w:t>Ratings</w:t>
      </w:r>
      <w:r w:rsidR="00144B16" w:rsidRPr="00697F3B">
        <w:rPr>
          <w:lang w:val="en-US"/>
        </w:rPr>
        <w:t xml:space="preserve">. </w:t>
      </w:r>
      <w:r w:rsidR="006724EB" w:rsidRPr="003278DD">
        <w:t xml:space="preserve">Article publié en 2022. In </w:t>
      </w:r>
      <w:proofErr w:type="spellStart"/>
      <w:r w:rsidR="006724EB" w:rsidRPr="003278DD">
        <w:rPr>
          <w:i/>
          <w:iCs/>
        </w:rPr>
        <w:t>Review</w:t>
      </w:r>
      <w:proofErr w:type="spellEnd"/>
      <w:r w:rsidR="006724EB" w:rsidRPr="003278DD">
        <w:rPr>
          <w:i/>
          <w:iCs/>
        </w:rPr>
        <w:t xml:space="preserve"> of Finance</w:t>
      </w:r>
      <w:r w:rsidR="006724EB" w:rsidRPr="003278DD">
        <w:t>, 6 (26)</w:t>
      </w:r>
      <w:r w:rsidR="00F40AB7" w:rsidRPr="003278DD">
        <w:t xml:space="preserve">, </w:t>
      </w:r>
      <w:r w:rsidR="006724EB" w:rsidRPr="003278DD">
        <w:t>1315-1344.</w:t>
      </w:r>
    </w:p>
    <w:p w14:paraId="575399B0" w14:textId="785580A9" w:rsidR="00EA0107" w:rsidRPr="00697F3B" w:rsidRDefault="00EA0107" w:rsidP="003739A1">
      <w:pPr>
        <w:pStyle w:val="NormalWeb"/>
        <w:spacing w:before="0" w:beforeAutospacing="0" w:after="0" w:afterAutospacing="0" w:line="360" w:lineRule="auto"/>
      </w:pPr>
      <w:proofErr w:type="spellStart"/>
      <w:r w:rsidRPr="00697F3B">
        <w:t>Boiti</w:t>
      </w:r>
      <w:proofErr w:type="spellEnd"/>
      <w:r w:rsidR="00FC68ED" w:rsidRPr="00697F3B">
        <w:t xml:space="preserve">, </w:t>
      </w:r>
      <w:r w:rsidRPr="00697F3B">
        <w:t xml:space="preserve">M. </w:t>
      </w:r>
      <w:r w:rsidR="00F40AB7" w:rsidRPr="00697F3B">
        <w:t>(</w:t>
      </w:r>
      <w:r w:rsidRPr="00697F3B">
        <w:t>2019</w:t>
      </w:r>
      <w:r w:rsidR="00F40AB7" w:rsidRPr="00697F3B">
        <w:t>)</w:t>
      </w:r>
      <w:r w:rsidR="00FC68ED" w:rsidRPr="00697F3B">
        <w:t xml:space="preserve">. </w:t>
      </w:r>
      <w:r w:rsidRPr="00697F3B">
        <w:rPr>
          <w:i/>
          <w:iCs/>
        </w:rPr>
        <w:t xml:space="preserve">Mesure et </w:t>
      </w:r>
      <w:proofErr w:type="spellStart"/>
      <w:r w:rsidRPr="00697F3B">
        <w:rPr>
          <w:i/>
          <w:iCs/>
        </w:rPr>
        <w:t>évaluation</w:t>
      </w:r>
      <w:proofErr w:type="spellEnd"/>
      <w:r w:rsidRPr="00697F3B">
        <w:rPr>
          <w:i/>
          <w:iCs/>
        </w:rPr>
        <w:t xml:space="preserve"> de la </w:t>
      </w:r>
      <w:proofErr w:type="spellStart"/>
      <w:r w:rsidRPr="00697F3B">
        <w:rPr>
          <w:i/>
          <w:iCs/>
        </w:rPr>
        <w:t>rentabilite</w:t>
      </w:r>
      <w:proofErr w:type="spellEnd"/>
      <w:r w:rsidRPr="00697F3B">
        <w:rPr>
          <w:i/>
          <w:iCs/>
        </w:rPr>
        <w:t xml:space="preserve">́ </w:t>
      </w:r>
      <w:proofErr w:type="spellStart"/>
      <w:r w:rsidRPr="00697F3B">
        <w:rPr>
          <w:i/>
          <w:iCs/>
        </w:rPr>
        <w:t>financière</w:t>
      </w:r>
      <w:proofErr w:type="spellEnd"/>
      <w:r w:rsidRPr="00697F3B">
        <w:rPr>
          <w:i/>
          <w:iCs/>
        </w:rPr>
        <w:t xml:space="preserve"> d’un portefeuille</w:t>
      </w:r>
      <w:r w:rsidR="00E73DCB" w:rsidRPr="00697F3B">
        <w:rPr>
          <w:i/>
          <w:iCs/>
        </w:rPr>
        <w:tab/>
      </w:r>
      <w:r w:rsidRPr="00697F3B">
        <w:rPr>
          <w:i/>
          <w:iCs/>
        </w:rPr>
        <w:t xml:space="preserve">socialement responsable sur le </w:t>
      </w:r>
      <w:r w:rsidR="00FC68ED" w:rsidRPr="00697F3B">
        <w:rPr>
          <w:i/>
          <w:iCs/>
        </w:rPr>
        <w:t>marché</w:t>
      </w:r>
      <w:r w:rsidRPr="00697F3B">
        <w:rPr>
          <w:i/>
          <w:iCs/>
        </w:rPr>
        <w:t xml:space="preserve"> boursier marocain</w:t>
      </w:r>
      <w:r w:rsidRPr="00697F3B">
        <w:t xml:space="preserve">, </w:t>
      </w:r>
      <w:proofErr w:type="spellStart"/>
      <w:r w:rsidRPr="00697F3B">
        <w:t>Thèse</w:t>
      </w:r>
      <w:proofErr w:type="spellEnd"/>
      <w:r w:rsidRPr="00697F3B">
        <w:t xml:space="preserve"> de doctorat en</w:t>
      </w:r>
      <w:r w:rsidR="00E73DCB" w:rsidRPr="00697F3B">
        <w:tab/>
      </w:r>
      <w:r w:rsidRPr="00697F3B">
        <w:t xml:space="preserve">sciences de gestion, </w:t>
      </w:r>
      <w:proofErr w:type="spellStart"/>
      <w:r w:rsidRPr="00697F3B">
        <w:t>Universite</w:t>
      </w:r>
      <w:proofErr w:type="spellEnd"/>
      <w:r w:rsidRPr="00697F3B">
        <w:t xml:space="preserve">́ </w:t>
      </w:r>
      <w:proofErr w:type="spellStart"/>
      <w:r w:rsidRPr="00697F3B">
        <w:t>Hassaan</w:t>
      </w:r>
      <w:proofErr w:type="spellEnd"/>
      <w:r w:rsidRPr="00697F3B">
        <w:t xml:space="preserve"> II – Casablanca, Maroc</w:t>
      </w:r>
      <w:r w:rsidR="00FC68ED" w:rsidRPr="00697F3B">
        <w:t>.</w:t>
      </w:r>
    </w:p>
    <w:p w14:paraId="3D3BDBE4" w14:textId="4725D0F4" w:rsidR="00EA0107" w:rsidRPr="00697F3B" w:rsidRDefault="00EA0107" w:rsidP="003739A1">
      <w:pPr>
        <w:pStyle w:val="NormalWeb"/>
        <w:spacing w:before="0" w:beforeAutospacing="0" w:after="0" w:afterAutospacing="0" w:line="360" w:lineRule="auto"/>
        <w:rPr>
          <w:lang w:val="en-US"/>
        </w:rPr>
      </w:pPr>
      <w:r w:rsidRPr="003278DD">
        <w:rPr>
          <w:lang w:val="en-US"/>
        </w:rPr>
        <w:t>Bouten</w:t>
      </w:r>
      <w:r w:rsidR="00FC68ED" w:rsidRPr="003278DD">
        <w:rPr>
          <w:lang w:val="en-US"/>
        </w:rPr>
        <w:t>,</w:t>
      </w:r>
      <w:r w:rsidRPr="003278DD">
        <w:rPr>
          <w:lang w:val="en-US"/>
        </w:rPr>
        <w:t xml:space="preserve"> L., Cho</w:t>
      </w:r>
      <w:r w:rsidR="00FC68ED" w:rsidRPr="003278DD">
        <w:rPr>
          <w:lang w:val="en-US"/>
        </w:rPr>
        <w:t>,</w:t>
      </w:r>
      <w:r w:rsidRPr="003278DD">
        <w:rPr>
          <w:lang w:val="en-US"/>
        </w:rPr>
        <w:t xml:space="preserve"> C.H., Michelon</w:t>
      </w:r>
      <w:r w:rsidR="00FC68ED" w:rsidRPr="003278DD">
        <w:rPr>
          <w:lang w:val="en-US"/>
        </w:rPr>
        <w:t xml:space="preserve">, </w:t>
      </w:r>
      <w:r w:rsidRPr="003278DD">
        <w:rPr>
          <w:lang w:val="en-US"/>
        </w:rPr>
        <w:t>G</w:t>
      </w:r>
      <w:r w:rsidR="00FC68ED" w:rsidRPr="003278DD">
        <w:rPr>
          <w:lang w:val="en-US"/>
        </w:rPr>
        <w:t>.</w:t>
      </w:r>
      <w:r w:rsidRPr="003278DD">
        <w:rPr>
          <w:lang w:val="en-US"/>
        </w:rPr>
        <w:t xml:space="preserve"> </w:t>
      </w:r>
      <w:r w:rsidR="006724EB" w:rsidRPr="003278DD">
        <w:rPr>
          <w:lang w:val="en-US"/>
        </w:rPr>
        <w:t>&amp;</w:t>
      </w:r>
      <w:r w:rsidRPr="003278DD">
        <w:rPr>
          <w:lang w:val="en-US"/>
        </w:rPr>
        <w:t xml:space="preserve"> Roberts</w:t>
      </w:r>
      <w:r w:rsidR="00FC68ED" w:rsidRPr="003278DD">
        <w:rPr>
          <w:lang w:val="en-US"/>
        </w:rPr>
        <w:t xml:space="preserve">, </w:t>
      </w:r>
      <w:r w:rsidRPr="003278DD">
        <w:rPr>
          <w:lang w:val="en-US"/>
        </w:rPr>
        <w:t xml:space="preserve">R.W. </w:t>
      </w:r>
      <w:r w:rsidR="00F40AB7" w:rsidRPr="003278DD">
        <w:rPr>
          <w:lang w:val="en-US"/>
        </w:rPr>
        <w:t>(</w:t>
      </w:r>
      <w:r w:rsidRPr="003278DD">
        <w:rPr>
          <w:lang w:val="en-US"/>
        </w:rPr>
        <w:t>2017</w:t>
      </w:r>
      <w:r w:rsidR="00F40AB7" w:rsidRPr="003278DD">
        <w:rPr>
          <w:lang w:val="en-US"/>
        </w:rPr>
        <w:t>)</w:t>
      </w:r>
      <w:r w:rsidR="00FC68ED" w:rsidRPr="003278DD">
        <w:rPr>
          <w:lang w:val="en-US"/>
        </w:rPr>
        <w:t>.</w:t>
      </w:r>
      <w:r w:rsidRPr="003278DD">
        <w:rPr>
          <w:lang w:val="en-US"/>
        </w:rPr>
        <w:t xml:space="preserve"> </w:t>
      </w:r>
      <w:r w:rsidRPr="00697F3B">
        <w:rPr>
          <w:lang w:val="en-US"/>
        </w:rPr>
        <w:t>CSR performance proxies in</w:t>
      </w:r>
      <w:r w:rsidR="00E73DCB" w:rsidRPr="00697F3B">
        <w:rPr>
          <w:lang w:val="en-US"/>
        </w:rPr>
        <w:tab/>
      </w:r>
      <w:r w:rsidRPr="00697F3B">
        <w:rPr>
          <w:lang w:val="en-US"/>
        </w:rPr>
        <w:t>large- sample studies: ’Umbrella advocates’, construct clarity and the ’validity police’</w:t>
      </w:r>
      <w:r w:rsidR="006724EB" w:rsidRPr="00697F3B">
        <w:rPr>
          <w:lang w:val="en-US"/>
        </w:rPr>
        <w:t>.</w:t>
      </w:r>
      <w:r w:rsidR="00E73DCB" w:rsidRPr="00697F3B">
        <w:rPr>
          <w:lang w:val="en-US"/>
        </w:rPr>
        <w:tab/>
      </w:r>
      <w:r w:rsidRPr="00697F3B">
        <w:rPr>
          <w:lang w:val="en-US"/>
        </w:rPr>
        <w:t xml:space="preserve">Working Paper. </w:t>
      </w:r>
      <w:r w:rsidR="00F40AB7" w:rsidRPr="00697F3B">
        <w:rPr>
          <w:lang w:val="en-US"/>
        </w:rPr>
        <w:t>Retrieved February 6, 2022, from</w:t>
      </w:r>
      <w:r w:rsidR="00E73DCB" w:rsidRPr="00697F3B">
        <w:rPr>
          <w:lang w:val="en-US"/>
        </w:rPr>
        <w:tab/>
      </w:r>
      <w:hyperlink r:id="rId14" w:history="1">
        <w:r w:rsidR="00E73DCB" w:rsidRPr="00697F3B">
          <w:rPr>
            <w:rStyle w:val="Lienhypertexte"/>
            <w:lang w:val="en-US"/>
          </w:rPr>
          <w:t>https://papers.ssrn.com/sol3/papers.cfm?abstract_id=3107182</w:t>
        </w:r>
      </w:hyperlink>
    </w:p>
    <w:p w14:paraId="3C6F8355" w14:textId="27CA3F67" w:rsidR="00EA0107" w:rsidRPr="00697F3B" w:rsidRDefault="00EA0107" w:rsidP="003739A1">
      <w:pPr>
        <w:pStyle w:val="NormalWeb"/>
        <w:spacing w:before="0" w:beforeAutospacing="0" w:after="0" w:afterAutospacing="0" w:line="360" w:lineRule="auto"/>
        <w:rPr>
          <w:color w:val="0260BF"/>
          <w:lang w:val="en-US"/>
        </w:rPr>
      </w:pPr>
      <w:proofErr w:type="spellStart"/>
      <w:r w:rsidRPr="00697F3B">
        <w:t>Burlacu</w:t>
      </w:r>
      <w:proofErr w:type="spellEnd"/>
      <w:r w:rsidR="006724EB" w:rsidRPr="00697F3B">
        <w:t xml:space="preserve">, </w:t>
      </w:r>
      <w:r w:rsidRPr="00697F3B">
        <w:t xml:space="preserve">R., </w:t>
      </w:r>
      <w:proofErr w:type="spellStart"/>
      <w:r w:rsidRPr="00697F3B">
        <w:t>Girerd</w:t>
      </w:r>
      <w:proofErr w:type="spellEnd"/>
      <w:r w:rsidRPr="00697F3B">
        <w:t>-Potin</w:t>
      </w:r>
      <w:r w:rsidR="006724EB" w:rsidRPr="00697F3B">
        <w:t>,</w:t>
      </w:r>
      <w:r w:rsidRPr="00697F3B">
        <w:t xml:space="preserve"> I. et </w:t>
      </w:r>
      <w:proofErr w:type="spellStart"/>
      <w:r w:rsidRPr="00697F3B">
        <w:t>Dupre</w:t>
      </w:r>
      <w:proofErr w:type="spellEnd"/>
      <w:r w:rsidRPr="00697F3B">
        <w:t>́</w:t>
      </w:r>
      <w:r w:rsidR="006724EB" w:rsidRPr="00697F3B">
        <w:t>,</w:t>
      </w:r>
      <w:r w:rsidRPr="00697F3B">
        <w:t xml:space="preserve"> D.</w:t>
      </w:r>
      <w:r w:rsidR="00DE2E13" w:rsidRPr="00697F3B">
        <w:t xml:space="preserve"> (</w:t>
      </w:r>
      <w:r w:rsidRPr="00697F3B">
        <w:t>2003</w:t>
      </w:r>
      <w:r w:rsidR="00DE2E13" w:rsidRPr="00697F3B">
        <w:t>)</w:t>
      </w:r>
      <w:r w:rsidR="006724EB" w:rsidRPr="00697F3B">
        <w:t xml:space="preserve">. </w:t>
      </w:r>
      <w:r w:rsidRPr="00697F3B">
        <w:t xml:space="preserve">Y a-t-il un sacrifice à </w:t>
      </w:r>
      <w:proofErr w:type="spellStart"/>
      <w:r w:rsidRPr="00697F3B">
        <w:t>être</w:t>
      </w:r>
      <w:proofErr w:type="spellEnd"/>
      <w:r w:rsidRPr="00697F3B">
        <w:t xml:space="preserve"> </w:t>
      </w:r>
      <w:proofErr w:type="spellStart"/>
      <w:r w:rsidRPr="00697F3B">
        <w:t>éthique</w:t>
      </w:r>
      <w:proofErr w:type="spellEnd"/>
      <w:r w:rsidRPr="00697F3B">
        <w:t xml:space="preserve"> ? Une</w:t>
      </w:r>
      <w:r w:rsidR="00E73DCB" w:rsidRPr="00697F3B">
        <w:tab/>
      </w:r>
      <w:proofErr w:type="spellStart"/>
      <w:r w:rsidRPr="00697F3B">
        <w:t>étude</w:t>
      </w:r>
      <w:proofErr w:type="spellEnd"/>
      <w:r w:rsidRPr="00697F3B">
        <w:t xml:space="preserve"> de performance des fonds socialement responsables </w:t>
      </w:r>
      <w:proofErr w:type="spellStart"/>
      <w:r w:rsidRPr="00697F3B">
        <w:t>américains</w:t>
      </w:r>
      <w:proofErr w:type="spellEnd"/>
      <w:r w:rsidR="006724EB" w:rsidRPr="00697F3B">
        <w:t xml:space="preserve">. </w:t>
      </w:r>
      <w:r w:rsidRPr="00697F3B">
        <w:t>ESA – GERAG,</w:t>
      </w:r>
      <w:r w:rsidR="00E73DCB" w:rsidRPr="00697F3B">
        <w:tab/>
      </w:r>
      <w:proofErr w:type="spellStart"/>
      <w:r w:rsidRPr="00697F3B">
        <w:t>Universite</w:t>
      </w:r>
      <w:proofErr w:type="spellEnd"/>
      <w:r w:rsidRPr="00697F3B">
        <w:t>́ Grenoble 2</w:t>
      </w:r>
      <w:r w:rsidR="006724EB" w:rsidRPr="00697F3B">
        <w:t xml:space="preserve">. </w:t>
      </w:r>
      <w:r w:rsidR="00885064" w:rsidRPr="00697F3B">
        <w:rPr>
          <w:lang w:val="en-US"/>
        </w:rPr>
        <w:t>Retrieved February 6, 2022, from</w:t>
      </w:r>
      <w:r w:rsidR="00E73DCB" w:rsidRPr="00697F3B">
        <w:rPr>
          <w:lang w:val="en-US"/>
        </w:rPr>
        <w:tab/>
      </w:r>
      <w:hyperlink r:id="rId15" w:history="1">
        <w:r w:rsidR="0086274B" w:rsidRPr="00697F3B">
          <w:rPr>
            <w:rStyle w:val="Lienhypertexte"/>
            <w:lang w:val="en-US"/>
          </w:rPr>
          <w:t>https://www.researchgate.net/publication/228461599_Y%27a-</w:t>
        </w:r>
        <w:r w:rsidR="0086274B" w:rsidRPr="00697F3B">
          <w:rPr>
            <w:rStyle w:val="Lienhypertexte"/>
            <w:u w:val="none"/>
            <w:lang w:val="en-US"/>
          </w:rPr>
          <w:lastRenderedPageBreak/>
          <w:tab/>
        </w:r>
        <w:r w:rsidR="0086274B" w:rsidRPr="00697F3B">
          <w:rPr>
            <w:rStyle w:val="Lienhypertexte"/>
            <w:lang w:val="en-US"/>
          </w:rPr>
          <w:t>til_un_sacrifice_a_etre_ethique_Une_etude_de_performance_des_fonds_socialement</w:t>
        </w:r>
        <w:r w:rsidR="0086274B" w:rsidRPr="00697F3B">
          <w:rPr>
            <w:rStyle w:val="Lienhypertexte"/>
            <w:u w:val="none"/>
            <w:lang w:val="en-US"/>
          </w:rPr>
          <w:tab/>
        </w:r>
        <w:proofErr w:type="spellStart"/>
        <w:r w:rsidR="0086274B" w:rsidRPr="00697F3B">
          <w:rPr>
            <w:rStyle w:val="Lienhypertexte"/>
            <w:lang w:val="en-US"/>
          </w:rPr>
          <w:t>responsables_americains</w:t>
        </w:r>
        <w:proofErr w:type="spellEnd"/>
      </w:hyperlink>
    </w:p>
    <w:p w14:paraId="52052E9E" w14:textId="0507DF5A" w:rsidR="0086274B" w:rsidRPr="00697F3B" w:rsidRDefault="00EA0107" w:rsidP="003739A1">
      <w:pPr>
        <w:pStyle w:val="NormalWeb"/>
        <w:spacing w:before="0" w:beforeAutospacing="0" w:after="0" w:afterAutospacing="0" w:line="360" w:lineRule="auto"/>
        <w:rPr>
          <w:lang w:val="en-US"/>
        </w:rPr>
      </w:pPr>
      <w:proofErr w:type="spellStart"/>
      <w:r w:rsidRPr="00697F3B">
        <w:t>Cambourg</w:t>
      </w:r>
      <w:proofErr w:type="spellEnd"/>
      <w:r w:rsidR="00353D76" w:rsidRPr="00697F3B">
        <w:t xml:space="preserve">, </w:t>
      </w:r>
      <w:r w:rsidRPr="00697F3B">
        <w:t xml:space="preserve">P. </w:t>
      </w:r>
      <w:r w:rsidR="00DE2E13" w:rsidRPr="00697F3B">
        <w:t>(</w:t>
      </w:r>
      <w:r w:rsidRPr="00697F3B">
        <w:t>2019</w:t>
      </w:r>
      <w:r w:rsidR="00DE2E13" w:rsidRPr="00697F3B">
        <w:t>)</w:t>
      </w:r>
      <w:r w:rsidR="00353D76" w:rsidRPr="00697F3B">
        <w:t xml:space="preserve">. </w:t>
      </w:r>
      <w:r w:rsidRPr="00697F3B">
        <w:t xml:space="preserve">Garantir la pertinence et la </w:t>
      </w:r>
      <w:proofErr w:type="spellStart"/>
      <w:r w:rsidRPr="00697F3B">
        <w:t>qualite</w:t>
      </w:r>
      <w:proofErr w:type="spellEnd"/>
      <w:r w:rsidRPr="00697F3B">
        <w:t xml:space="preserve">́ de l’information </w:t>
      </w:r>
      <w:proofErr w:type="spellStart"/>
      <w:r w:rsidRPr="00697F3B">
        <w:t>extra-financière</w:t>
      </w:r>
      <w:proofErr w:type="spellEnd"/>
      <w:r w:rsidRPr="00697F3B">
        <w:t xml:space="preserve"> des</w:t>
      </w:r>
      <w:r w:rsidR="0086274B" w:rsidRPr="00697F3B">
        <w:tab/>
      </w:r>
      <w:r w:rsidRPr="00697F3B">
        <w:t>entreprises : une ambition et un atout pour une Europe durable, Rapport au ministre</w:t>
      </w:r>
      <w:r w:rsidR="0086274B" w:rsidRPr="00697F3B">
        <w:tab/>
      </w:r>
      <w:proofErr w:type="spellStart"/>
      <w:r w:rsidRPr="00697F3B">
        <w:t>français</w:t>
      </w:r>
      <w:proofErr w:type="spellEnd"/>
      <w:r w:rsidRPr="00697F3B">
        <w:t xml:space="preserve"> de l’</w:t>
      </w:r>
      <w:proofErr w:type="spellStart"/>
      <w:r w:rsidRPr="00697F3B">
        <w:t>Économie</w:t>
      </w:r>
      <w:proofErr w:type="spellEnd"/>
      <w:r w:rsidRPr="00697F3B">
        <w:t xml:space="preserve"> et des Finances</w:t>
      </w:r>
      <w:r w:rsidR="00353D76" w:rsidRPr="00697F3B">
        <w:t>, France.</w:t>
      </w:r>
      <w:r w:rsidR="00DE2E13" w:rsidRPr="00697F3B">
        <w:t xml:space="preserve"> </w:t>
      </w:r>
      <w:r w:rsidR="00DE2E13" w:rsidRPr="00697F3B">
        <w:rPr>
          <w:lang w:val="en-US"/>
        </w:rPr>
        <w:t>Retrieved February 6, 2022, from</w:t>
      </w:r>
      <w:r w:rsidR="0086274B" w:rsidRPr="00697F3B">
        <w:rPr>
          <w:lang w:val="en-US"/>
        </w:rPr>
        <w:t xml:space="preserve"> </w:t>
      </w:r>
    </w:p>
    <w:p w14:paraId="23A9FEC9" w14:textId="2C7C9DC7" w:rsidR="00DE2E13" w:rsidRPr="00697F3B" w:rsidRDefault="0086274B" w:rsidP="003739A1">
      <w:pPr>
        <w:pStyle w:val="NormalWeb"/>
        <w:spacing w:before="0" w:beforeAutospacing="0" w:after="0" w:afterAutospacing="0" w:line="360" w:lineRule="auto"/>
        <w:ind w:left="708"/>
        <w:rPr>
          <w:lang w:val="en-US"/>
        </w:rPr>
      </w:pPr>
      <w:hyperlink r:id="rId16" w:history="1">
        <w:r w:rsidRPr="00697F3B">
          <w:rPr>
            <w:rStyle w:val="Lienhypertexte"/>
            <w:lang w:val="en-US"/>
          </w:rPr>
          <w:t>https://www.aefr.eu/en/news/5408/garantir-la-pertinence-et-la-qualite-de-%09linformation-extra-financiere-des-entreprises-une-ambition-et-un-atout-pour-une-europe-durable</w:t>
        </w:r>
      </w:hyperlink>
      <w:r w:rsidRPr="00697F3B">
        <w:rPr>
          <w:lang w:val="en-US"/>
        </w:rPr>
        <w:t xml:space="preserve"> </w:t>
      </w:r>
      <w:r w:rsidRPr="00697F3B">
        <w:rPr>
          <w:lang w:val="en-US"/>
        </w:rPr>
        <w:tab/>
      </w:r>
    </w:p>
    <w:p w14:paraId="451390F9" w14:textId="76ACCABB" w:rsidR="00EA0107" w:rsidRPr="00697F3B" w:rsidRDefault="00EA0107" w:rsidP="003739A1">
      <w:pPr>
        <w:pStyle w:val="NormalWeb"/>
        <w:spacing w:before="0" w:beforeAutospacing="0" w:after="0" w:afterAutospacing="0" w:line="360" w:lineRule="auto"/>
        <w:rPr>
          <w:color w:val="0260BF"/>
          <w:lang w:val="en-US"/>
        </w:rPr>
      </w:pPr>
      <w:r w:rsidRPr="00697F3B">
        <w:t>Candelon</w:t>
      </w:r>
      <w:r w:rsidR="00353D76" w:rsidRPr="00697F3B">
        <w:t>,</w:t>
      </w:r>
      <w:r w:rsidRPr="00697F3B">
        <w:t xml:space="preserve"> B., Hasse</w:t>
      </w:r>
      <w:r w:rsidR="00353D76" w:rsidRPr="00697F3B">
        <w:t>,</w:t>
      </w:r>
      <w:r w:rsidRPr="00697F3B">
        <w:t xml:space="preserve"> J-B. </w:t>
      </w:r>
      <w:r w:rsidR="00353D76" w:rsidRPr="00697F3B">
        <w:rPr>
          <w:lang w:val="en-US"/>
        </w:rPr>
        <w:t>&amp;</w:t>
      </w:r>
      <w:r w:rsidRPr="00697F3B">
        <w:rPr>
          <w:lang w:val="en-US"/>
        </w:rPr>
        <w:t xml:space="preserve"> Lajaunie</w:t>
      </w:r>
      <w:r w:rsidR="00353D76" w:rsidRPr="00697F3B">
        <w:rPr>
          <w:lang w:val="en-US"/>
        </w:rPr>
        <w:t>,</w:t>
      </w:r>
      <w:r w:rsidRPr="00697F3B">
        <w:rPr>
          <w:lang w:val="en-US"/>
        </w:rPr>
        <w:t xml:space="preserve"> Q. </w:t>
      </w:r>
      <w:r w:rsidR="00B92CEC" w:rsidRPr="00697F3B">
        <w:rPr>
          <w:lang w:val="en-US"/>
        </w:rPr>
        <w:t>(</w:t>
      </w:r>
      <w:r w:rsidRPr="00697F3B">
        <w:rPr>
          <w:lang w:val="en-US"/>
        </w:rPr>
        <w:t>2021</w:t>
      </w:r>
      <w:r w:rsidR="00B92CEC" w:rsidRPr="00697F3B">
        <w:rPr>
          <w:lang w:val="en-US"/>
        </w:rPr>
        <w:t>)</w:t>
      </w:r>
      <w:r w:rsidR="00353D76" w:rsidRPr="00697F3B">
        <w:rPr>
          <w:lang w:val="en-US"/>
        </w:rPr>
        <w:t xml:space="preserve">. </w:t>
      </w:r>
      <w:r w:rsidRPr="00697F3B">
        <w:rPr>
          <w:lang w:val="en-US"/>
        </w:rPr>
        <w:t>ESG-Washing in the mutual Funds</w:t>
      </w:r>
      <w:r w:rsidR="0086274B" w:rsidRPr="00697F3B">
        <w:rPr>
          <w:lang w:val="en-US"/>
        </w:rPr>
        <w:tab/>
      </w:r>
      <w:r w:rsidRPr="00697F3B">
        <w:rPr>
          <w:lang w:val="en-US"/>
        </w:rPr>
        <w:t>Industry? From Information Asymmetry to Regulation</w:t>
      </w:r>
      <w:r w:rsidR="00353D76" w:rsidRPr="00697F3B">
        <w:rPr>
          <w:lang w:val="en-US"/>
        </w:rPr>
        <w:t xml:space="preserve">. </w:t>
      </w:r>
      <w:r w:rsidRPr="00697F3B">
        <w:rPr>
          <w:i/>
          <w:iCs/>
          <w:lang w:val="en-US"/>
        </w:rPr>
        <w:t>Risks</w:t>
      </w:r>
      <w:r w:rsidRPr="00697F3B">
        <w:rPr>
          <w:lang w:val="en-US"/>
        </w:rPr>
        <w:t>, 9</w:t>
      </w:r>
      <w:r w:rsidR="00353D76" w:rsidRPr="00697F3B">
        <w:rPr>
          <w:lang w:val="en-US"/>
        </w:rPr>
        <w:t xml:space="preserve"> </w:t>
      </w:r>
      <w:r w:rsidRPr="00697F3B">
        <w:rPr>
          <w:lang w:val="en-US"/>
        </w:rPr>
        <w:t>(199)</w:t>
      </w:r>
      <w:r w:rsidR="00353D76" w:rsidRPr="00697F3B">
        <w:rPr>
          <w:lang w:val="en-US"/>
        </w:rPr>
        <w:t xml:space="preserve">. </w:t>
      </w:r>
      <w:r w:rsidR="00B92CEC" w:rsidRPr="00697F3B">
        <w:rPr>
          <w:lang w:val="en-US"/>
        </w:rPr>
        <w:t>Retrieved</w:t>
      </w:r>
      <w:r w:rsidR="0086274B" w:rsidRPr="00697F3B">
        <w:rPr>
          <w:lang w:val="en-US"/>
        </w:rPr>
        <w:tab/>
      </w:r>
      <w:r w:rsidR="00B92CEC" w:rsidRPr="00697F3B">
        <w:rPr>
          <w:lang w:val="en-US"/>
        </w:rPr>
        <w:t>January 27,</w:t>
      </w:r>
      <w:r w:rsidR="0086274B" w:rsidRPr="00697F3B">
        <w:rPr>
          <w:lang w:val="en-US"/>
        </w:rPr>
        <w:t xml:space="preserve"> </w:t>
      </w:r>
      <w:r w:rsidR="00B92CEC" w:rsidRPr="00697F3B">
        <w:rPr>
          <w:lang w:val="en-US"/>
        </w:rPr>
        <w:t xml:space="preserve">2022, from </w:t>
      </w:r>
      <w:hyperlink r:id="rId17" w:history="1">
        <w:r w:rsidR="0086274B" w:rsidRPr="00697F3B">
          <w:rPr>
            <w:rStyle w:val="Lienhypertexte"/>
            <w:lang w:val="en-US"/>
          </w:rPr>
          <w:t>https://www.mdpi.com/2227-9091/9/11/199</w:t>
        </w:r>
      </w:hyperlink>
    </w:p>
    <w:p w14:paraId="1AAD69BD" w14:textId="7A2B444C" w:rsidR="00EA0107" w:rsidRPr="00697F3B" w:rsidRDefault="00EA0107" w:rsidP="003739A1">
      <w:pPr>
        <w:pStyle w:val="NormalWeb"/>
        <w:spacing w:before="0" w:beforeAutospacing="0" w:after="0" w:afterAutospacing="0" w:line="360" w:lineRule="auto"/>
        <w:rPr>
          <w:color w:val="0260BF"/>
        </w:rPr>
      </w:pPr>
      <w:r w:rsidRPr="00697F3B">
        <w:t>Capelle-Blancard</w:t>
      </w:r>
      <w:r w:rsidR="00353D76" w:rsidRPr="00697F3B">
        <w:t xml:space="preserve">, </w:t>
      </w:r>
      <w:r w:rsidRPr="00697F3B">
        <w:t xml:space="preserve">G. et </w:t>
      </w:r>
      <w:proofErr w:type="spellStart"/>
      <w:r w:rsidRPr="00697F3B">
        <w:t>Monjon</w:t>
      </w:r>
      <w:proofErr w:type="spellEnd"/>
      <w:r w:rsidR="00353D76" w:rsidRPr="00697F3B">
        <w:t>,</w:t>
      </w:r>
      <w:r w:rsidRPr="00697F3B">
        <w:t xml:space="preserve"> S. </w:t>
      </w:r>
      <w:r w:rsidR="00B92CEC" w:rsidRPr="00697F3B">
        <w:t>(</w:t>
      </w:r>
      <w:r w:rsidRPr="00697F3B">
        <w:t>2006</w:t>
      </w:r>
      <w:r w:rsidR="00B92CEC" w:rsidRPr="00697F3B">
        <w:t>)</w:t>
      </w:r>
      <w:r w:rsidR="00353D76" w:rsidRPr="00697F3B">
        <w:t xml:space="preserve">. </w:t>
      </w:r>
      <w:r w:rsidRPr="00697F3B">
        <w:t>L’investissement socialement responsable</w:t>
      </w:r>
      <w:r w:rsidR="00353D76" w:rsidRPr="00697F3B">
        <w:t>.</w:t>
      </w:r>
      <w:r w:rsidR="0086274B" w:rsidRPr="00697F3B">
        <w:tab/>
      </w:r>
      <w:proofErr w:type="spellStart"/>
      <w:r w:rsidR="00B92CEC" w:rsidRPr="00697F3B">
        <w:t>Retrieved</w:t>
      </w:r>
      <w:proofErr w:type="spellEnd"/>
      <w:r w:rsidR="00B92CEC" w:rsidRPr="00697F3B">
        <w:t xml:space="preserve"> </w:t>
      </w:r>
      <w:proofErr w:type="spellStart"/>
      <w:r w:rsidR="00B92CEC" w:rsidRPr="00697F3B">
        <w:t>October</w:t>
      </w:r>
      <w:proofErr w:type="spellEnd"/>
      <w:r w:rsidR="00B92CEC" w:rsidRPr="00697F3B">
        <w:t xml:space="preserve"> 3, 2021, </w:t>
      </w:r>
      <w:proofErr w:type="spellStart"/>
      <w:r w:rsidR="00B92CEC" w:rsidRPr="00697F3B">
        <w:t>from</w:t>
      </w:r>
      <w:proofErr w:type="spellEnd"/>
      <w:r w:rsidR="0086274B" w:rsidRPr="00697F3B">
        <w:tab/>
      </w:r>
      <w:hyperlink r:id="rId18" w:history="1">
        <w:r w:rsidR="0086274B" w:rsidRPr="00697F3B">
          <w:rPr>
            <w:rStyle w:val="Lienhypertexte"/>
          </w:rPr>
          <w:t>https://www.financite.be/fr/reference/linvestissement-socialement-responsable-0b</w:t>
        </w:r>
      </w:hyperlink>
    </w:p>
    <w:p w14:paraId="09BE43DE" w14:textId="5F95E16D" w:rsidR="00EA0107" w:rsidRPr="00697F3B" w:rsidRDefault="00EA0107" w:rsidP="003739A1">
      <w:pPr>
        <w:pStyle w:val="NormalWeb"/>
        <w:spacing w:before="0" w:beforeAutospacing="0" w:after="0" w:afterAutospacing="0" w:line="360" w:lineRule="auto"/>
        <w:rPr>
          <w:lang w:val="en-US"/>
        </w:rPr>
      </w:pPr>
      <w:proofErr w:type="spellStart"/>
      <w:r w:rsidRPr="00697F3B">
        <w:rPr>
          <w:lang w:val="en-US"/>
        </w:rPr>
        <w:t>Chatterij</w:t>
      </w:r>
      <w:proofErr w:type="spellEnd"/>
      <w:r w:rsidR="00FC68ED" w:rsidRPr="00697F3B">
        <w:rPr>
          <w:lang w:val="en-US"/>
        </w:rPr>
        <w:t>,</w:t>
      </w:r>
      <w:r w:rsidRPr="00697F3B">
        <w:rPr>
          <w:lang w:val="en-US"/>
        </w:rPr>
        <w:t xml:space="preserve"> A.K., Durand</w:t>
      </w:r>
      <w:r w:rsidR="00FC68ED" w:rsidRPr="00697F3B">
        <w:rPr>
          <w:lang w:val="en-US"/>
        </w:rPr>
        <w:t>,</w:t>
      </w:r>
      <w:r w:rsidRPr="00697F3B">
        <w:rPr>
          <w:lang w:val="en-US"/>
        </w:rPr>
        <w:t xml:space="preserve"> R., Levine</w:t>
      </w:r>
      <w:r w:rsidR="00FC68ED" w:rsidRPr="00697F3B">
        <w:rPr>
          <w:lang w:val="en-US"/>
        </w:rPr>
        <w:t>,</w:t>
      </w:r>
      <w:r w:rsidRPr="00697F3B">
        <w:rPr>
          <w:lang w:val="en-US"/>
        </w:rPr>
        <w:t xml:space="preserve"> D.I. </w:t>
      </w:r>
      <w:r w:rsidR="00E35BA4" w:rsidRPr="00697F3B">
        <w:rPr>
          <w:lang w:val="en-US"/>
        </w:rPr>
        <w:t>&amp;</w:t>
      </w:r>
      <w:r w:rsidRPr="00697F3B">
        <w:rPr>
          <w:lang w:val="en-US"/>
        </w:rPr>
        <w:t xml:space="preserve"> </w:t>
      </w:r>
      <w:proofErr w:type="spellStart"/>
      <w:r w:rsidRPr="00697F3B">
        <w:rPr>
          <w:lang w:val="en-US"/>
        </w:rPr>
        <w:t>Touboul</w:t>
      </w:r>
      <w:proofErr w:type="spellEnd"/>
      <w:r w:rsidR="00FC68ED" w:rsidRPr="00697F3B">
        <w:rPr>
          <w:lang w:val="en-US"/>
        </w:rPr>
        <w:t>,</w:t>
      </w:r>
      <w:r w:rsidRPr="00697F3B">
        <w:rPr>
          <w:lang w:val="en-US"/>
        </w:rPr>
        <w:t xml:space="preserve"> S. </w:t>
      </w:r>
      <w:r w:rsidR="00B92CEC" w:rsidRPr="00697F3B">
        <w:rPr>
          <w:lang w:val="en-US"/>
        </w:rPr>
        <w:t>(</w:t>
      </w:r>
      <w:r w:rsidRPr="00697F3B">
        <w:rPr>
          <w:lang w:val="en-US"/>
        </w:rPr>
        <w:t>2016</w:t>
      </w:r>
      <w:r w:rsidR="00B92CEC" w:rsidRPr="00697F3B">
        <w:rPr>
          <w:lang w:val="en-US"/>
        </w:rPr>
        <w:t>)</w:t>
      </w:r>
      <w:r w:rsidR="00FC68ED" w:rsidRPr="00697F3B">
        <w:rPr>
          <w:lang w:val="en-US"/>
        </w:rPr>
        <w:t xml:space="preserve">. </w:t>
      </w:r>
      <w:r w:rsidRPr="00697F3B">
        <w:rPr>
          <w:lang w:val="en-US"/>
        </w:rPr>
        <w:t>Do ratings of firms converge?</w:t>
      </w:r>
      <w:r w:rsidR="0086274B" w:rsidRPr="00697F3B">
        <w:rPr>
          <w:lang w:val="en-US"/>
        </w:rPr>
        <w:tab/>
      </w:r>
      <w:r w:rsidRPr="00697F3B">
        <w:rPr>
          <w:lang w:val="en-US"/>
        </w:rPr>
        <w:t>Implications for managers, investors and strategy researchers</w:t>
      </w:r>
      <w:r w:rsidR="00FC68ED" w:rsidRPr="00697F3B">
        <w:rPr>
          <w:lang w:val="en-US"/>
        </w:rPr>
        <w:t>.</w:t>
      </w:r>
      <w:r w:rsidRPr="00697F3B">
        <w:rPr>
          <w:lang w:val="en-US"/>
        </w:rPr>
        <w:t xml:space="preserve"> </w:t>
      </w:r>
      <w:r w:rsidRPr="00697F3B">
        <w:rPr>
          <w:i/>
          <w:iCs/>
          <w:lang w:val="en-US"/>
        </w:rPr>
        <w:t>Strategic Management</w:t>
      </w:r>
      <w:r w:rsidR="0086274B" w:rsidRPr="00697F3B">
        <w:rPr>
          <w:i/>
          <w:iCs/>
          <w:lang w:val="en-US"/>
        </w:rPr>
        <w:tab/>
      </w:r>
      <w:r w:rsidRPr="00697F3B">
        <w:rPr>
          <w:i/>
          <w:iCs/>
          <w:lang w:val="en-US"/>
        </w:rPr>
        <w:t>Journal</w:t>
      </w:r>
      <w:r w:rsidRPr="00697F3B">
        <w:rPr>
          <w:lang w:val="en-US"/>
        </w:rPr>
        <w:t>, 37</w:t>
      </w:r>
      <w:r w:rsidR="00FC68ED" w:rsidRPr="00697F3B">
        <w:rPr>
          <w:lang w:val="en-US"/>
        </w:rPr>
        <w:t xml:space="preserve"> </w:t>
      </w:r>
      <w:r w:rsidRPr="00697F3B">
        <w:rPr>
          <w:lang w:val="en-US"/>
        </w:rPr>
        <w:t>(8)</w:t>
      </w:r>
      <w:r w:rsidR="00B92CEC" w:rsidRPr="00697F3B">
        <w:rPr>
          <w:lang w:val="en-US"/>
        </w:rPr>
        <w:t>,</w:t>
      </w:r>
      <w:r w:rsidRPr="00697F3B">
        <w:rPr>
          <w:lang w:val="en-US"/>
        </w:rPr>
        <w:t xml:space="preserve"> 1597–1614.</w:t>
      </w:r>
    </w:p>
    <w:p w14:paraId="633E44B5" w14:textId="28634C0F" w:rsidR="00EA0107" w:rsidRPr="00697F3B" w:rsidRDefault="00EA0107" w:rsidP="003739A1">
      <w:pPr>
        <w:pStyle w:val="NormalWeb"/>
        <w:spacing w:before="0" w:beforeAutospacing="0" w:after="0" w:afterAutospacing="0" w:line="360" w:lineRule="auto"/>
        <w:rPr>
          <w:lang w:val="en-US"/>
        </w:rPr>
      </w:pPr>
      <w:r w:rsidRPr="00697F3B">
        <w:rPr>
          <w:lang w:val="nl-BE"/>
        </w:rPr>
        <w:t>Chatterij</w:t>
      </w:r>
      <w:r w:rsidR="00FC68ED" w:rsidRPr="00697F3B">
        <w:rPr>
          <w:lang w:val="nl-BE"/>
        </w:rPr>
        <w:t xml:space="preserve">, </w:t>
      </w:r>
      <w:r w:rsidRPr="00697F3B">
        <w:rPr>
          <w:lang w:val="nl-BE"/>
        </w:rPr>
        <w:t>A.K., Levine</w:t>
      </w:r>
      <w:r w:rsidR="00FC68ED" w:rsidRPr="00697F3B">
        <w:rPr>
          <w:lang w:val="nl-BE"/>
        </w:rPr>
        <w:t>,</w:t>
      </w:r>
      <w:r w:rsidRPr="00697F3B">
        <w:rPr>
          <w:lang w:val="nl-BE"/>
        </w:rPr>
        <w:t xml:space="preserve"> D.I. </w:t>
      </w:r>
      <w:r w:rsidR="00E35BA4" w:rsidRPr="00697F3B">
        <w:rPr>
          <w:lang w:val="nl-BE"/>
        </w:rPr>
        <w:t>&amp;</w:t>
      </w:r>
      <w:r w:rsidRPr="00697F3B">
        <w:rPr>
          <w:lang w:val="nl-BE"/>
        </w:rPr>
        <w:t xml:space="preserve"> Toffel</w:t>
      </w:r>
      <w:r w:rsidR="00FC68ED" w:rsidRPr="00697F3B">
        <w:rPr>
          <w:lang w:val="nl-BE"/>
        </w:rPr>
        <w:t>,</w:t>
      </w:r>
      <w:r w:rsidRPr="00697F3B">
        <w:rPr>
          <w:lang w:val="nl-BE"/>
        </w:rPr>
        <w:t xml:space="preserve"> M.W.</w:t>
      </w:r>
      <w:r w:rsidR="00B92CEC" w:rsidRPr="00697F3B">
        <w:rPr>
          <w:lang w:val="nl-BE"/>
        </w:rPr>
        <w:t xml:space="preserve"> (</w:t>
      </w:r>
      <w:r w:rsidRPr="00697F3B">
        <w:rPr>
          <w:lang w:val="nl-BE"/>
        </w:rPr>
        <w:t>2009</w:t>
      </w:r>
      <w:r w:rsidR="00B92CEC" w:rsidRPr="00697F3B">
        <w:rPr>
          <w:lang w:val="nl-BE"/>
        </w:rPr>
        <w:t>)</w:t>
      </w:r>
      <w:r w:rsidR="00FC68ED" w:rsidRPr="00697F3B">
        <w:rPr>
          <w:lang w:val="nl-BE"/>
        </w:rPr>
        <w:t xml:space="preserve">. </w:t>
      </w:r>
      <w:r w:rsidRPr="00697F3B">
        <w:rPr>
          <w:lang w:val="en-US"/>
        </w:rPr>
        <w:t xml:space="preserve">How well do social ratings </w:t>
      </w:r>
      <w:proofErr w:type="gramStart"/>
      <w:r w:rsidRPr="00697F3B">
        <w:rPr>
          <w:lang w:val="en-US"/>
        </w:rPr>
        <w:t>actually</w:t>
      </w:r>
      <w:r w:rsidR="0086274B" w:rsidRPr="00697F3B">
        <w:rPr>
          <w:lang w:val="en-US"/>
        </w:rPr>
        <w:tab/>
      </w:r>
      <w:r w:rsidRPr="00697F3B">
        <w:rPr>
          <w:lang w:val="en-US"/>
        </w:rPr>
        <w:t>measure</w:t>
      </w:r>
      <w:proofErr w:type="gramEnd"/>
      <w:r w:rsidRPr="00697F3B">
        <w:rPr>
          <w:lang w:val="en-US"/>
        </w:rPr>
        <w:t xml:space="preserve"> corporate social responsibility?</w:t>
      </w:r>
      <w:r w:rsidR="00FC68ED" w:rsidRPr="00697F3B">
        <w:rPr>
          <w:lang w:val="en-US"/>
        </w:rPr>
        <w:t xml:space="preserve"> </w:t>
      </w:r>
      <w:r w:rsidRPr="00697F3B">
        <w:rPr>
          <w:i/>
          <w:iCs/>
          <w:lang w:val="en-US"/>
        </w:rPr>
        <w:t>Journal of Economics &amp; Management</w:t>
      </w:r>
      <w:r w:rsidR="0086274B" w:rsidRPr="00697F3B">
        <w:rPr>
          <w:i/>
          <w:iCs/>
          <w:lang w:val="en-US"/>
        </w:rPr>
        <w:tab/>
      </w:r>
      <w:r w:rsidRPr="00697F3B">
        <w:rPr>
          <w:i/>
          <w:iCs/>
          <w:lang w:val="en-US"/>
        </w:rPr>
        <w:t>Strategy</w:t>
      </w:r>
      <w:r w:rsidRPr="00697F3B">
        <w:rPr>
          <w:lang w:val="en-US"/>
        </w:rPr>
        <w:t>, 18 (1)</w:t>
      </w:r>
      <w:r w:rsidR="00B92CEC" w:rsidRPr="00697F3B">
        <w:rPr>
          <w:lang w:val="en-US"/>
        </w:rPr>
        <w:t xml:space="preserve">, </w:t>
      </w:r>
      <w:r w:rsidRPr="00697F3B">
        <w:rPr>
          <w:lang w:val="en-US"/>
        </w:rPr>
        <w:t>125- 169.</w:t>
      </w:r>
    </w:p>
    <w:p w14:paraId="5EA3C43F" w14:textId="7F4B2B4C" w:rsidR="0093664D" w:rsidRPr="00697F3B" w:rsidRDefault="00EA0107" w:rsidP="003739A1">
      <w:pPr>
        <w:pStyle w:val="NormalWeb"/>
        <w:spacing w:before="0" w:beforeAutospacing="0" w:after="0" w:afterAutospacing="0" w:line="360" w:lineRule="auto"/>
        <w:rPr>
          <w:lang w:val="en-US"/>
        </w:rPr>
      </w:pPr>
      <w:proofErr w:type="spellStart"/>
      <w:r w:rsidRPr="00697F3B">
        <w:rPr>
          <w:lang w:val="en-US"/>
        </w:rPr>
        <w:t>Chennoufe</w:t>
      </w:r>
      <w:proofErr w:type="spellEnd"/>
      <w:r w:rsidR="00353D76" w:rsidRPr="00697F3B">
        <w:rPr>
          <w:lang w:val="en-US"/>
        </w:rPr>
        <w:t xml:space="preserve">, </w:t>
      </w:r>
      <w:r w:rsidRPr="00697F3B">
        <w:rPr>
          <w:lang w:val="en-US"/>
        </w:rPr>
        <w:t xml:space="preserve">L., </w:t>
      </w:r>
      <w:proofErr w:type="spellStart"/>
      <w:r w:rsidRPr="00697F3B">
        <w:rPr>
          <w:lang w:val="en-US"/>
        </w:rPr>
        <w:t>Cayrol</w:t>
      </w:r>
      <w:proofErr w:type="spellEnd"/>
      <w:r w:rsidR="00353D76" w:rsidRPr="00697F3B">
        <w:rPr>
          <w:lang w:val="en-US"/>
        </w:rPr>
        <w:t>,</w:t>
      </w:r>
      <w:r w:rsidRPr="00697F3B">
        <w:rPr>
          <w:lang w:val="en-US"/>
        </w:rPr>
        <w:t xml:space="preserve"> A. </w:t>
      </w:r>
      <w:r w:rsidR="00353D76" w:rsidRPr="00697F3B">
        <w:rPr>
          <w:lang w:val="en-US"/>
        </w:rPr>
        <w:t>&amp;</w:t>
      </w:r>
      <w:r w:rsidRPr="00697F3B">
        <w:rPr>
          <w:lang w:val="en-US"/>
        </w:rPr>
        <w:t xml:space="preserve"> Provost</w:t>
      </w:r>
      <w:r w:rsidR="00353D76" w:rsidRPr="00697F3B">
        <w:rPr>
          <w:lang w:val="en-US"/>
        </w:rPr>
        <w:t>,</w:t>
      </w:r>
      <w:r w:rsidRPr="00697F3B">
        <w:rPr>
          <w:lang w:val="en-US"/>
        </w:rPr>
        <w:t xml:space="preserve"> C. </w:t>
      </w:r>
      <w:r w:rsidR="001E4CF6" w:rsidRPr="00697F3B">
        <w:rPr>
          <w:lang w:val="en-US"/>
        </w:rPr>
        <w:t>(</w:t>
      </w:r>
      <w:r w:rsidRPr="00697F3B">
        <w:rPr>
          <w:lang w:val="en-US"/>
        </w:rPr>
        <w:t>2021a</w:t>
      </w:r>
      <w:r w:rsidR="001E4CF6" w:rsidRPr="00697F3B">
        <w:rPr>
          <w:lang w:val="en-US"/>
        </w:rPr>
        <w:t>).</w:t>
      </w:r>
      <w:r w:rsidRPr="00697F3B">
        <w:rPr>
          <w:lang w:val="en-US"/>
        </w:rPr>
        <w:t xml:space="preserve"> </w:t>
      </w:r>
      <w:r w:rsidRPr="00697F3B">
        <w:t xml:space="preserve">Rapport sur la </w:t>
      </w:r>
      <w:proofErr w:type="spellStart"/>
      <w:r w:rsidRPr="00697F3B">
        <w:t>qualite</w:t>
      </w:r>
      <w:proofErr w:type="spellEnd"/>
      <w:r w:rsidRPr="00697F3B">
        <w:t>́ de l’investissement</w:t>
      </w:r>
      <w:r w:rsidR="0086274B" w:rsidRPr="00697F3B">
        <w:tab/>
      </w:r>
      <w:r w:rsidRPr="00697F3B">
        <w:t>socialement responsable en Belgique 2021</w:t>
      </w:r>
      <w:r w:rsidR="00353D76" w:rsidRPr="00697F3B">
        <w:t>.</w:t>
      </w:r>
      <w:r w:rsidRPr="00697F3B">
        <w:t xml:space="preserve"> </w:t>
      </w:r>
      <w:proofErr w:type="spellStart"/>
      <w:r w:rsidRPr="00697F3B">
        <w:rPr>
          <w:lang w:val="en-US"/>
        </w:rPr>
        <w:t>Financite</w:t>
      </w:r>
      <w:proofErr w:type="spellEnd"/>
      <w:r w:rsidRPr="00697F3B">
        <w:rPr>
          <w:lang w:val="en-US"/>
        </w:rPr>
        <w:t>́</w:t>
      </w:r>
      <w:r w:rsidR="00353D76" w:rsidRPr="00697F3B">
        <w:rPr>
          <w:lang w:val="en-US"/>
        </w:rPr>
        <w:t>.</w:t>
      </w:r>
      <w:r w:rsidR="0093664D" w:rsidRPr="00697F3B">
        <w:rPr>
          <w:lang w:val="en-US"/>
        </w:rPr>
        <w:t xml:space="preserve"> Retrieved October 4, 2021,</w:t>
      </w:r>
      <w:r w:rsidR="0086274B" w:rsidRPr="00697F3B">
        <w:rPr>
          <w:lang w:val="en-US"/>
        </w:rPr>
        <w:tab/>
      </w:r>
      <w:r w:rsidR="0093664D" w:rsidRPr="00697F3B">
        <w:rPr>
          <w:lang w:val="en-US"/>
        </w:rPr>
        <w:t>from</w:t>
      </w:r>
      <w:r w:rsidR="0086274B" w:rsidRPr="00697F3B">
        <w:rPr>
          <w:lang w:val="en-US"/>
        </w:rPr>
        <w:tab/>
      </w:r>
      <w:hyperlink r:id="rId19" w:history="1">
        <w:r w:rsidR="00D026E5" w:rsidRPr="00697F3B">
          <w:rPr>
            <w:rStyle w:val="Lienhypertexte"/>
            <w:lang w:val="en-US"/>
          </w:rPr>
          <w:t>https://www.financite.be/sites/default/files/references/files/rapport_isr_qualite_2021.</w:t>
        </w:r>
        <w:r w:rsidR="00D026E5" w:rsidRPr="00697F3B">
          <w:rPr>
            <w:rStyle w:val="Lienhypertexte"/>
            <w:lang w:val="en-US"/>
          </w:rPr>
          <w:tab/>
          <w:t>pdf</w:t>
        </w:r>
      </w:hyperlink>
      <w:r w:rsidR="0086274B" w:rsidRPr="00697F3B">
        <w:rPr>
          <w:lang w:val="en-US"/>
        </w:rPr>
        <w:t xml:space="preserve"> </w:t>
      </w:r>
    </w:p>
    <w:p w14:paraId="08786552" w14:textId="7B7F019F" w:rsidR="0086274B" w:rsidRPr="00697F3B" w:rsidRDefault="00EA0107" w:rsidP="003739A1">
      <w:pPr>
        <w:pStyle w:val="NormalWeb"/>
        <w:spacing w:before="0" w:beforeAutospacing="0" w:after="0" w:afterAutospacing="0" w:line="360" w:lineRule="auto"/>
        <w:rPr>
          <w:lang w:val="en-US"/>
        </w:rPr>
      </w:pPr>
      <w:proofErr w:type="spellStart"/>
      <w:r w:rsidRPr="00697F3B">
        <w:rPr>
          <w:lang w:val="en-US"/>
        </w:rPr>
        <w:t>Chennoufe</w:t>
      </w:r>
      <w:proofErr w:type="spellEnd"/>
      <w:r w:rsidR="00353D76" w:rsidRPr="00697F3B">
        <w:rPr>
          <w:lang w:val="en-US"/>
        </w:rPr>
        <w:t>,</w:t>
      </w:r>
      <w:r w:rsidRPr="00697F3B">
        <w:rPr>
          <w:lang w:val="en-US"/>
        </w:rPr>
        <w:t xml:space="preserve"> L., </w:t>
      </w:r>
      <w:proofErr w:type="spellStart"/>
      <w:r w:rsidRPr="00697F3B">
        <w:rPr>
          <w:lang w:val="en-US"/>
        </w:rPr>
        <w:t>Cayrol</w:t>
      </w:r>
      <w:proofErr w:type="spellEnd"/>
      <w:r w:rsidR="00353D76" w:rsidRPr="00697F3B">
        <w:rPr>
          <w:lang w:val="en-US"/>
        </w:rPr>
        <w:t>,</w:t>
      </w:r>
      <w:r w:rsidRPr="00697F3B">
        <w:rPr>
          <w:lang w:val="en-US"/>
        </w:rPr>
        <w:t xml:space="preserve"> A. </w:t>
      </w:r>
      <w:r w:rsidR="00353D76" w:rsidRPr="00697F3B">
        <w:rPr>
          <w:lang w:val="en-US"/>
        </w:rPr>
        <w:t>&amp;</w:t>
      </w:r>
      <w:r w:rsidRPr="00697F3B">
        <w:rPr>
          <w:lang w:val="en-US"/>
        </w:rPr>
        <w:t xml:space="preserve"> Provost</w:t>
      </w:r>
      <w:r w:rsidR="00353D76" w:rsidRPr="00697F3B">
        <w:rPr>
          <w:lang w:val="en-US"/>
        </w:rPr>
        <w:t>,</w:t>
      </w:r>
      <w:r w:rsidRPr="00697F3B">
        <w:rPr>
          <w:lang w:val="en-US"/>
        </w:rPr>
        <w:t xml:space="preserve"> C. </w:t>
      </w:r>
      <w:r w:rsidR="001E4CF6" w:rsidRPr="00697F3B">
        <w:rPr>
          <w:lang w:val="en-US"/>
        </w:rPr>
        <w:t>(</w:t>
      </w:r>
      <w:r w:rsidRPr="00697F3B">
        <w:rPr>
          <w:lang w:val="en-US"/>
        </w:rPr>
        <w:t>2021b</w:t>
      </w:r>
      <w:r w:rsidR="001E4CF6" w:rsidRPr="00697F3B">
        <w:rPr>
          <w:lang w:val="en-US"/>
        </w:rPr>
        <w:t>).</w:t>
      </w:r>
      <w:r w:rsidR="00353D76" w:rsidRPr="00697F3B">
        <w:rPr>
          <w:lang w:val="en-US"/>
        </w:rPr>
        <w:t xml:space="preserve"> </w:t>
      </w:r>
      <w:proofErr w:type="spellStart"/>
      <w:r w:rsidRPr="00697F3B">
        <w:t>Synthèse</w:t>
      </w:r>
      <w:proofErr w:type="spellEnd"/>
      <w:r w:rsidRPr="00697F3B">
        <w:t xml:space="preserve"> du rapport sur la </w:t>
      </w:r>
      <w:proofErr w:type="spellStart"/>
      <w:r w:rsidRPr="00697F3B">
        <w:t>qualite</w:t>
      </w:r>
      <w:proofErr w:type="spellEnd"/>
      <w:r w:rsidRPr="00697F3B">
        <w:t>́ de</w:t>
      </w:r>
      <w:r w:rsidR="0086274B" w:rsidRPr="00697F3B">
        <w:tab/>
      </w:r>
      <w:r w:rsidRPr="00697F3B">
        <w:t>l’investissement socialement responsable en Belgique 2021</w:t>
      </w:r>
      <w:r w:rsidR="00353D76" w:rsidRPr="00697F3B">
        <w:t>.</w:t>
      </w:r>
      <w:r w:rsidRPr="00697F3B">
        <w:t xml:space="preserve"> </w:t>
      </w:r>
      <w:proofErr w:type="spellStart"/>
      <w:r w:rsidRPr="00697F3B">
        <w:rPr>
          <w:lang w:val="en-US"/>
        </w:rPr>
        <w:t>Financite</w:t>
      </w:r>
      <w:proofErr w:type="spellEnd"/>
      <w:r w:rsidRPr="00697F3B">
        <w:rPr>
          <w:lang w:val="en-US"/>
        </w:rPr>
        <w:t>́</w:t>
      </w:r>
      <w:r w:rsidR="00353D76" w:rsidRPr="00697F3B">
        <w:rPr>
          <w:lang w:val="en-US"/>
        </w:rPr>
        <w:t>.</w:t>
      </w:r>
      <w:r w:rsidR="001E4CF6" w:rsidRPr="00697F3B">
        <w:rPr>
          <w:lang w:val="en-US"/>
        </w:rPr>
        <w:t xml:space="preserve"> Retrieved</w:t>
      </w:r>
      <w:r w:rsidR="0086274B" w:rsidRPr="00697F3B">
        <w:rPr>
          <w:lang w:val="en-US"/>
        </w:rPr>
        <w:tab/>
      </w:r>
      <w:r w:rsidR="001E4CF6" w:rsidRPr="00697F3B">
        <w:rPr>
          <w:lang w:val="en-US"/>
        </w:rPr>
        <w:t>October 4, 2021, from</w:t>
      </w:r>
      <w:r w:rsidR="0086274B" w:rsidRPr="00697F3B">
        <w:rPr>
          <w:lang w:val="en-US"/>
        </w:rPr>
        <w:t xml:space="preserve"> </w:t>
      </w:r>
    </w:p>
    <w:p w14:paraId="0ACFCE33" w14:textId="38BC8213" w:rsidR="00EA0107" w:rsidRPr="00697F3B" w:rsidRDefault="0086274B" w:rsidP="003739A1">
      <w:pPr>
        <w:pStyle w:val="NormalWeb"/>
        <w:spacing w:before="0" w:beforeAutospacing="0" w:after="0" w:afterAutospacing="0" w:line="360" w:lineRule="auto"/>
        <w:ind w:left="708"/>
        <w:rPr>
          <w:lang w:val="en-US"/>
        </w:rPr>
      </w:pPr>
      <w:hyperlink r:id="rId20" w:history="1">
        <w:r w:rsidRPr="00697F3B">
          <w:rPr>
            <w:rStyle w:val="Lienhypertexte"/>
            <w:lang w:val="en-US"/>
          </w:rPr>
          <w:t>https://www.financite.be/sites/default/files/references/files/synthese_du_rapport_isr_qualite_2021.pdf</w:t>
        </w:r>
      </w:hyperlink>
      <w:r w:rsidRPr="00697F3B">
        <w:rPr>
          <w:lang w:val="en-US"/>
        </w:rPr>
        <w:t xml:space="preserve"> </w:t>
      </w:r>
    </w:p>
    <w:p w14:paraId="61263B0A" w14:textId="68444104" w:rsidR="00EA0107" w:rsidRPr="00697F3B" w:rsidRDefault="00EA0107" w:rsidP="003739A1">
      <w:pPr>
        <w:pStyle w:val="NormalWeb"/>
        <w:spacing w:before="0" w:beforeAutospacing="0" w:after="0" w:afterAutospacing="0" w:line="360" w:lineRule="auto"/>
        <w:rPr>
          <w:lang w:val="en-US"/>
        </w:rPr>
      </w:pPr>
      <w:r w:rsidRPr="00697F3B">
        <w:rPr>
          <w:lang w:val="nl-BE"/>
        </w:rPr>
        <w:t>Christensen</w:t>
      </w:r>
      <w:r w:rsidR="00FC68ED" w:rsidRPr="00697F3B">
        <w:rPr>
          <w:lang w:val="nl-BE"/>
        </w:rPr>
        <w:t xml:space="preserve">, </w:t>
      </w:r>
      <w:r w:rsidRPr="00697F3B">
        <w:rPr>
          <w:lang w:val="nl-BE"/>
        </w:rPr>
        <w:t>D., Serafeim</w:t>
      </w:r>
      <w:r w:rsidR="00FC68ED" w:rsidRPr="00697F3B">
        <w:rPr>
          <w:lang w:val="nl-BE"/>
        </w:rPr>
        <w:t>,</w:t>
      </w:r>
      <w:r w:rsidRPr="00697F3B">
        <w:rPr>
          <w:lang w:val="nl-BE"/>
        </w:rPr>
        <w:t xml:space="preserve"> G. </w:t>
      </w:r>
      <w:r w:rsidR="00E35BA4" w:rsidRPr="00697F3B">
        <w:rPr>
          <w:lang w:val="nl-BE"/>
        </w:rPr>
        <w:t>&amp;</w:t>
      </w:r>
      <w:r w:rsidRPr="00697F3B">
        <w:rPr>
          <w:lang w:val="nl-BE"/>
        </w:rPr>
        <w:t xml:space="preserve"> Sikochi</w:t>
      </w:r>
      <w:r w:rsidR="00FC68ED" w:rsidRPr="00697F3B">
        <w:rPr>
          <w:lang w:val="nl-BE"/>
        </w:rPr>
        <w:t xml:space="preserve">, </w:t>
      </w:r>
      <w:r w:rsidRPr="00697F3B">
        <w:rPr>
          <w:lang w:val="nl-BE"/>
        </w:rPr>
        <w:t xml:space="preserve">A. </w:t>
      </w:r>
      <w:r w:rsidR="008E2AF2" w:rsidRPr="00697F3B">
        <w:rPr>
          <w:lang w:val="nl-BE"/>
        </w:rPr>
        <w:t>(</w:t>
      </w:r>
      <w:r w:rsidRPr="00697F3B">
        <w:rPr>
          <w:lang w:val="nl-BE"/>
        </w:rPr>
        <w:t>2020</w:t>
      </w:r>
      <w:r w:rsidR="008E2AF2" w:rsidRPr="00697F3B">
        <w:rPr>
          <w:lang w:val="nl-BE"/>
        </w:rPr>
        <w:t>)</w:t>
      </w:r>
      <w:r w:rsidR="00FC68ED" w:rsidRPr="00697F3B">
        <w:rPr>
          <w:lang w:val="nl-BE"/>
        </w:rPr>
        <w:t xml:space="preserve">. </w:t>
      </w:r>
      <w:r w:rsidRPr="00697F3B">
        <w:rPr>
          <w:lang w:val="en-US"/>
        </w:rPr>
        <w:t>Why is Corporate Virtue in the Eye of</w:t>
      </w:r>
      <w:r w:rsidR="0086274B" w:rsidRPr="00697F3B">
        <w:rPr>
          <w:lang w:val="en-US"/>
        </w:rPr>
        <w:tab/>
      </w:r>
      <w:r w:rsidRPr="00697F3B">
        <w:rPr>
          <w:lang w:val="en-US"/>
        </w:rPr>
        <w:t>the Beholder? The Case of ESG Ratings</w:t>
      </w:r>
      <w:r w:rsidR="00FC68ED" w:rsidRPr="00697F3B">
        <w:rPr>
          <w:lang w:val="en-US"/>
        </w:rPr>
        <w:t xml:space="preserve">. </w:t>
      </w:r>
      <w:r w:rsidRPr="00697F3B">
        <w:rPr>
          <w:i/>
          <w:iCs/>
          <w:lang w:val="en-US"/>
        </w:rPr>
        <w:t>The Accounting Review – Harvard Business</w:t>
      </w:r>
      <w:r w:rsidR="0086274B" w:rsidRPr="00697F3B">
        <w:rPr>
          <w:i/>
          <w:iCs/>
          <w:lang w:val="en-US"/>
        </w:rPr>
        <w:tab/>
      </w:r>
      <w:r w:rsidRPr="00697F3B">
        <w:rPr>
          <w:i/>
          <w:iCs/>
          <w:lang w:val="en-US"/>
        </w:rPr>
        <w:t>School</w:t>
      </w:r>
      <w:r w:rsidR="00FC68ED" w:rsidRPr="00697F3B">
        <w:rPr>
          <w:lang w:val="en-US"/>
        </w:rPr>
        <w:t xml:space="preserve">, </w:t>
      </w:r>
      <w:r w:rsidR="008E2AF2" w:rsidRPr="00697F3B">
        <w:rPr>
          <w:lang w:val="en-US"/>
        </w:rPr>
        <w:t>Retrieved January 26, 2022, from</w:t>
      </w:r>
      <w:r w:rsidR="0086274B" w:rsidRPr="00697F3B">
        <w:rPr>
          <w:lang w:val="en-US"/>
        </w:rPr>
        <w:tab/>
      </w:r>
      <w:r w:rsidRPr="00697F3B">
        <w:rPr>
          <w:color w:val="0260BF"/>
          <w:lang w:val="en-US"/>
        </w:rPr>
        <w:t>https://papers.ssrn.com/sol3/papers.cfm?abstract_id=3793804</w:t>
      </w:r>
    </w:p>
    <w:p w14:paraId="186061A3" w14:textId="5E3694A0" w:rsidR="00EA0107" w:rsidRPr="00697F3B" w:rsidRDefault="00EA0107" w:rsidP="003739A1">
      <w:pPr>
        <w:pStyle w:val="NormalWeb"/>
        <w:spacing w:before="0" w:beforeAutospacing="0" w:after="0" w:afterAutospacing="0" w:line="360" w:lineRule="auto"/>
      </w:pPr>
      <w:r w:rsidRPr="00697F3B">
        <w:lastRenderedPageBreak/>
        <w:t>Coggins</w:t>
      </w:r>
      <w:r w:rsidR="00FC68ED" w:rsidRPr="00697F3B">
        <w:t>,</w:t>
      </w:r>
      <w:r w:rsidRPr="00697F3B">
        <w:t xml:space="preserve"> F., Champagne</w:t>
      </w:r>
      <w:r w:rsidR="00FC68ED" w:rsidRPr="00697F3B">
        <w:t>,</w:t>
      </w:r>
      <w:r w:rsidRPr="00697F3B">
        <w:t xml:space="preserve"> C. </w:t>
      </w:r>
      <w:r w:rsidR="00E35BA4" w:rsidRPr="00697F3B">
        <w:t>&amp;</w:t>
      </w:r>
      <w:r w:rsidRPr="00697F3B">
        <w:t xml:space="preserve"> Latulippe</w:t>
      </w:r>
      <w:r w:rsidR="00FC68ED" w:rsidRPr="00697F3B">
        <w:t>,</w:t>
      </w:r>
      <w:r w:rsidRPr="00697F3B">
        <w:t xml:space="preserve"> L. </w:t>
      </w:r>
      <w:r w:rsidR="008E2AF2" w:rsidRPr="00697F3B">
        <w:t>(</w:t>
      </w:r>
      <w:r w:rsidRPr="00697F3B">
        <w:t>2018</w:t>
      </w:r>
      <w:r w:rsidR="008E2AF2" w:rsidRPr="00697F3B">
        <w:t>)</w:t>
      </w:r>
      <w:r w:rsidR="00E35BA4" w:rsidRPr="00697F3B">
        <w:t>.</w:t>
      </w:r>
      <w:r w:rsidRPr="00697F3B">
        <w:t xml:space="preserve"> Avant-propos</w:t>
      </w:r>
      <w:r w:rsidR="00E35BA4" w:rsidRPr="00697F3B">
        <w:t>. I</w:t>
      </w:r>
      <w:r w:rsidRPr="00697F3B">
        <w:t xml:space="preserve">n </w:t>
      </w:r>
      <w:r w:rsidR="00230D5B" w:rsidRPr="00697F3B">
        <w:t>Coggins, F.,</w:t>
      </w:r>
      <w:r w:rsidR="0086274B" w:rsidRPr="00697F3B">
        <w:tab/>
      </w:r>
      <w:r w:rsidR="00230D5B" w:rsidRPr="00697F3B">
        <w:t xml:space="preserve">Champagne, C. &amp; Latulippe, L., </w:t>
      </w:r>
      <w:proofErr w:type="spellStart"/>
      <w:r w:rsidRPr="00697F3B">
        <w:rPr>
          <w:i/>
          <w:iCs/>
        </w:rPr>
        <w:t>Éléments</w:t>
      </w:r>
      <w:proofErr w:type="spellEnd"/>
      <w:r w:rsidRPr="00697F3B">
        <w:rPr>
          <w:i/>
          <w:iCs/>
        </w:rPr>
        <w:t xml:space="preserve"> de la finance responsable : une perspective</w:t>
      </w:r>
      <w:r w:rsidR="0086274B" w:rsidRPr="00697F3B">
        <w:rPr>
          <w:i/>
          <w:iCs/>
        </w:rPr>
        <w:tab/>
      </w:r>
      <w:r w:rsidRPr="00697F3B">
        <w:rPr>
          <w:i/>
          <w:iCs/>
        </w:rPr>
        <w:t>multidimensionnelle</w:t>
      </w:r>
      <w:r w:rsidR="00E35BA4" w:rsidRPr="00697F3B">
        <w:rPr>
          <w:i/>
          <w:iCs/>
        </w:rPr>
        <w:t xml:space="preserve"> : </w:t>
      </w:r>
      <w:r w:rsidRPr="00697F3B">
        <w:rPr>
          <w:i/>
          <w:iCs/>
        </w:rPr>
        <w:t>XI-XXXI</w:t>
      </w:r>
      <w:r w:rsidR="00E35BA4" w:rsidRPr="00697F3B">
        <w:rPr>
          <w:i/>
          <w:iCs/>
        </w:rPr>
        <w:t>.</w:t>
      </w:r>
      <w:r w:rsidR="00E35BA4" w:rsidRPr="00697F3B">
        <w:t xml:space="preserve"> </w:t>
      </w:r>
      <w:proofErr w:type="spellStart"/>
      <w:r w:rsidRPr="00697F3B">
        <w:t>Montréal</w:t>
      </w:r>
      <w:proofErr w:type="spellEnd"/>
      <w:r w:rsidR="008E2AF2" w:rsidRPr="00697F3B">
        <w:t> :</w:t>
      </w:r>
      <w:r w:rsidR="00230D5B" w:rsidRPr="00697F3B">
        <w:t>Yvon Blais - Thomson Reuters.</w:t>
      </w:r>
    </w:p>
    <w:p w14:paraId="448E6CE7" w14:textId="4108D519" w:rsidR="00EA0107" w:rsidRPr="00697F3B" w:rsidRDefault="00EA0107" w:rsidP="003739A1">
      <w:pPr>
        <w:pStyle w:val="NormalWeb"/>
        <w:spacing w:before="0" w:beforeAutospacing="0" w:after="0" w:afterAutospacing="0" w:line="360" w:lineRule="auto"/>
        <w:rPr>
          <w:lang w:val="en-US"/>
        </w:rPr>
      </w:pPr>
      <w:r w:rsidRPr="00697F3B">
        <w:t xml:space="preserve">COM(2021) 189 final, Proposition de directive du parlement </w:t>
      </w:r>
      <w:r w:rsidR="00913C98" w:rsidRPr="00697F3B">
        <w:t>européen</w:t>
      </w:r>
      <w:r w:rsidRPr="00697F3B">
        <w:t xml:space="preserve"> et du conseil</w:t>
      </w:r>
      <w:r w:rsidR="0086274B" w:rsidRPr="00697F3B">
        <w:tab/>
      </w:r>
      <w:r w:rsidRPr="00697F3B">
        <w:t>modifiant les directives 2013/34/UE, 2004/109/CE et 2006/43/CE ainsi que le</w:t>
      </w:r>
      <w:r w:rsidR="0086274B" w:rsidRPr="00697F3B">
        <w:tab/>
      </w:r>
      <w:r w:rsidR="00913C98" w:rsidRPr="00697F3B">
        <w:t>règlement</w:t>
      </w:r>
      <w:r w:rsidRPr="00697F3B">
        <w:t xml:space="preserve"> (UE) n° 537/2014 en ce qui concerne la publication d’informations en</w:t>
      </w:r>
      <w:r w:rsidR="0086274B" w:rsidRPr="00697F3B">
        <w:tab/>
      </w:r>
      <w:proofErr w:type="spellStart"/>
      <w:r w:rsidRPr="00697F3B">
        <w:t>matière</w:t>
      </w:r>
      <w:proofErr w:type="spellEnd"/>
      <w:r w:rsidRPr="00697F3B">
        <w:t xml:space="preserve"> de </w:t>
      </w:r>
      <w:proofErr w:type="spellStart"/>
      <w:r w:rsidRPr="00697F3B">
        <w:t>durabilite</w:t>
      </w:r>
      <w:proofErr w:type="spellEnd"/>
      <w:r w:rsidRPr="00697F3B">
        <w:t>́ par les entreprises</w:t>
      </w:r>
      <w:r w:rsidR="00913C98" w:rsidRPr="00697F3B">
        <w:t xml:space="preserve">. </w:t>
      </w:r>
      <w:r w:rsidR="007F1A26" w:rsidRPr="00697F3B">
        <w:rPr>
          <w:lang w:val="en-US"/>
        </w:rPr>
        <w:t xml:space="preserve">Retrieved January 28, 2022, from </w:t>
      </w:r>
    </w:p>
    <w:p w14:paraId="022282BA" w14:textId="26A68D2C" w:rsidR="0086274B" w:rsidRPr="00697F3B" w:rsidRDefault="0086274B" w:rsidP="003739A1">
      <w:pPr>
        <w:pStyle w:val="NormalWeb"/>
        <w:spacing w:before="0" w:beforeAutospacing="0" w:after="0" w:afterAutospacing="0" w:line="360" w:lineRule="auto"/>
        <w:ind w:left="708"/>
        <w:rPr>
          <w:rStyle w:val="Lienhypertexte"/>
          <w:lang w:val="en-US"/>
        </w:rPr>
      </w:pPr>
      <w:hyperlink r:id="rId21" w:history="1">
        <w:r w:rsidRPr="00697F3B">
          <w:rPr>
            <w:rStyle w:val="Lienhypertexte"/>
            <w:lang w:val="en-US"/>
          </w:rPr>
          <w:t>https://eur-lex.europa.eu/legal-content/EN/ALL/?uri=COM%3A2021%3A189%3AFIN</w:t>
        </w:r>
      </w:hyperlink>
    </w:p>
    <w:p w14:paraId="3B3E5DC7" w14:textId="77777777" w:rsidR="00025AD1" w:rsidRPr="00697F3B" w:rsidRDefault="00F6168F" w:rsidP="00025AD1">
      <w:pPr>
        <w:pStyle w:val="NormalWeb"/>
        <w:spacing w:before="0" w:beforeAutospacing="0" w:after="0" w:afterAutospacing="0" w:line="360" w:lineRule="auto"/>
      </w:pPr>
      <w:r w:rsidRPr="00697F3B">
        <w:t xml:space="preserve">Communique de presse </w:t>
      </w:r>
      <w:proofErr w:type="spellStart"/>
      <w:r w:rsidRPr="00697F3B">
        <w:t>Novethic</w:t>
      </w:r>
      <w:proofErr w:type="spellEnd"/>
      <w:r w:rsidRPr="00697F3B">
        <w:t xml:space="preserve">. (2023a). Les fonds Article 9 sont encore loin des </w:t>
      </w:r>
    </w:p>
    <w:p w14:paraId="2D907386" w14:textId="7D157535" w:rsidR="00F6168F" w:rsidRPr="00697F3B" w:rsidRDefault="00F6168F" w:rsidP="00025AD1">
      <w:pPr>
        <w:pStyle w:val="NormalWeb"/>
        <w:spacing w:before="0" w:beforeAutospacing="0" w:after="0" w:afterAutospacing="0" w:line="360" w:lineRule="auto"/>
        <w:ind w:left="708" w:firstLine="708"/>
      </w:pPr>
      <w:r w:rsidRPr="00697F3B">
        <w:t xml:space="preserve">exigences du règlements SFDR – Finance durable. </w:t>
      </w:r>
    </w:p>
    <w:p w14:paraId="2B808906" w14:textId="77777777" w:rsidR="00025AD1" w:rsidRPr="00697F3B" w:rsidRDefault="00475119" w:rsidP="00025AD1">
      <w:pPr>
        <w:pStyle w:val="NormalWeb"/>
        <w:spacing w:before="0" w:beforeAutospacing="0" w:after="0" w:afterAutospacing="0" w:line="360" w:lineRule="auto"/>
      </w:pPr>
      <w:r w:rsidRPr="00697F3B">
        <w:t xml:space="preserve">Communique de presse </w:t>
      </w:r>
      <w:proofErr w:type="spellStart"/>
      <w:r w:rsidRPr="00697F3B">
        <w:t>Novethic</w:t>
      </w:r>
      <w:proofErr w:type="spellEnd"/>
      <w:r w:rsidRPr="00697F3B">
        <w:t>. (2023</w:t>
      </w:r>
      <w:r w:rsidR="00F6168F" w:rsidRPr="00697F3B">
        <w:t>b</w:t>
      </w:r>
      <w:r w:rsidRPr="00697F3B">
        <w:t xml:space="preserve">). Plus de 2 000 fonds labellisés aux promesses </w:t>
      </w:r>
    </w:p>
    <w:p w14:paraId="3EFE89B3" w14:textId="4F8B3BC3" w:rsidR="00475119" w:rsidRPr="00697F3B" w:rsidRDefault="00475119" w:rsidP="00025AD1">
      <w:pPr>
        <w:pStyle w:val="NormalWeb"/>
        <w:spacing w:before="0" w:beforeAutospacing="0" w:after="0" w:afterAutospacing="0" w:line="360" w:lineRule="auto"/>
        <w:ind w:firstLine="708"/>
      </w:pPr>
      <w:r w:rsidRPr="00697F3B">
        <w:t xml:space="preserve">confuses – Finance durable. </w:t>
      </w:r>
    </w:p>
    <w:p w14:paraId="143B187D" w14:textId="73FFD3A3" w:rsidR="0086274B" w:rsidRPr="00697F3B" w:rsidRDefault="00EA0107" w:rsidP="00025AD1">
      <w:pPr>
        <w:pStyle w:val="NormalWeb"/>
        <w:spacing w:before="0" w:beforeAutospacing="0" w:after="0" w:afterAutospacing="0" w:line="360" w:lineRule="auto"/>
      </w:pPr>
      <w:r w:rsidRPr="00697F3B">
        <w:t>Communiqué de presse PwC</w:t>
      </w:r>
      <w:r w:rsidR="00913C98" w:rsidRPr="00697F3B">
        <w:t xml:space="preserve">. </w:t>
      </w:r>
      <w:r w:rsidR="000A343B" w:rsidRPr="00697F3B">
        <w:t>(</w:t>
      </w:r>
      <w:r w:rsidRPr="00697F3B">
        <w:t>2021</w:t>
      </w:r>
      <w:r w:rsidR="000A343B" w:rsidRPr="00697F3B">
        <w:t>)</w:t>
      </w:r>
      <w:r w:rsidR="00913C98" w:rsidRPr="00697F3B">
        <w:t xml:space="preserve">. </w:t>
      </w:r>
      <w:r w:rsidRPr="00697F3B">
        <w:t xml:space="preserve">Un tiers des actifs des fonds </w:t>
      </w:r>
      <w:proofErr w:type="spellStart"/>
      <w:r w:rsidRPr="00697F3B">
        <w:t>européens</w:t>
      </w:r>
      <w:proofErr w:type="spellEnd"/>
      <w:r w:rsidRPr="00697F3B">
        <w:t xml:space="preserve"> sont </w:t>
      </w:r>
      <w:proofErr w:type="spellStart"/>
      <w:r w:rsidRPr="00697F3B">
        <w:t>déja</w:t>
      </w:r>
      <w:proofErr w:type="spellEnd"/>
      <w:r w:rsidRPr="00697F3B">
        <w:t>̀</w:t>
      </w:r>
      <w:r w:rsidR="0086274B" w:rsidRPr="00697F3B">
        <w:tab/>
      </w:r>
      <w:proofErr w:type="spellStart"/>
      <w:r w:rsidRPr="00697F3B">
        <w:t>classés</w:t>
      </w:r>
      <w:proofErr w:type="spellEnd"/>
      <w:r w:rsidRPr="00697F3B">
        <w:t xml:space="preserve"> comme durables</w:t>
      </w:r>
      <w:r w:rsidR="00913C98" w:rsidRPr="00697F3B">
        <w:t xml:space="preserve">. </w:t>
      </w:r>
      <w:proofErr w:type="spellStart"/>
      <w:r w:rsidR="000A343B" w:rsidRPr="00697F3B">
        <w:t>Retrieved</w:t>
      </w:r>
      <w:proofErr w:type="spellEnd"/>
      <w:r w:rsidR="000A343B" w:rsidRPr="00697F3B">
        <w:t xml:space="preserve"> </w:t>
      </w:r>
      <w:proofErr w:type="spellStart"/>
      <w:r w:rsidR="000A343B" w:rsidRPr="00697F3B">
        <w:t>November</w:t>
      </w:r>
      <w:proofErr w:type="spellEnd"/>
      <w:r w:rsidR="000A343B" w:rsidRPr="00697F3B">
        <w:t xml:space="preserve"> 22, 2021, </w:t>
      </w:r>
      <w:proofErr w:type="spellStart"/>
      <w:r w:rsidR="000A343B" w:rsidRPr="00697F3B">
        <w:t>from</w:t>
      </w:r>
      <w:proofErr w:type="spellEnd"/>
      <w:r w:rsidR="000A343B" w:rsidRPr="00697F3B">
        <w:t xml:space="preserve"> </w:t>
      </w:r>
    </w:p>
    <w:p w14:paraId="26F4A6B9" w14:textId="20005980" w:rsidR="00EA0107" w:rsidRPr="00697F3B" w:rsidRDefault="0086274B" w:rsidP="003739A1">
      <w:pPr>
        <w:pStyle w:val="NormalWeb"/>
        <w:spacing w:before="0" w:beforeAutospacing="0" w:after="0" w:afterAutospacing="0" w:line="360" w:lineRule="auto"/>
        <w:ind w:left="708"/>
      </w:pPr>
      <w:hyperlink r:id="rId22" w:history="1">
        <w:r w:rsidRPr="00697F3B">
          <w:rPr>
            <w:rStyle w:val="Lienhypertexte"/>
          </w:rPr>
          <w:t>https://www.pwc.ch/fr/centre-de-presse/un- tiers-des-actifs-des-fonds-europeens-sont-deja-classes-comme-durables.html</w:t>
        </w:r>
      </w:hyperlink>
      <w:r w:rsidRPr="00697F3B">
        <w:rPr>
          <w:color w:val="0260BF"/>
        </w:rPr>
        <w:t xml:space="preserve"> </w:t>
      </w:r>
    </w:p>
    <w:p w14:paraId="12ACC1A7" w14:textId="20DA0AD2" w:rsidR="00EA0107" w:rsidRPr="00697F3B" w:rsidRDefault="00EA0107" w:rsidP="003739A1">
      <w:pPr>
        <w:pStyle w:val="NormalWeb"/>
        <w:spacing w:before="0" w:beforeAutospacing="0" w:after="0" w:afterAutospacing="0" w:line="360" w:lineRule="auto"/>
      </w:pPr>
      <w:r w:rsidRPr="00697F3B">
        <w:rPr>
          <w:lang w:val="en-US"/>
        </w:rPr>
        <w:t>Cookson</w:t>
      </w:r>
      <w:r w:rsidR="004C1CF0" w:rsidRPr="00697F3B">
        <w:rPr>
          <w:lang w:val="en-US"/>
        </w:rPr>
        <w:t>,</w:t>
      </w:r>
      <w:r w:rsidRPr="00697F3B">
        <w:rPr>
          <w:lang w:val="en-US"/>
        </w:rPr>
        <w:t xml:space="preserve"> J.A.</w:t>
      </w:r>
      <w:r w:rsidR="004C1CF0" w:rsidRPr="00697F3B">
        <w:rPr>
          <w:lang w:val="en-US"/>
        </w:rPr>
        <w:t xml:space="preserve"> &amp; </w:t>
      </w:r>
      <w:r w:rsidRPr="00697F3B">
        <w:rPr>
          <w:lang w:val="en-US"/>
        </w:rPr>
        <w:t xml:space="preserve">Niessner M. </w:t>
      </w:r>
      <w:r w:rsidR="00915F94" w:rsidRPr="00697F3B">
        <w:rPr>
          <w:lang w:val="en-US"/>
        </w:rPr>
        <w:t>(</w:t>
      </w:r>
      <w:r w:rsidRPr="00697F3B">
        <w:rPr>
          <w:lang w:val="en-US"/>
        </w:rPr>
        <w:t>2020</w:t>
      </w:r>
      <w:r w:rsidR="00915F94" w:rsidRPr="00697F3B">
        <w:rPr>
          <w:lang w:val="en-US"/>
        </w:rPr>
        <w:t>)</w:t>
      </w:r>
      <w:r w:rsidRPr="00697F3B">
        <w:rPr>
          <w:lang w:val="en-US"/>
        </w:rPr>
        <w:t>, Why don’t we agree? Evidence from a social network</w:t>
      </w:r>
      <w:r w:rsidR="0086274B" w:rsidRPr="00697F3B">
        <w:rPr>
          <w:lang w:val="en-US"/>
        </w:rPr>
        <w:tab/>
      </w:r>
      <w:r w:rsidRPr="00697F3B">
        <w:rPr>
          <w:lang w:val="en-US"/>
        </w:rPr>
        <w:t>of investors</w:t>
      </w:r>
      <w:r w:rsidR="004C1CF0" w:rsidRPr="00697F3B">
        <w:rPr>
          <w:lang w:val="en-US"/>
        </w:rPr>
        <w:t>.</w:t>
      </w:r>
      <w:r w:rsidRPr="00697F3B">
        <w:rPr>
          <w:lang w:val="en-US"/>
        </w:rPr>
        <w:t xml:space="preserve"> </w:t>
      </w:r>
      <w:r w:rsidRPr="00697F3B">
        <w:rPr>
          <w:i/>
          <w:iCs/>
        </w:rPr>
        <w:t>Journal of Finance</w:t>
      </w:r>
      <w:r w:rsidRPr="00697F3B">
        <w:t>, 75 (1)</w:t>
      </w:r>
      <w:r w:rsidR="00915F94" w:rsidRPr="00697F3B">
        <w:t xml:space="preserve">, </w:t>
      </w:r>
      <w:r w:rsidRPr="00697F3B">
        <w:t>173-228.</w:t>
      </w:r>
    </w:p>
    <w:p w14:paraId="486BCB1C" w14:textId="23301253" w:rsidR="00EA0107" w:rsidRPr="00697F3B" w:rsidRDefault="00EA0107" w:rsidP="003739A1">
      <w:pPr>
        <w:pStyle w:val="NormalWeb"/>
        <w:spacing w:before="0" w:beforeAutospacing="0" w:after="0" w:afterAutospacing="0" w:line="360" w:lineRule="auto"/>
      </w:pPr>
      <w:proofErr w:type="spellStart"/>
      <w:r w:rsidRPr="00697F3B">
        <w:t>Crifo</w:t>
      </w:r>
      <w:proofErr w:type="spellEnd"/>
      <w:r w:rsidR="004C1CF0" w:rsidRPr="00697F3B">
        <w:t>,</w:t>
      </w:r>
      <w:r w:rsidRPr="00697F3B">
        <w:t xml:space="preserve"> P. </w:t>
      </w:r>
      <w:r w:rsidR="004C1CF0" w:rsidRPr="00697F3B">
        <w:t>&amp;</w:t>
      </w:r>
      <w:r w:rsidRPr="00697F3B">
        <w:t xml:space="preserve"> </w:t>
      </w:r>
      <w:proofErr w:type="spellStart"/>
      <w:r w:rsidRPr="00697F3B">
        <w:t>Rebérioux</w:t>
      </w:r>
      <w:proofErr w:type="spellEnd"/>
      <w:r w:rsidR="004C1CF0" w:rsidRPr="00697F3B">
        <w:t>,</w:t>
      </w:r>
      <w:r w:rsidRPr="00697F3B">
        <w:t xml:space="preserve"> A. </w:t>
      </w:r>
      <w:r w:rsidR="00915F94" w:rsidRPr="00697F3B">
        <w:t>(</w:t>
      </w:r>
      <w:r w:rsidRPr="00697F3B">
        <w:t>2015</w:t>
      </w:r>
      <w:r w:rsidR="00915F94" w:rsidRPr="00697F3B">
        <w:t>)</w:t>
      </w:r>
      <w:r w:rsidR="004C1CF0" w:rsidRPr="00697F3B">
        <w:t xml:space="preserve">. </w:t>
      </w:r>
      <w:r w:rsidRPr="00697F3B">
        <w:t xml:space="preserve">Gouvernance et </w:t>
      </w:r>
      <w:proofErr w:type="spellStart"/>
      <w:r w:rsidRPr="00697F3B">
        <w:t>responsabilite</w:t>
      </w:r>
      <w:proofErr w:type="spellEnd"/>
      <w:r w:rsidRPr="00697F3B">
        <w:t xml:space="preserve">́ </w:t>
      </w:r>
      <w:proofErr w:type="spellStart"/>
      <w:r w:rsidRPr="00697F3B">
        <w:t>sociétale</w:t>
      </w:r>
      <w:proofErr w:type="spellEnd"/>
      <w:r w:rsidRPr="00697F3B">
        <w:t xml:space="preserve"> des entreprises :</w:t>
      </w:r>
      <w:r w:rsidR="0086274B" w:rsidRPr="00697F3B">
        <w:tab/>
      </w:r>
      <w:r w:rsidRPr="00697F3B">
        <w:t xml:space="preserve">nouvelle </w:t>
      </w:r>
      <w:proofErr w:type="spellStart"/>
      <w:r w:rsidRPr="00697F3B">
        <w:t>frontière</w:t>
      </w:r>
      <w:proofErr w:type="spellEnd"/>
      <w:r w:rsidRPr="00697F3B">
        <w:t xml:space="preserve"> de la finance durable</w:t>
      </w:r>
      <w:r w:rsidR="004C1CF0" w:rsidRPr="00697F3B">
        <w:t>.</w:t>
      </w:r>
      <w:r w:rsidRPr="00697F3B">
        <w:t xml:space="preserve"> </w:t>
      </w:r>
      <w:r w:rsidRPr="00697F3B">
        <w:rPr>
          <w:i/>
          <w:iCs/>
        </w:rPr>
        <w:t>Association d’</w:t>
      </w:r>
      <w:proofErr w:type="spellStart"/>
      <w:r w:rsidRPr="00697F3B">
        <w:rPr>
          <w:i/>
          <w:iCs/>
        </w:rPr>
        <w:t>économie</w:t>
      </w:r>
      <w:proofErr w:type="spellEnd"/>
      <w:r w:rsidRPr="00697F3B">
        <w:rPr>
          <w:i/>
          <w:iCs/>
        </w:rPr>
        <w:t xml:space="preserve"> </w:t>
      </w:r>
      <w:proofErr w:type="spellStart"/>
      <w:r w:rsidRPr="00697F3B">
        <w:rPr>
          <w:i/>
          <w:iCs/>
        </w:rPr>
        <w:t>financière</w:t>
      </w:r>
      <w:proofErr w:type="spellEnd"/>
      <w:r w:rsidRPr="00697F3B">
        <w:rPr>
          <w:i/>
          <w:iCs/>
        </w:rPr>
        <w:t xml:space="preserve"> – Revue</w:t>
      </w:r>
      <w:r w:rsidR="0086274B" w:rsidRPr="00697F3B">
        <w:rPr>
          <w:i/>
          <w:iCs/>
        </w:rPr>
        <w:tab/>
      </w:r>
      <w:r w:rsidRPr="00697F3B">
        <w:rPr>
          <w:i/>
          <w:iCs/>
        </w:rPr>
        <w:t>d’</w:t>
      </w:r>
      <w:proofErr w:type="spellStart"/>
      <w:r w:rsidRPr="00697F3B">
        <w:rPr>
          <w:i/>
          <w:iCs/>
        </w:rPr>
        <w:t>économie</w:t>
      </w:r>
      <w:proofErr w:type="spellEnd"/>
      <w:r w:rsidRPr="00697F3B">
        <w:rPr>
          <w:i/>
          <w:iCs/>
        </w:rPr>
        <w:t xml:space="preserve"> </w:t>
      </w:r>
      <w:proofErr w:type="spellStart"/>
      <w:r w:rsidRPr="00697F3B">
        <w:rPr>
          <w:i/>
          <w:iCs/>
        </w:rPr>
        <w:t>financière</w:t>
      </w:r>
      <w:proofErr w:type="spellEnd"/>
      <w:r w:rsidRPr="00697F3B">
        <w:t>, 1</w:t>
      </w:r>
      <w:r w:rsidR="004C1CF0" w:rsidRPr="00697F3B">
        <w:t xml:space="preserve"> (</w:t>
      </w:r>
      <w:r w:rsidRPr="00697F3B">
        <w:t>117</w:t>
      </w:r>
      <w:r w:rsidR="004C1CF0" w:rsidRPr="00697F3B">
        <w:t>)</w:t>
      </w:r>
      <w:r w:rsidR="00915F94" w:rsidRPr="00697F3B">
        <w:t>,</w:t>
      </w:r>
      <w:r w:rsidRPr="00697F3B">
        <w:t xml:space="preserve"> 205-223.</w:t>
      </w:r>
    </w:p>
    <w:p w14:paraId="5C435DE2" w14:textId="0152C419" w:rsidR="00EA0107" w:rsidRPr="00697F3B" w:rsidRDefault="00EA0107" w:rsidP="003739A1">
      <w:pPr>
        <w:pStyle w:val="refbiblio"/>
        <w:spacing w:before="0" w:beforeAutospacing="0" w:after="0" w:afterAutospacing="0" w:line="360" w:lineRule="auto"/>
        <w:rPr>
          <w:color w:val="323232"/>
        </w:rPr>
      </w:pPr>
      <w:proofErr w:type="spellStart"/>
      <w:r w:rsidRPr="00697F3B">
        <w:rPr>
          <w:color w:val="323232"/>
        </w:rPr>
        <w:t>Déjean</w:t>
      </w:r>
      <w:proofErr w:type="spellEnd"/>
      <w:r w:rsidR="004C1CF0" w:rsidRPr="00697F3B">
        <w:rPr>
          <w:color w:val="323232"/>
        </w:rPr>
        <w:t>,</w:t>
      </w:r>
      <w:r w:rsidRPr="00697F3B">
        <w:rPr>
          <w:color w:val="323232"/>
        </w:rPr>
        <w:t xml:space="preserve"> F. </w:t>
      </w:r>
      <w:r w:rsidR="00915F94" w:rsidRPr="00697F3B">
        <w:rPr>
          <w:color w:val="323232"/>
        </w:rPr>
        <w:t>(</w:t>
      </w:r>
      <w:r w:rsidRPr="00697F3B">
        <w:rPr>
          <w:color w:val="323232"/>
        </w:rPr>
        <w:t>2006</w:t>
      </w:r>
      <w:r w:rsidR="00915F94" w:rsidRPr="00697F3B">
        <w:rPr>
          <w:color w:val="323232"/>
        </w:rPr>
        <w:t>)</w:t>
      </w:r>
      <w:r w:rsidR="004C1CF0" w:rsidRPr="00697F3B">
        <w:rPr>
          <w:color w:val="323232"/>
        </w:rPr>
        <w:t xml:space="preserve">. </w:t>
      </w:r>
      <w:r w:rsidRPr="00697F3B">
        <w:rPr>
          <w:color w:val="323232"/>
        </w:rPr>
        <w:t>L’émergence de l’investissement socialement responsable en France : le</w:t>
      </w:r>
      <w:r w:rsidR="0086274B" w:rsidRPr="00697F3B">
        <w:rPr>
          <w:color w:val="323232"/>
        </w:rPr>
        <w:tab/>
      </w:r>
      <w:r w:rsidRPr="00697F3B">
        <w:rPr>
          <w:color w:val="323232"/>
        </w:rPr>
        <w:t xml:space="preserve">rôle des </w:t>
      </w:r>
      <w:proofErr w:type="spellStart"/>
      <w:r w:rsidRPr="00697F3B">
        <w:rPr>
          <w:color w:val="323232"/>
        </w:rPr>
        <w:t>societés</w:t>
      </w:r>
      <w:proofErr w:type="spellEnd"/>
      <w:r w:rsidRPr="00697F3B">
        <w:rPr>
          <w:color w:val="323232"/>
        </w:rPr>
        <w:t xml:space="preserve"> de gestion</w:t>
      </w:r>
      <w:r w:rsidR="004C1CF0" w:rsidRPr="00697F3B">
        <w:rPr>
          <w:color w:val="323232"/>
        </w:rPr>
        <w:t>.</w:t>
      </w:r>
      <w:r w:rsidRPr="00697F3B">
        <w:rPr>
          <w:rStyle w:val="Accentuation"/>
        </w:rPr>
        <w:t> </w:t>
      </w:r>
      <w:r w:rsidRPr="00697F3B">
        <w:rPr>
          <w:rStyle w:val="Accentuation"/>
          <w:color w:val="323232"/>
        </w:rPr>
        <w:t>Revue de l’organisation responsable</w:t>
      </w:r>
      <w:r w:rsidRPr="00697F3B">
        <w:rPr>
          <w:i/>
          <w:iCs/>
          <w:color w:val="323232"/>
        </w:rPr>
        <w:t xml:space="preserve">, </w:t>
      </w:r>
      <w:r w:rsidRPr="00697F3B">
        <w:rPr>
          <w:color w:val="323232"/>
        </w:rPr>
        <w:t>1</w:t>
      </w:r>
      <w:r w:rsidR="004C1CF0" w:rsidRPr="00697F3B">
        <w:rPr>
          <w:color w:val="323232"/>
        </w:rPr>
        <w:t xml:space="preserve"> </w:t>
      </w:r>
      <w:r w:rsidRPr="00697F3B">
        <w:rPr>
          <w:color w:val="323232"/>
        </w:rPr>
        <w:t>(1)</w:t>
      </w:r>
      <w:r w:rsidR="00915F94" w:rsidRPr="00697F3B">
        <w:rPr>
          <w:color w:val="323232"/>
        </w:rPr>
        <w:t>,</w:t>
      </w:r>
      <w:r w:rsidRPr="00697F3B">
        <w:rPr>
          <w:color w:val="323232"/>
        </w:rPr>
        <w:t xml:space="preserve"> 18-29.</w:t>
      </w:r>
    </w:p>
    <w:p w14:paraId="1F759B51" w14:textId="1B87BE36" w:rsidR="00EA0107" w:rsidRPr="00697F3B" w:rsidRDefault="00EA0107" w:rsidP="003739A1">
      <w:pPr>
        <w:pStyle w:val="NormalWeb"/>
        <w:spacing w:before="0" w:beforeAutospacing="0" w:after="0" w:afterAutospacing="0" w:line="360" w:lineRule="auto"/>
        <w:rPr>
          <w:lang w:val="en-US"/>
        </w:rPr>
      </w:pPr>
      <w:r w:rsidRPr="00697F3B">
        <w:t>Delmas</w:t>
      </w:r>
      <w:r w:rsidR="00586253" w:rsidRPr="00697F3B">
        <w:t>,</w:t>
      </w:r>
      <w:r w:rsidRPr="00697F3B">
        <w:t xml:space="preserve"> M.A., </w:t>
      </w:r>
      <w:proofErr w:type="spellStart"/>
      <w:r w:rsidRPr="00697F3B">
        <w:t>Etzion</w:t>
      </w:r>
      <w:proofErr w:type="spellEnd"/>
      <w:r w:rsidR="00586253" w:rsidRPr="00697F3B">
        <w:t>,</w:t>
      </w:r>
      <w:r w:rsidRPr="00697F3B">
        <w:t xml:space="preserve"> D. </w:t>
      </w:r>
      <w:r w:rsidR="00586253" w:rsidRPr="00697F3B">
        <w:t>&amp;</w:t>
      </w:r>
      <w:r w:rsidRPr="00697F3B">
        <w:t xml:space="preserve"> Nairn-</w:t>
      </w:r>
      <w:proofErr w:type="spellStart"/>
      <w:r w:rsidRPr="00697F3B">
        <w:t>Birch</w:t>
      </w:r>
      <w:proofErr w:type="spellEnd"/>
      <w:r w:rsidR="00586253" w:rsidRPr="00697F3B">
        <w:t>,</w:t>
      </w:r>
      <w:r w:rsidRPr="00697F3B">
        <w:t xml:space="preserve"> N. </w:t>
      </w:r>
      <w:r w:rsidR="00833F32" w:rsidRPr="00697F3B">
        <w:t>(</w:t>
      </w:r>
      <w:r w:rsidRPr="00697F3B">
        <w:t>2013</w:t>
      </w:r>
      <w:r w:rsidR="00833F32" w:rsidRPr="00697F3B">
        <w:t>)</w:t>
      </w:r>
      <w:r w:rsidR="00586253" w:rsidRPr="00697F3B">
        <w:t xml:space="preserve">. </w:t>
      </w:r>
      <w:r w:rsidRPr="00697F3B">
        <w:rPr>
          <w:lang w:val="en-US"/>
        </w:rPr>
        <w:t>Triangulating environmental</w:t>
      </w:r>
      <w:r w:rsidR="0086274B" w:rsidRPr="00697F3B">
        <w:rPr>
          <w:lang w:val="en-US"/>
        </w:rPr>
        <w:tab/>
      </w:r>
      <w:r w:rsidRPr="00697F3B">
        <w:rPr>
          <w:lang w:val="en-US"/>
        </w:rPr>
        <w:t>performance: What do corporate social responsibility ratings really capture</w:t>
      </w:r>
      <w:r w:rsidRPr="00697F3B">
        <w:rPr>
          <w:i/>
          <w:iCs/>
          <w:lang w:val="en-US"/>
        </w:rPr>
        <w:t>? Academy</w:t>
      </w:r>
      <w:r w:rsidR="0086274B" w:rsidRPr="00697F3B">
        <w:rPr>
          <w:i/>
          <w:iCs/>
          <w:lang w:val="en-US"/>
        </w:rPr>
        <w:tab/>
      </w:r>
      <w:r w:rsidRPr="00697F3B">
        <w:rPr>
          <w:i/>
          <w:iCs/>
          <w:lang w:val="en-US"/>
        </w:rPr>
        <w:t>of Management Perspectives</w:t>
      </w:r>
      <w:r w:rsidRPr="00697F3B">
        <w:rPr>
          <w:lang w:val="en-US"/>
        </w:rPr>
        <w:t>, 27</w:t>
      </w:r>
      <w:r w:rsidR="00586253" w:rsidRPr="00697F3B">
        <w:rPr>
          <w:lang w:val="en-US"/>
        </w:rPr>
        <w:t xml:space="preserve"> </w:t>
      </w:r>
      <w:r w:rsidRPr="00697F3B">
        <w:rPr>
          <w:lang w:val="en-US"/>
        </w:rPr>
        <w:t>(3)</w:t>
      </w:r>
      <w:r w:rsidR="00833F32" w:rsidRPr="00697F3B">
        <w:rPr>
          <w:lang w:val="en-US"/>
        </w:rPr>
        <w:t xml:space="preserve">, </w:t>
      </w:r>
      <w:r w:rsidRPr="00697F3B">
        <w:rPr>
          <w:lang w:val="en-US"/>
        </w:rPr>
        <w:t>255–267.</w:t>
      </w:r>
    </w:p>
    <w:p w14:paraId="6CB67B03" w14:textId="2794F619" w:rsidR="0086274B" w:rsidRPr="00697F3B" w:rsidRDefault="00EA0107" w:rsidP="003739A1">
      <w:pPr>
        <w:pStyle w:val="NormalWeb"/>
        <w:spacing w:before="0" w:beforeAutospacing="0" w:after="0" w:afterAutospacing="0" w:line="360" w:lineRule="auto"/>
        <w:rPr>
          <w:lang w:val="en-US"/>
        </w:rPr>
      </w:pPr>
      <w:r w:rsidRPr="00697F3B">
        <w:rPr>
          <w:lang w:val="en-US"/>
        </w:rPr>
        <w:t>Doyle</w:t>
      </w:r>
      <w:r w:rsidR="00586253" w:rsidRPr="00697F3B">
        <w:rPr>
          <w:lang w:val="en-US"/>
        </w:rPr>
        <w:t>,</w:t>
      </w:r>
      <w:r w:rsidRPr="00697F3B">
        <w:rPr>
          <w:lang w:val="en-US"/>
        </w:rPr>
        <w:t xml:space="preserve"> T.M. </w:t>
      </w:r>
      <w:r w:rsidR="00833F32" w:rsidRPr="00697F3B">
        <w:rPr>
          <w:lang w:val="en-US"/>
        </w:rPr>
        <w:t>(</w:t>
      </w:r>
      <w:r w:rsidRPr="00697F3B">
        <w:rPr>
          <w:lang w:val="en-US"/>
        </w:rPr>
        <w:t>2018</w:t>
      </w:r>
      <w:r w:rsidR="00833F32" w:rsidRPr="00697F3B">
        <w:rPr>
          <w:lang w:val="en-US"/>
        </w:rPr>
        <w:t>)</w:t>
      </w:r>
      <w:r w:rsidR="00586253" w:rsidRPr="00697F3B">
        <w:rPr>
          <w:lang w:val="en-US"/>
        </w:rPr>
        <w:t>.</w:t>
      </w:r>
      <w:r w:rsidRPr="00697F3B">
        <w:rPr>
          <w:lang w:val="en-US"/>
        </w:rPr>
        <w:t xml:space="preserve"> Ratings that don’t rate – the subjective view of ESG rating agencies,</w:t>
      </w:r>
      <w:r w:rsidR="0086274B" w:rsidRPr="00697F3B">
        <w:rPr>
          <w:lang w:val="en-US"/>
        </w:rPr>
        <w:tab/>
      </w:r>
      <w:proofErr w:type="gramStart"/>
      <w:r w:rsidRPr="00697F3B">
        <w:rPr>
          <w:lang w:val="en-US"/>
        </w:rPr>
        <w:t>Technical</w:t>
      </w:r>
      <w:proofErr w:type="gramEnd"/>
      <w:r w:rsidRPr="00697F3B">
        <w:rPr>
          <w:lang w:val="en-US"/>
        </w:rPr>
        <w:t xml:space="preserve"> report</w:t>
      </w:r>
      <w:r w:rsidR="00913C98" w:rsidRPr="00697F3B">
        <w:rPr>
          <w:lang w:val="en-US"/>
        </w:rPr>
        <w:t xml:space="preserve">. </w:t>
      </w:r>
      <w:r w:rsidRPr="00697F3B">
        <w:rPr>
          <w:lang w:val="en-US"/>
        </w:rPr>
        <w:t>ACCF American Council for Capital Formation</w:t>
      </w:r>
      <w:r w:rsidR="00833F32" w:rsidRPr="00697F3B">
        <w:rPr>
          <w:lang w:val="en-US"/>
        </w:rPr>
        <w:t>. Retrieved January</w:t>
      </w:r>
      <w:r w:rsidR="0086274B" w:rsidRPr="00697F3B">
        <w:rPr>
          <w:lang w:val="en-US"/>
        </w:rPr>
        <w:tab/>
      </w:r>
      <w:r w:rsidR="00833F32" w:rsidRPr="00697F3B">
        <w:rPr>
          <w:lang w:val="en-US"/>
        </w:rPr>
        <w:t xml:space="preserve">26, 2022, from </w:t>
      </w:r>
    </w:p>
    <w:p w14:paraId="7DD441B2" w14:textId="716BEDD7" w:rsidR="00EA0107" w:rsidRPr="00697F3B" w:rsidRDefault="0086274B" w:rsidP="003739A1">
      <w:pPr>
        <w:pStyle w:val="NormalWeb"/>
        <w:spacing w:before="0" w:beforeAutospacing="0" w:after="0" w:afterAutospacing="0" w:line="360" w:lineRule="auto"/>
        <w:ind w:firstLine="708"/>
        <w:rPr>
          <w:color w:val="0260BF"/>
          <w:lang w:val="en-US"/>
        </w:rPr>
      </w:pPr>
      <w:hyperlink r:id="rId23" w:history="1">
        <w:r w:rsidRPr="00697F3B">
          <w:rPr>
            <w:rStyle w:val="Lienhypertexte"/>
            <w:lang w:val="en-US"/>
          </w:rPr>
          <w:t>https://accfcorpgov.org/wp-content/uploads/2018/07/ACCF_RatingsESGReport.pdf</w:t>
        </w:r>
      </w:hyperlink>
    </w:p>
    <w:p w14:paraId="5BC64FC1" w14:textId="52300D08" w:rsidR="00EA0107" w:rsidRPr="00697F3B" w:rsidRDefault="00EA0107" w:rsidP="003739A1">
      <w:pPr>
        <w:pStyle w:val="NormalWeb"/>
        <w:spacing w:before="0" w:beforeAutospacing="0" w:after="0" w:afterAutospacing="0" w:line="360" w:lineRule="auto"/>
      </w:pPr>
      <w:r w:rsidRPr="00697F3B">
        <w:rPr>
          <w:lang w:val="en-US"/>
        </w:rPr>
        <w:t>Durif</w:t>
      </w:r>
      <w:r w:rsidR="00586253" w:rsidRPr="00697F3B">
        <w:rPr>
          <w:lang w:val="en-US"/>
        </w:rPr>
        <w:t>,</w:t>
      </w:r>
      <w:r w:rsidRPr="00697F3B">
        <w:rPr>
          <w:lang w:val="en-US"/>
        </w:rPr>
        <w:t xml:space="preserve"> F., Prim-</w:t>
      </w:r>
      <w:proofErr w:type="spellStart"/>
      <w:r w:rsidRPr="00697F3B">
        <w:rPr>
          <w:lang w:val="en-US"/>
        </w:rPr>
        <w:t>Allaz</w:t>
      </w:r>
      <w:proofErr w:type="spellEnd"/>
      <w:r w:rsidR="00586253" w:rsidRPr="00697F3B">
        <w:rPr>
          <w:lang w:val="en-US"/>
        </w:rPr>
        <w:t>,</w:t>
      </w:r>
      <w:r w:rsidRPr="00697F3B">
        <w:rPr>
          <w:lang w:val="en-US"/>
        </w:rPr>
        <w:t xml:space="preserve"> I. </w:t>
      </w:r>
      <w:r w:rsidR="00586253" w:rsidRPr="00697F3B">
        <w:rPr>
          <w:lang w:val="en-US"/>
        </w:rPr>
        <w:t>&amp;</w:t>
      </w:r>
      <w:r w:rsidRPr="00697F3B">
        <w:rPr>
          <w:lang w:val="en-US"/>
        </w:rPr>
        <w:t xml:space="preserve"> Sami</w:t>
      </w:r>
      <w:r w:rsidR="00586253" w:rsidRPr="00697F3B">
        <w:rPr>
          <w:lang w:val="en-US"/>
        </w:rPr>
        <w:t>,</w:t>
      </w:r>
      <w:r w:rsidRPr="00697F3B">
        <w:rPr>
          <w:lang w:val="en-US"/>
        </w:rPr>
        <w:t xml:space="preserve"> H.</w:t>
      </w:r>
      <w:r w:rsidR="00586253" w:rsidRPr="00697F3B">
        <w:rPr>
          <w:lang w:val="en-US"/>
        </w:rPr>
        <w:t xml:space="preserve"> </w:t>
      </w:r>
      <w:r w:rsidR="00100DB9" w:rsidRPr="00697F3B">
        <w:rPr>
          <w:lang w:val="en-US"/>
        </w:rPr>
        <w:t>(</w:t>
      </w:r>
      <w:r w:rsidRPr="00697F3B">
        <w:rPr>
          <w:lang w:val="en-US"/>
        </w:rPr>
        <w:t>2013</w:t>
      </w:r>
      <w:r w:rsidR="00100DB9" w:rsidRPr="00697F3B">
        <w:rPr>
          <w:lang w:val="en-US"/>
        </w:rPr>
        <w:t>)</w:t>
      </w:r>
      <w:r w:rsidR="00586253" w:rsidRPr="00697F3B">
        <w:rPr>
          <w:lang w:val="en-US"/>
        </w:rPr>
        <w:t>.</w:t>
      </w:r>
      <w:r w:rsidRPr="00697F3B">
        <w:rPr>
          <w:lang w:val="en-US"/>
        </w:rPr>
        <w:t xml:space="preserve"> </w:t>
      </w:r>
      <w:r w:rsidRPr="00697F3B">
        <w:t>Les investisseurs particuliers et l’ISR</w:t>
      </w:r>
      <w:r w:rsidR="00586253" w:rsidRPr="00697F3B">
        <w:t>.</w:t>
      </w:r>
      <w:r w:rsidRPr="00697F3B">
        <w:t xml:space="preserve"> </w:t>
      </w:r>
      <w:r w:rsidRPr="00697F3B">
        <w:rPr>
          <w:i/>
          <w:iCs/>
        </w:rPr>
        <w:t>Revue</w:t>
      </w:r>
      <w:r w:rsidR="0086274B" w:rsidRPr="00697F3B">
        <w:rPr>
          <w:i/>
          <w:iCs/>
        </w:rPr>
        <w:tab/>
      </w:r>
      <w:r w:rsidRPr="00697F3B">
        <w:rPr>
          <w:i/>
          <w:iCs/>
        </w:rPr>
        <w:t>française de gestion</w:t>
      </w:r>
      <w:r w:rsidRPr="00697F3B">
        <w:t>, 236</w:t>
      </w:r>
      <w:r w:rsidR="00586253" w:rsidRPr="00697F3B">
        <w:t xml:space="preserve"> </w:t>
      </w:r>
      <w:r w:rsidRPr="00697F3B">
        <w:t>(7)</w:t>
      </w:r>
      <w:r w:rsidR="00100DB9" w:rsidRPr="00697F3B">
        <w:t xml:space="preserve">, </w:t>
      </w:r>
      <w:r w:rsidRPr="00697F3B">
        <w:t>27-147.</w:t>
      </w:r>
    </w:p>
    <w:p w14:paraId="61EE8C35" w14:textId="70DB61CD" w:rsidR="00EA0107" w:rsidRPr="00697F3B" w:rsidRDefault="00EA0107" w:rsidP="003739A1">
      <w:pPr>
        <w:pStyle w:val="NormalWeb"/>
        <w:spacing w:before="0" w:beforeAutospacing="0" w:after="0" w:afterAutospacing="0" w:line="360" w:lineRule="auto"/>
        <w:rPr>
          <w:color w:val="0260BF"/>
          <w:lang w:val="en-US"/>
        </w:rPr>
      </w:pPr>
      <w:r w:rsidRPr="00697F3B">
        <w:lastRenderedPageBreak/>
        <w:t xml:space="preserve">El </w:t>
      </w:r>
      <w:proofErr w:type="spellStart"/>
      <w:r w:rsidRPr="00697F3B">
        <w:t>Ghoul</w:t>
      </w:r>
      <w:proofErr w:type="spellEnd"/>
      <w:r w:rsidR="00586253" w:rsidRPr="00697F3B">
        <w:t>,</w:t>
      </w:r>
      <w:r w:rsidRPr="00697F3B">
        <w:t xml:space="preserve"> S. </w:t>
      </w:r>
      <w:r w:rsidR="00586253" w:rsidRPr="00697F3B">
        <w:t>&amp;</w:t>
      </w:r>
      <w:r w:rsidRPr="00697F3B">
        <w:t xml:space="preserve"> </w:t>
      </w:r>
      <w:proofErr w:type="spellStart"/>
      <w:r w:rsidRPr="00697F3B">
        <w:t>Karoui</w:t>
      </w:r>
      <w:proofErr w:type="spellEnd"/>
      <w:r w:rsidR="00586253" w:rsidRPr="00697F3B">
        <w:t>,</w:t>
      </w:r>
      <w:r w:rsidRPr="00697F3B">
        <w:t xml:space="preserve"> A. </w:t>
      </w:r>
      <w:r w:rsidR="003C0062" w:rsidRPr="00697F3B">
        <w:t>(</w:t>
      </w:r>
      <w:r w:rsidRPr="00697F3B">
        <w:t>2020</w:t>
      </w:r>
      <w:r w:rsidR="003C0062" w:rsidRPr="00697F3B">
        <w:t>ç</w:t>
      </w:r>
      <w:r w:rsidR="00586253" w:rsidRPr="00697F3B">
        <w:t xml:space="preserve">. </w:t>
      </w:r>
      <w:r w:rsidRPr="00697F3B">
        <w:rPr>
          <w:lang w:val="en-US"/>
        </w:rPr>
        <w:t>What’s in a (green) name? the consequences of greening</w:t>
      </w:r>
      <w:r w:rsidR="00FF3597" w:rsidRPr="00697F3B">
        <w:rPr>
          <w:lang w:val="en-US"/>
        </w:rPr>
        <w:tab/>
      </w:r>
      <w:r w:rsidRPr="00697F3B">
        <w:rPr>
          <w:lang w:val="en-US"/>
        </w:rPr>
        <w:t>fund names on fund flows, turnover, and performance</w:t>
      </w:r>
      <w:r w:rsidR="00586253" w:rsidRPr="00697F3B">
        <w:rPr>
          <w:lang w:val="en-US"/>
        </w:rPr>
        <w:t xml:space="preserve">. </w:t>
      </w:r>
      <w:r w:rsidRPr="00697F3B">
        <w:rPr>
          <w:i/>
          <w:iCs/>
          <w:lang w:val="en-US"/>
        </w:rPr>
        <w:t>Finance Research Letters</w:t>
      </w:r>
      <w:r w:rsidRPr="00697F3B">
        <w:rPr>
          <w:lang w:val="en-US"/>
        </w:rPr>
        <w:t>, 39</w:t>
      </w:r>
      <w:r w:rsidR="00C74CE1" w:rsidRPr="00697F3B">
        <w:rPr>
          <w:lang w:val="en-US"/>
        </w:rPr>
        <w:t>.</w:t>
      </w:r>
      <w:r w:rsidR="00FF3597" w:rsidRPr="00697F3B">
        <w:rPr>
          <w:lang w:val="en-US"/>
        </w:rPr>
        <w:tab/>
      </w:r>
      <w:r w:rsidR="003C0062" w:rsidRPr="00697F3B">
        <w:rPr>
          <w:lang w:val="en-US"/>
        </w:rPr>
        <w:t>Retrieved January 27, 2022, from</w:t>
      </w:r>
      <w:r w:rsidR="00FF3597" w:rsidRPr="00697F3B">
        <w:rPr>
          <w:lang w:val="en-US"/>
        </w:rPr>
        <w:tab/>
      </w:r>
      <w:hyperlink r:id="rId24" w:history="1">
        <w:r w:rsidR="00D026E5" w:rsidRPr="00697F3B">
          <w:rPr>
            <w:rStyle w:val="Lienhypertexte"/>
            <w:lang w:val="en-US"/>
          </w:rPr>
          <w:t>https://papers.ssrn.com/sol3/papers.cfm?abstract_id=3593056</w:t>
        </w:r>
      </w:hyperlink>
    </w:p>
    <w:p w14:paraId="1785B914" w14:textId="039A1EDB" w:rsidR="00EA0107" w:rsidRPr="00697F3B" w:rsidRDefault="00EA0107" w:rsidP="003739A1">
      <w:pPr>
        <w:pStyle w:val="NormalWeb"/>
        <w:spacing w:before="0" w:beforeAutospacing="0" w:after="0" w:afterAutospacing="0" w:line="360" w:lineRule="auto"/>
      </w:pPr>
      <w:r w:rsidRPr="00697F3B">
        <w:rPr>
          <w:lang w:val="en-US"/>
        </w:rPr>
        <w:t>Espenlaub</w:t>
      </w:r>
      <w:r w:rsidR="00586253" w:rsidRPr="00697F3B">
        <w:rPr>
          <w:lang w:val="en-US"/>
        </w:rPr>
        <w:t>,</w:t>
      </w:r>
      <w:r w:rsidRPr="00697F3B">
        <w:rPr>
          <w:lang w:val="en-US"/>
        </w:rPr>
        <w:t xml:space="preserve"> S., Haq</w:t>
      </w:r>
      <w:r w:rsidR="00586253" w:rsidRPr="00697F3B">
        <w:rPr>
          <w:lang w:val="en-US"/>
        </w:rPr>
        <w:t>,</w:t>
      </w:r>
      <w:r w:rsidRPr="00697F3B">
        <w:rPr>
          <w:lang w:val="en-US"/>
        </w:rPr>
        <w:t xml:space="preserve"> I.U.</w:t>
      </w:r>
      <w:r w:rsidR="00586253" w:rsidRPr="00697F3B">
        <w:rPr>
          <w:lang w:val="en-US"/>
        </w:rPr>
        <w:t xml:space="preserve"> &amp;</w:t>
      </w:r>
      <w:r w:rsidRPr="00697F3B">
        <w:rPr>
          <w:lang w:val="en-US"/>
        </w:rPr>
        <w:t xml:space="preserve"> Khurshed</w:t>
      </w:r>
      <w:r w:rsidR="00586253" w:rsidRPr="00697F3B">
        <w:rPr>
          <w:lang w:val="en-US"/>
        </w:rPr>
        <w:t>,</w:t>
      </w:r>
      <w:r w:rsidRPr="00697F3B">
        <w:rPr>
          <w:lang w:val="en-US"/>
        </w:rPr>
        <w:t xml:space="preserve"> A. </w:t>
      </w:r>
      <w:r w:rsidR="003C0062" w:rsidRPr="00697F3B">
        <w:rPr>
          <w:lang w:val="en-US"/>
        </w:rPr>
        <w:t>(</w:t>
      </w:r>
      <w:r w:rsidRPr="00697F3B">
        <w:rPr>
          <w:lang w:val="en-US"/>
        </w:rPr>
        <w:t>2017</w:t>
      </w:r>
      <w:r w:rsidR="003C0062" w:rsidRPr="00697F3B">
        <w:rPr>
          <w:lang w:val="en-US"/>
        </w:rPr>
        <w:t>)</w:t>
      </w:r>
      <w:r w:rsidR="00586253" w:rsidRPr="00697F3B">
        <w:rPr>
          <w:lang w:val="en-US"/>
        </w:rPr>
        <w:t xml:space="preserve">. </w:t>
      </w:r>
      <w:r w:rsidRPr="00697F3B">
        <w:rPr>
          <w:lang w:val="en-US"/>
        </w:rPr>
        <w:t>It’s all in the name: Mutual fund name</w:t>
      </w:r>
      <w:r w:rsidR="00FF3597" w:rsidRPr="00697F3B">
        <w:rPr>
          <w:lang w:val="en-US"/>
        </w:rPr>
        <w:tab/>
      </w:r>
      <w:r w:rsidRPr="00697F3B">
        <w:rPr>
          <w:lang w:val="en-US"/>
        </w:rPr>
        <w:t>changes after sec rule 35d-1</w:t>
      </w:r>
      <w:r w:rsidR="00586253" w:rsidRPr="00697F3B">
        <w:rPr>
          <w:lang w:val="en-US"/>
        </w:rPr>
        <w:t>.</w:t>
      </w:r>
      <w:r w:rsidRPr="00697F3B">
        <w:rPr>
          <w:lang w:val="en-US"/>
        </w:rPr>
        <w:t xml:space="preserve"> </w:t>
      </w:r>
      <w:r w:rsidRPr="00697F3B">
        <w:rPr>
          <w:i/>
          <w:iCs/>
        </w:rPr>
        <w:t>Journal of Banking &amp; Finance</w:t>
      </w:r>
      <w:r w:rsidRPr="00697F3B">
        <w:t>, 8</w:t>
      </w:r>
      <w:r w:rsidR="003C0062" w:rsidRPr="00697F3B">
        <w:t xml:space="preserve">4, </w:t>
      </w:r>
      <w:r w:rsidRPr="00697F3B">
        <w:t>123–134.</w:t>
      </w:r>
    </w:p>
    <w:p w14:paraId="08EDEC9A" w14:textId="284210E7" w:rsidR="00D026E5" w:rsidRPr="00697F3B" w:rsidRDefault="00EA0107" w:rsidP="003739A1">
      <w:pPr>
        <w:pStyle w:val="NormalWeb"/>
        <w:spacing w:before="0" w:beforeAutospacing="0" w:after="0" w:afterAutospacing="0" w:line="360" w:lineRule="auto"/>
        <w:rPr>
          <w:lang w:val="en-US"/>
        </w:rPr>
      </w:pPr>
      <w:proofErr w:type="spellStart"/>
      <w:r w:rsidRPr="00697F3B">
        <w:t>Eurosif</w:t>
      </w:r>
      <w:proofErr w:type="spellEnd"/>
      <w:r w:rsidR="00C74CE1" w:rsidRPr="00697F3B">
        <w:t xml:space="preserve">. </w:t>
      </w:r>
      <w:r w:rsidRPr="00697F3B">
        <w:t>2014</w:t>
      </w:r>
      <w:r w:rsidR="00C74CE1" w:rsidRPr="00697F3B">
        <w:t xml:space="preserve">. </w:t>
      </w:r>
      <w:proofErr w:type="spellStart"/>
      <w:r w:rsidRPr="00697F3B">
        <w:t>Étude</w:t>
      </w:r>
      <w:proofErr w:type="spellEnd"/>
      <w:r w:rsidRPr="00697F3B">
        <w:t xml:space="preserve"> sur le </w:t>
      </w:r>
      <w:r w:rsidR="00C74CE1" w:rsidRPr="00697F3B">
        <w:t>marché</w:t>
      </w:r>
      <w:r w:rsidRPr="00697F3B">
        <w:t xml:space="preserve"> </w:t>
      </w:r>
      <w:proofErr w:type="spellStart"/>
      <w:r w:rsidRPr="00697F3B">
        <w:t>européen</w:t>
      </w:r>
      <w:proofErr w:type="spellEnd"/>
      <w:r w:rsidRPr="00697F3B">
        <w:t xml:space="preserve"> de l’ISR 2014 (extrait)</w:t>
      </w:r>
      <w:r w:rsidR="00C74CE1" w:rsidRPr="00697F3B">
        <w:t>.</w:t>
      </w:r>
      <w:r w:rsidR="003C0062" w:rsidRPr="00697F3B">
        <w:t xml:space="preserve"> </w:t>
      </w:r>
      <w:r w:rsidR="003C0062" w:rsidRPr="00697F3B">
        <w:rPr>
          <w:lang w:val="en-US"/>
        </w:rPr>
        <w:t>Retrieved January 27,</w:t>
      </w:r>
    </w:p>
    <w:p w14:paraId="0019F65B" w14:textId="5B3EEFC0" w:rsidR="00EA0107" w:rsidRPr="00697F3B" w:rsidRDefault="003C0062" w:rsidP="003739A1">
      <w:pPr>
        <w:pStyle w:val="NormalWeb"/>
        <w:spacing w:before="0" w:beforeAutospacing="0" w:after="0" w:afterAutospacing="0" w:line="360" w:lineRule="auto"/>
        <w:ind w:left="708"/>
        <w:rPr>
          <w:lang w:val="en-US"/>
        </w:rPr>
      </w:pPr>
      <w:r w:rsidRPr="00697F3B">
        <w:rPr>
          <w:lang w:val="en-US"/>
        </w:rPr>
        <w:t xml:space="preserve">2022, from </w:t>
      </w:r>
      <w:hyperlink r:id="rId25" w:history="1">
        <w:r w:rsidR="00D026E5" w:rsidRPr="00697F3B">
          <w:rPr>
            <w:rStyle w:val="Lienhypertexte"/>
            <w:lang w:val="en-US"/>
          </w:rPr>
          <w:t>https://temis.documentation.developpement-durable.gouv.fr/document.html?id=Temis-0070401&amp;requestId=0&amp;number=48</w:t>
        </w:r>
      </w:hyperlink>
    </w:p>
    <w:p w14:paraId="26A76FBC" w14:textId="7C347FC8" w:rsidR="00EA0107" w:rsidRPr="00697F3B" w:rsidRDefault="00EA0107" w:rsidP="003739A1">
      <w:pPr>
        <w:pStyle w:val="NormalWeb"/>
        <w:spacing w:before="0" w:beforeAutospacing="0" w:after="0" w:afterAutospacing="0" w:line="360" w:lineRule="auto"/>
      </w:pPr>
      <w:proofErr w:type="spellStart"/>
      <w:r w:rsidRPr="00697F3B">
        <w:t>Ferone</w:t>
      </w:r>
      <w:proofErr w:type="spellEnd"/>
      <w:r w:rsidRPr="00697F3B">
        <w:t xml:space="preserve"> Creuzet</w:t>
      </w:r>
      <w:r w:rsidR="00586253" w:rsidRPr="00697F3B">
        <w:t>,</w:t>
      </w:r>
      <w:r w:rsidRPr="00697F3B">
        <w:t xml:space="preserve"> G. </w:t>
      </w:r>
      <w:r w:rsidR="0015555A" w:rsidRPr="00697F3B">
        <w:t>(</w:t>
      </w:r>
      <w:r w:rsidRPr="00697F3B">
        <w:t>2021</w:t>
      </w:r>
      <w:r w:rsidR="0015555A" w:rsidRPr="00697F3B">
        <w:t>)</w:t>
      </w:r>
      <w:r w:rsidR="00586253" w:rsidRPr="00697F3B">
        <w:t xml:space="preserve">. </w:t>
      </w:r>
      <w:r w:rsidRPr="00697F3B">
        <w:t xml:space="preserve">Mesurer l’information </w:t>
      </w:r>
      <w:proofErr w:type="spellStart"/>
      <w:r w:rsidRPr="00697F3B">
        <w:t>extra-financière</w:t>
      </w:r>
      <w:proofErr w:type="spellEnd"/>
      <w:r w:rsidRPr="00697F3B">
        <w:t xml:space="preserve"> – Un </w:t>
      </w:r>
      <w:proofErr w:type="spellStart"/>
      <w:r w:rsidRPr="00697F3B">
        <w:t>défi</w:t>
      </w:r>
      <w:proofErr w:type="spellEnd"/>
      <w:r w:rsidRPr="00697F3B">
        <w:t xml:space="preserve"> incontournable</w:t>
      </w:r>
      <w:r w:rsidR="00FF3597" w:rsidRPr="00697F3B">
        <w:tab/>
      </w:r>
      <w:r w:rsidRPr="00697F3B">
        <w:t>pour l’entreprise</w:t>
      </w:r>
      <w:r w:rsidR="00586253" w:rsidRPr="00697F3B">
        <w:t xml:space="preserve">. </w:t>
      </w:r>
      <w:r w:rsidRPr="00697F3B">
        <w:rPr>
          <w:i/>
          <w:iCs/>
        </w:rPr>
        <w:t>Futuribles</w:t>
      </w:r>
      <w:r w:rsidRPr="00697F3B">
        <w:t>, 4</w:t>
      </w:r>
      <w:r w:rsidR="00586253" w:rsidRPr="00697F3B">
        <w:t xml:space="preserve"> (</w:t>
      </w:r>
      <w:r w:rsidRPr="00697F3B">
        <w:t>443)</w:t>
      </w:r>
      <w:r w:rsidR="0015555A" w:rsidRPr="00697F3B">
        <w:t xml:space="preserve">, </w:t>
      </w:r>
      <w:r w:rsidRPr="00697F3B">
        <w:t>91-95.</w:t>
      </w:r>
    </w:p>
    <w:p w14:paraId="17F35D82" w14:textId="60E4FEB4" w:rsidR="00FF3597" w:rsidRPr="00697F3B" w:rsidRDefault="00EA0107" w:rsidP="003739A1">
      <w:pPr>
        <w:pStyle w:val="NormalWeb"/>
        <w:spacing w:before="0" w:beforeAutospacing="0" w:after="0" w:afterAutospacing="0" w:line="360" w:lineRule="auto"/>
      </w:pPr>
      <w:proofErr w:type="spellStart"/>
      <w:r w:rsidRPr="00697F3B">
        <w:t>Fidelity</w:t>
      </w:r>
      <w:proofErr w:type="spellEnd"/>
      <w:r w:rsidRPr="00697F3B">
        <w:t xml:space="preserve"> International</w:t>
      </w:r>
      <w:r w:rsidR="00326F38" w:rsidRPr="00697F3B">
        <w:t xml:space="preserve"> – Trends tendances. </w:t>
      </w:r>
      <w:r w:rsidR="00386696" w:rsidRPr="00697F3B">
        <w:t>(</w:t>
      </w:r>
      <w:r w:rsidR="00326F38" w:rsidRPr="00697F3B">
        <w:t>2021</w:t>
      </w:r>
      <w:r w:rsidR="00386696" w:rsidRPr="00697F3B">
        <w:t>)</w:t>
      </w:r>
      <w:r w:rsidR="00326F38" w:rsidRPr="00697F3B">
        <w:t xml:space="preserve">. </w:t>
      </w:r>
      <w:r w:rsidRPr="00697F3B">
        <w:t>L’ESG, l’</w:t>
      </w:r>
      <w:proofErr w:type="spellStart"/>
      <w:r w:rsidRPr="00697F3B">
        <w:t>accélérateur</w:t>
      </w:r>
      <w:proofErr w:type="spellEnd"/>
      <w:r w:rsidRPr="00697F3B">
        <w:t xml:space="preserve"> d’une croissance</w:t>
      </w:r>
      <w:r w:rsidR="00FF3597" w:rsidRPr="00697F3B">
        <w:tab/>
      </w:r>
      <w:r w:rsidRPr="00697F3B">
        <w:t>durable</w:t>
      </w:r>
      <w:r w:rsidR="00326F38" w:rsidRPr="00697F3B">
        <w:t xml:space="preserve">. </w:t>
      </w:r>
      <w:proofErr w:type="spellStart"/>
      <w:r w:rsidR="00386696" w:rsidRPr="00697F3B">
        <w:t>Retrieved</w:t>
      </w:r>
      <w:proofErr w:type="spellEnd"/>
      <w:r w:rsidR="00386696" w:rsidRPr="00697F3B">
        <w:t xml:space="preserve"> </w:t>
      </w:r>
      <w:proofErr w:type="spellStart"/>
      <w:r w:rsidR="00386696" w:rsidRPr="00697F3B">
        <w:t>January</w:t>
      </w:r>
      <w:proofErr w:type="spellEnd"/>
      <w:r w:rsidR="00386696" w:rsidRPr="00697F3B">
        <w:t xml:space="preserve"> 27, 2022, </w:t>
      </w:r>
      <w:proofErr w:type="spellStart"/>
      <w:r w:rsidR="00386696" w:rsidRPr="00697F3B">
        <w:t>from</w:t>
      </w:r>
      <w:proofErr w:type="spellEnd"/>
      <w:r w:rsidR="00386696" w:rsidRPr="00697F3B">
        <w:t xml:space="preserve"> </w:t>
      </w:r>
    </w:p>
    <w:p w14:paraId="570CE7F9" w14:textId="3E036B4B" w:rsidR="00EA0107" w:rsidRPr="00697F3B" w:rsidRDefault="00FF3597" w:rsidP="003739A1">
      <w:pPr>
        <w:pStyle w:val="NormalWeb"/>
        <w:spacing w:before="0" w:beforeAutospacing="0" w:after="0" w:afterAutospacing="0" w:line="360" w:lineRule="auto"/>
        <w:ind w:left="708"/>
        <w:rPr>
          <w:color w:val="0260BF"/>
        </w:rPr>
      </w:pPr>
      <w:hyperlink r:id="rId26" w:history="1">
        <w:r w:rsidRPr="00697F3B">
          <w:rPr>
            <w:rStyle w:val="Lienhypertexte"/>
          </w:rPr>
          <w:t>https://trends.levif.be/economie/trends-information- services/l-esg-l-accelerateur-d-une-croissance-durable/article-publishingpartner- 1440343.html?cookie_check=1643291392</w:t>
        </w:r>
      </w:hyperlink>
    </w:p>
    <w:p w14:paraId="63FC6B74" w14:textId="7512F1DB" w:rsidR="00FF3597" w:rsidRPr="00697F3B" w:rsidRDefault="00EA0107" w:rsidP="003739A1">
      <w:pPr>
        <w:pStyle w:val="NormalWeb"/>
        <w:spacing w:before="0" w:beforeAutospacing="0" w:after="0" w:afterAutospacing="0" w:line="360" w:lineRule="auto"/>
        <w:rPr>
          <w:lang w:val="en-US"/>
        </w:rPr>
      </w:pPr>
      <w:proofErr w:type="spellStart"/>
      <w:r w:rsidRPr="00697F3B">
        <w:t>Fily</w:t>
      </w:r>
      <w:proofErr w:type="spellEnd"/>
      <w:r w:rsidR="00326F38" w:rsidRPr="00697F3B">
        <w:t xml:space="preserve">, </w:t>
      </w:r>
      <w:r w:rsidRPr="00697F3B">
        <w:t xml:space="preserve">A. </w:t>
      </w:r>
      <w:r w:rsidR="00386696" w:rsidRPr="00697F3B">
        <w:t>(</w:t>
      </w:r>
      <w:r w:rsidRPr="00697F3B">
        <w:t>2019</w:t>
      </w:r>
      <w:r w:rsidR="00386696" w:rsidRPr="00697F3B">
        <w:t>)</w:t>
      </w:r>
      <w:r w:rsidR="00326F38" w:rsidRPr="00697F3B">
        <w:t xml:space="preserve">. </w:t>
      </w:r>
      <w:r w:rsidRPr="00697F3B">
        <w:t>Finance durable, socialement responsable, verte... : de quoi parle-t-on ?</w:t>
      </w:r>
      <w:r w:rsidR="00FF3597" w:rsidRPr="00697F3B">
        <w:tab/>
      </w:r>
      <w:proofErr w:type="spellStart"/>
      <w:r w:rsidRPr="00697F3B">
        <w:rPr>
          <w:lang w:val="en-US"/>
        </w:rPr>
        <w:t>Analyse</w:t>
      </w:r>
      <w:proofErr w:type="spellEnd"/>
      <w:r w:rsidRPr="00697F3B">
        <w:rPr>
          <w:lang w:val="en-US"/>
        </w:rPr>
        <w:t xml:space="preserve"> </w:t>
      </w:r>
      <w:proofErr w:type="spellStart"/>
      <w:r w:rsidRPr="00697F3B">
        <w:rPr>
          <w:lang w:val="en-US"/>
        </w:rPr>
        <w:t>Financite</w:t>
      </w:r>
      <w:proofErr w:type="spellEnd"/>
      <w:r w:rsidRPr="00697F3B">
        <w:rPr>
          <w:lang w:val="en-US"/>
        </w:rPr>
        <w:t>́</w:t>
      </w:r>
      <w:r w:rsidR="00326F38" w:rsidRPr="00697F3B">
        <w:rPr>
          <w:lang w:val="en-US"/>
        </w:rPr>
        <w:t>.</w:t>
      </w:r>
      <w:r w:rsidR="00386696" w:rsidRPr="00697F3B">
        <w:rPr>
          <w:lang w:val="en-US"/>
        </w:rPr>
        <w:t xml:space="preserve"> Retrieved January 27, 2022, from </w:t>
      </w:r>
    </w:p>
    <w:p w14:paraId="252C1A8B" w14:textId="2862A042" w:rsidR="00EA0107" w:rsidRPr="00697F3B" w:rsidRDefault="00FF3597" w:rsidP="003739A1">
      <w:pPr>
        <w:pStyle w:val="NormalWeb"/>
        <w:spacing w:before="0" w:beforeAutospacing="0" w:after="0" w:afterAutospacing="0" w:line="360" w:lineRule="auto"/>
        <w:ind w:left="708"/>
        <w:rPr>
          <w:lang w:val="en-US"/>
        </w:rPr>
      </w:pPr>
      <w:hyperlink r:id="rId27" w:history="1">
        <w:r w:rsidRPr="00697F3B">
          <w:rPr>
            <w:rStyle w:val="Lienhypertexte"/>
            <w:lang w:val="en-US"/>
          </w:rPr>
          <w:t>https://www.financite.be/sites/default/files/references/files/analyse_af_-_vocabulaire_finance_durable.pdf</w:t>
        </w:r>
      </w:hyperlink>
    </w:p>
    <w:p w14:paraId="19D7221C" w14:textId="77E858DD" w:rsidR="00EA0107" w:rsidRPr="00697F3B" w:rsidRDefault="00EA0107" w:rsidP="003739A1">
      <w:pPr>
        <w:pStyle w:val="NormalWeb"/>
        <w:spacing w:before="0" w:beforeAutospacing="0" w:after="0" w:afterAutospacing="0" w:line="360" w:lineRule="auto"/>
        <w:rPr>
          <w:color w:val="0260BF"/>
          <w:lang w:val="en-US"/>
        </w:rPr>
      </w:pPr>
      <w:r w:rsidRPr="00697F3B">
        <w:rPr>
          <w:lang w:val="en-US"/>
        </w:rPr>
        <w:t>Fondation IFRS</w:t>
      </w:r>
      <w:r w:rsidR="00326F38" w:rsidRPr="00697F3B">
        <w:rPr>
          <w:lang w:val="en-US"/>
        </w:rPr>
        <w:t xml:space="preserve">. </w:t>
      </w:r>
      <w:r w:rsidRPr="00697F3B">
        <w:rPr>
          <w:lang w:val="en-US"/>
        </w:rPr>
        <w:t>International Sustainability Standards Board</w:t>
      </w:r>
      <w:r w:rsidR="00326F38" w:rsidRPr="00697F3B">
        <w:rPr>
          <w:lang w:val="en-US"/>
        </w:rPr>
        <w:t xml:space="preserve">. </w:t>
      </w:r>
      <w:r w:rsidR="00386696" w:rsidRPr="00697F3B">
        <w:rPr>
          <w:lang w:val="en-US"/>
        </w:rPr>
        <w:t>Retrieved January 27, 2022,</w:t>
      </w:r>
      <w:r w:rsidR="00090AD9" w:rsidRPr="00697F3B">
        <w:rPr>
          <w:lang w:val="en-US"/>
        </w:rPr>
        <w:tab/>
      </w:r>
      <w:r w:rsidR="00386696" w:rsidRPr="00697F3B">
        <w:rPr>
          <w:lang w:val="en-US"/>
        </w:rPr>
        <w:t xml:space="preserve">from </w:t>
      </w:r>
      <w:hyperlink r:id="rId28" w:history="1">
        <w:r w:rsidR="00326F38" w:rsidRPr="00697F3B">
          <w:rPr>
            <w:rStyle w:val="Lienhypertexte"/>
            <w:lang w:val="en-US"/>
          </w:rPr>
          <w:t>https://www.ifrs.org/groups/international-sustainability-standards-board/</w:t>
        </w:r>
      </w:hyperlink>
    </w:p>
    <w:p w14:paraId="2E8E7F6C" w14:textId="31E8109F" w:rsidR="00EA0107" w:rsidRPr="00697F3B" w:rsidRDefault="00EA0107" w:rsidP="003739A1">
      <w:pPr>
        <w:pStyle w:val="NormalWeb"/>
        <w:spacing w:before="0" w:beforeAutospacing="0" w:after="0" w:afterAutospacing="0" w:line="360" w:lineRule="auto"/>
        <w:rPr>
          <w:color w:val="0260BF"/>
          <w:lang w:val="en-US"/>
        </w:rPr>
      </w:pPr>
      <w:r w:rsidRPr="00697F3B">
        <w:rPr>
          <w:lang w:val="nl-BE"/>
        </w:rPr>
        <w:t>Gibson</w:t>
      </w:r>
      <w:r w:rsidR="00326F38" w:rsidRPr="00697F3B">
        <w:rPr>
          <w:lang w:val="nl-BE"/>
        </w:rPr>
        <w:t>,</w:t>
      </w:r>
      <w:r w:rsidRPr="00697F3B">
        <w:rPr>
          <w:lang w:val="nl-BE"/>
        </w:rPr>
        <w:t xml:space="preserve"> R., Krueger</w:t>
      </w:r>
      <w:r w:rsidR="00326F38" w:rsidRPr="00697F3B">
        <w:rPr>
          <w:lang w:val="nl-BE"/>
        </w:rPr>
        <w:t>,</w:t>
      </w:r>
      <w:r w:rsidRPr="00697F3B">
        <w:rPr>
          <w:lang w:val="nl-BE"/>
        </w:rPr>
        <w:t xml:space="preserve"> P., Riand</w:t>
      </w:r>
      <w:r w:rsidR="00326F38" w:rsidRPr="00697F3B">
        <w:rPr>
          <w:lang w:val="nl-BE"/>
        </w:rPr>
        <w:t>,</w:t>
      </w:r>
      <w:r w:rsidRPr="00697F3B">
        <w:rPr>
          <w:lang w:val="nl-BE"/>
        </w:rPr>
        <w:t xml:space="preserve"> N. </w:t>
      </w:r>
      <w:r w:rsidR="00326F38" w:rsidRPr="00697F3B">
        <w:rPr>
          <w:lang w:val="nl-BE"/>
        </w:rPr>
        <w:t>&amp;</w:t>
      </w:r>
      <w:r w:rsidRPr="00697F3B">
        <w:rPr>
          <w:lang w:val="nl-BE"/>
        </w:rPr>
        <w:t xml:space="preserve"> Schmidt</w:t>
      </w:r>
      <w:r w:rsidR="00326F38" w:rsidRPr="00697F3B">
        <w:rPr>
          <w:lang w:val="nl-BE"/>
        </w:rPr>
        <w:t>,</w:t>
      </w:r>
      <w:r w:rsidRPr="00697F3B">
        <w:rPr>
          <w:lang w:val="nl-BE"/>
        </w:rPr>
        <w:t xml:space="preserve"> P.S. </w:t>
      </w:r>
      <w:r w:rsidR="0094152A" w:rsidRPr="00697F3B">
        <w:rPr>
          <w:lang w:val="nl-BE"/>
        </w:rPr>
        <w:t>(</w:t>
      </w:r>
      <w:r w:rsidRPr="00697F3B">
        <w:rPr>
          <w:lang w:val="nl-BE"/>
        </w:rPr>
        <w:t>2020</w:t>
      </w:r>
      <w:r w:rsidR="0094152A" w:rsidRPr="00697F3B">
        <w:rPr>
          <w:lang w:val="nl-BE"/>
        </w:rPr>
        <w:t>)</w:t>
      </w:r>
      <w:r w:rsidR="00326F38" w:rsidRPr="00697F3B">
        <w:rPr>
          <w:lang w:val="nl-BE"/>
        </w:rPr>
        <w:t xml:space="preserve">. </w:t>
      </w:r>
      <w:r w:rsidRPr="00697F3B">
        <w:rPr>
          <w:lang w:val="en-US"/>
        </w:rPr>
        <w:t>ESG rating disagreement and</w:t>
      </w:r>
      <w:r w:rsidR="00090AD9" w:rsidRPr="00697F3B">
        <w:rPr>
          <w:lang w:val="en-US"/>
        </w:rPr>
        <w:tab/>
      </w:r>
      <w:r w:rsidRPr="00697F3B">
        <w:rPr>
          <w:lang w:val="en-US"/>
        </w:rPr>
        <w:t>stock returns</w:t>
      </w:r>
      <w:r w:rsidR="00326F38" w:rsidRPr="00697F3B">
        <w:rPr>
          <w:lang w:val="en-US"/>
        </w:rPr>
        <w:t>.</w:t>
      </w:r>
      <w:r w:rsidRPr="00697F3B">
        <w:rPr>
          <w:lang w:val="en-US"/>
        </w:rPr>
        <w:t xml:space="preserve"> European Corporate Governance </w:t>
      </w:r>
      <w:r w:rsidR="00326F38" w:rsidRPr="00697F3B">
        <w:rPr>
          <w:lang w:val="en-US"/>
        </w:rPr>
        <w:t xml:space="preserve">Institute - </w:t>
      </w:r>
      <w:r w:rsidRPr="00697F3B">
        <w:rPr>
          <w:lang w:val="en-US"/>
        </w:rPr>
        <w:t>Finance Working Paper,</w:t>
      </w:r>
      <w:r w:rsidR="00090AD9" w:rsidRPr="00697F3B">
        <w:rPr>
          <w:lang w:val="en-US"/>
        </w:rPr>
        <w:tab/>
      </w:r>
      <w:r w:rsidRPr="00697F3B">
        <w:rPr>
          <w:lang w:val="en-US"/>
        </w:rPr>
        <w:t>(651)</w:t>
      </w:r>
      <w:r w:rsidR="00326F38" w:rsidRPr="00697F3B">
        <w:rPr>
          <w:lang w:val="en-US"/>
        </w:rPr>
        <w:t xml:space="preserve">. </w:t>
      </w:r>
      <w:r w:rsidR="00326F38" w:rsidRPr="00697F3B">
        <w:rPr>
          <w:i/>
          <w:iCs/>
          <w:lang w:val="en-US"/>
        </w:rPr>
        <w:t>Financial Analyst Journal</w:t>
      </w:r>
      <w:r w:rsidR="00326F38" w:rsidRPr="00697F3B">
        <w:rPr>
          <w:lang w:val="en-US"/>
        </w:rPr>
        <w:t xml:space="preserve">. </w:t>
      </w:r>
      <w:r w:rsidR="0094152A" w:rsidRPr="00697F3B">
        <w:rPr>
          <w:lang w:val="en-US"/>
        </w:rPr>
        <w:t>Retrieved January 26, 2022, from</w:t>
      </w:r>
      <w:r w:rsidR="00090AD9" w:rsidRPr="00697F3B">
        <w:rPr>
          <w:lang w:val="en-US"/>
        </w:rPr>
        <w:tab/>
      </w:r>
      <w:hyperlink r:id="rId29" w:history="1">
        <w:r w:rsidR="00090AD9" w:rsidRPr="00697F3B">
          <w:rPr>
            <w:rStyle w:val="Lienhypertexte"/>
            <w:lang w:val="en-US"/>
          </w:rPr>
          <w:t>https://papers.ssrn.com/sol3/papers.cfm?abstract_id=3433728</w:t>
        </w:r>
      </w:hyperlink>
    </w:p>
    <w:p w14:paraId="49DE3BE3" w14:textId="090FC3C7" w:rsidR="00090AD9" w:rsidRPr="00697F3B" w:rsidRDefault="00EA0107" w:rsidP="003739A1">
      <w:pPr>
        <w:pStyle w:val="NormalWeb"/>
        <w:spacing w:before="0" w:beforeAutospacing="0" w:after="0" w:afterAutospacing="0" w:line="360" w:lineRule="auto"/>
      </w:pPr>
      <w:r w:rsidRPr="00697F3B">
        <w:t>Gillet</w:t>
      </w:r>
      <w:r w:rsidR="00C4471D" w:rsidRPr="00697F3B">
        <w:t>,</w:t>
      </w:r>
      <w:r w:rsidRPr="00697F3B">
        <w:t xml:space="preserve"> P. </w:t>
      </w:r>
      <w:r w:rsidR="00840489" w:rsidRPr="00697F3B">
        <w:t>(</w:t>
      </w:r>
      <w:r w:rsidRPr="00697F3B">
        <w:t>2008</w:t>
      </w:r>
      <w:r w:rsidR="00840489" w:rsidRPr="00697F3B">
        <w:t>)</w:t>
      </w:r>
      <w:r w:rsidR="00C4471D" w:rsidRPr="00697F3B">
        <w:t>.</w:t>
      </w:r>
      <w:r w:rsidRPr="00697F3B">
        <w:t xml:space="preserve"> Chapitre 9 – Les performances des fonds </w:t>
      </w:r>
      <w:proofErr w:type="spellStart"/>
      <w:r w:rsidRPr="00697F3B">
        <w:t>éthiques</w:t>
      </w:r>
      <w:proofErr w:type="spellEnd"/>
      <w:r w:rsidRPr="00697F3B">
        <w:t xml:space="preserve"> et vicieux, </w:t>
      </w:r>
      <w:proofErr w:type="spellStart"/>
      <w:r w:rsidRPr="00697F3B">
        <w:t>Financite</w:t>
      </w:r>
      <w:proofErr w:type="spellEnd"/>
      <w:r w:rsidRPr="00697F3B">
        <w:t>́</w:t>
      </w:r>
      <w:r w:rsidR="00C4471D" w:rsidRPr="00697F3B">
        <w:t>.</w:t>
      </w:r>
      <w:r w:rsidR="00090AD9" w:rsidRPr="00697F3B">
        <w:tab/>
      </w:r>
      <w:proofErr w:type="spellStart"/>
      <w:r w:rsidR="00840489" w:rsidRPr="00697F3B">
        <w:t>Retrieved</w:t>
      </w:r>
      <w:proofErr w:type="spellEnd"/>
      <w:r w:rsidR="00840489" w:rsidRPr="00697F3B">
        <w:t xml:space="preserve"> </w:t>
      </w:r>
      <w:proofErr w:type="spellStart"/>
      <w:r w:rsidR="00840489" w:rsidRPr="00697F3B">
        <w:t>September</w:t>
      </w:r>
      <w:proofErr w:type="spellEnd"/>
      <w:r w:rsidR="00840489" w:rsidRPr="00697F3B">
        <w:t xml:space="preserve"> 27, 2021, </w:t>
      </w:r>
      <w:proofErr w:type="spellStart"/>
      <w:r w:rsidR="00840489" w:rsidRPr="00697F3B">
        <w:t>from</w:t>
      </w:r>
      <w:proofErr w:type="spellEnd"/>
      <w:r w:rsidR="00840489" w:rsidRPr="00697F3B">
        <w:t xml:space="preserve"> </w:t>
      </w:r>
    </w:p>
    <w:p w14:paraId="2BBB23FC" w14:textId="06E44575" w:rsidR="00EA0107" w:rsidRPr="00697F3B" w:rsidRDefault="00090AD9" w:rsidP="003739A1">
      <w:pPr>
        <w:pStyle w:val="NormalWeb"/>
        <w:spacing w:before="0" w:beforeAutospacing="0" w:after="0" w:afterAutospacing="0" w:line="360" w:lineRule="auto"/>
        <w:ind w:left="708"/>
        <w:rPr>
          <w:color w:val="0260BF"/>
        </w:rPr>
      </w:pPr>
      <w:hyperlink r:id="rId30" w:history="1">
        <w:r w:rsidRPr="00697F3B">
          <w:rPr>
            <w:rStyle w:val="Lienhypertexte"/>
          </w:rPr>
          <w:t>https://www.financite.be/fr/reference/les-performances-des-fonds- ethiques-et-vicieux-0</w:t>
        </w:r>
      </w:hyperlink>
    </w:p>
    <w:p w14:paraId="5F1E20FB" w14:textId="546A6FE3" w:rsidR="00090AD9" w:rsidRPr="00697F3B" w:rsidRDefault="00EA0107" w:rsidP="003739A1">
      <w:pPr>
        <w:pStyle w:val="NormalWeb"/>
        <w:spacing w:before="0" w:beforeAutospacing="0" w:after="0" w:afterAutospacing="0" w:line="360" w:lineRule="auto"/>
        <w:rPr>
          <w:lang w:val="en-US"/>
        </w:rPr>
      </w:pPr>
      <w:r w:rsidRPr="00697F3B">
        <w:rPr>
          <w:lang w:val="en-US"/>
        </w:rPr>
        <w:t>Global sustainable investment alliance</w:t>
      </w:r>
      <w:r w:rsidR="00C4471D" w:rsidRPr="00697F3B">
        <w:rPr>
          <w:lang w:val="en-US"/>
        </w:rPr>
        <w:t xml:space="preserve">. </w:t>
      </w:r>
      <w:r w:rsidR="0088788B" w:rsidRPr="00697F3B">
        <w:rPr>
          <w:lang w:val="en-US"/>
        </w:rPr>
        <w:t>(</w:t>
      </w:r>
      <w:r w:rsidRPr="00697F3B">
        <w:rPr>
          <w:lang w:val="en-US"/>
        </w:rPr>
        <w:t>2020</w:t>
      </w:r>
      <w:r w:rsidR="0088788B" w:rsidRPr="00697F3B">
        <w:rPr>
          <w:lang w:val="en-US"/>
        </w:rPr>
        <w:t>)</w:t>
      </w:r>
      <w:r w:rsidR="00C4471D" w:rsidRPr="00697F3B">
        <w:rPr>
          <w:lang w:val="en-US"/>
        </w:rPr>
        <w:t>.</w:t>
      </w:r>
      <w:r w:rsidRPr="00697F3B">
        <w:rPr>
          <w:lang w:val="en-US"/>
        </w:rPr>
        <w:t xml:space="preserve"> Global sustainable investment review 2020</w:t>
      </w:r>
      <w:r w:rsidR="00C4471D" w:rsidRPr="00697F3B">
        <w:rPr>
          <w:lang w:val="en-US"/>
        </w:rPr>
        <w:t>.</w:t>
      </w:r>
      <w:r w:rsidR="00090AD9" w:rsidRPr="00697F3B">
        <w:rPr>
          <w:lang w:val="en-US"/>
        </w:rPr>
        <w:tab/>
      </w:r>
      <w:r w:rsidR="0088788B" w:rsidRPr="00697F3B">
        <w:rPr>
          <w:lang w:val="en-US"/>
        </w:rPr>
        <w:t xml:space="preserve">Retrieved October 5, 2021, from </w:t>
      </w:r>
    </w:p>
    <w:p w14:paraId="4560348B" w14:textId="23A313E2" w:rsidR="00EA0107" w:rsidRPr="00697F3B" w:rsidRDefault="00090AD9" w:rsidP="003739A1">
      <w:pPr>
        <w:pStyle w:val="NormalWeb"/>
        <w:spacing w:before="0" w:beforeAutospacing="0" w:after="0" w:afterAutospacing="0" w:line="360" w:lineRule="auto"/>
        <w:ind w:firstLine="708"/>
        <w:rPr>
          <w:color w:val="0260BF"/>
          <w:lang w:val="en-US"/>
        </w:rPr>
      </w:pPr>
      <w:hyperlink r:id="rId31" w:history="1">
        <w:r w:rsidRPr="00697F3B">
          <w:rPr>
            <w:rStyle w:val="Lienhypertexte"/>
            <w:lang w:val="en-US"/>
          </w:rPr>
          <w:t>http://www.gsi-alliance.org/wp-content/uploads/2021/08/GSIR- 20201.pdf</w:t>
        </w:r>
      </w:hyperlink>
    </w:p>
    <w:p w14:paraId="2DDCDAF8" w14:textId="7C9C81B8" w:rsidR="00EA0107" w:rsidRPr="00697F3B" w:rsidRDefault="00EA0107" w:rsidP="003739A1">
      <w:pPr>
        <w:pStyle w:val="NormalWeb"/>
        <w:spacing w:before="0" w:beforeAutospacing="0" w:after="0" w:afterAutospacing="0" w:line="360" w:lineRule="auto"/>
        <w:rPr>
          <w:lang w:val="en-US"/>
        </w:rPr>
      </w:pPr>
      <w:r w:rsidRPr="00697F3B">
        <w:rPr>
          <w:lang w:val="en-US"/>
        </w:rPr>
        <w:lastRenderedPageBreak/>
        <w:t>Lyon</w:t>
      </w:r>
      <w:r w:rsidR="00FB6521" w:rsidRPr="00697F3B">
        <w:rPr>
          <w:lang w:val="en-US"/>
        </w:rPr>
        <w:t>,</w:t>
      </w:r>
      <w:r w:rsidRPr="00697F3B">
        <w:rPr>
          <w:lang w:val="en-US"/>
        </w:rPr>
        <w:t xml:space="preserve"> T.P. </w:t>
      </w:r>
      <w:r w:rsidR="00FB6521" w:rsidRPr="00697F3B">
        <w:rPr>
          <w:lang w:val="en-US"/>
        </w:rPr>
        <w:t>&amp;</w:t>
      </w:r>
      <w:r w:rsidRPr="00697F3B">
        <w:rPr>
          <w:lang w:val="en-US"/>
        </w:rPr>
        <w:t xml:space="preserve"> Maxwell</w:t>
      </w:r>
      <w:r w:rsidR="00FB6521" w:rsidRPr="00697F3B">
        <w:rPr>
          <w:lang w:val="en-US"/>
        </w:rPr>
        <w:t>,</w:t>
      </w:r>
      <w:r w:rsidRPr="00697F3B">
        <w:rPr>
          <w:lang w:val="en-US"/>
        </w:rPr>
        <w:t xml:space="preserve"> J.W. </w:t>
      </w:r>
      <w:r w:rsidR="00147909" w:rsidRPr="00697F3B">
        <w:rPr>
          <w:lang w:val="en-US"/>
        </w:rPr>
        <w:t>(</w:t>
      </w:r>
      <w:r w:rsidRPr="00697F3B">
        <w:rPr>
          <w:lang w:val="en-US"/>
        </w:rPr>
        <w:t>2011</w:t>
      </w:r>
      <w:r w:rsidR="00147909" w:rsidRPr="00697F3B">
        <w:rPr>
          <w:lang w:val="en-US"/>
        </w:rPr>
        <w:t>)</w:t>
      </w:r>
      <w:r w:rsidR="00FB6521" w:rsidRPr="00697F3B">
        <w:rPr>
          <w:lang w:val="en-US"/>
        </w:rPr>
        <w:t xml:space="preserve">. </w:t>
      </w:r>
      <w:r w:rsidRPr="00697F3B">
        <w:rPr>
          <w:lang w:val="en-US"/>
        </w:rPr>
        <w:t>Greenwash: Corporate environmental disclosure under</w:t>
      </w:r>
      <w:r w:rsidR="00090AD9" w:rsidRPr="00697F3B">
        <w:rPr>
          <w:lang w:val="en-US"/>
        </w:rPr>
        <w:tab/>
      </w:r>
      <w:r w:rsidRPr="00697F3B">
        <w:rPr>
          <w:lang w:val="en-US"/>
        </w:rPr>
        <w:t>threat of audit</w:t>
      </w:r>
      <w:r w:rsidR="00FB6521" w:rsidRPr="00697F3B">
        <w:rPr>
          <w:lang w:val="en-US"/>
        </w:rPr>
        <w:t>.</w:t>
      </w:r>
      <w:r w:rsidRPr="00697F3B">
        <w:rPr>
          <w:lang w:val="en-US"/>
        </w:rPr>
        <w:t xml:space="preserve"> </w:t>
      </w:r>
      <w:r w:rsidRPr="00697F3B">
        <w:rPr>
          <w:i/>
          <w:iCs/>
          <w:lang w:val="en-US"/>
        </w:rPr>
        <w:t>Journal of Economics &amp; Management Strategy</w:t>
      </w:r>
      <w:r w:rsidRPr="00697F3B">
        <w:rPr>
          <w:lang w:val="en-US"/>
        </w:rPr>
        <w:t>, 20</w:t>
      </w:r>
      <w:r w:rsidR="00FB6521" w:rsidRPr="00697F3B">
        <w:rPr>
          <w:lang w:val="en-US"/>
        </w:rPr>
        <w:t xml:space="preserve"> </w:t>
      </w:r>
      <w:r w:rsidRPr="00697F3B">
        <w:rPr>
          <w:lang w:val="en-US"/>
        </w:rPr>
        <w:t>(1)</w:t>
      </w:r>
      <w:r w:rsidR="00147909" w:rsidRPr="00697F3B">
        <w:rPr>
          <w:lang w:val="en-US"/>
        </w:rPr>
        <w:t>,</w:t>
      </w:r>
      <w:r w:rsidRPr="00697F3B">
        <w:rPr>
          <w:lang w:val="en-US"/>
        </w:rPr>
        <w:t xml:space="preserve"> 3–41.</w:t>
      </w:r>
    </w:p>
    <w:p w14:paraId="0CC91CD6" w14:textId="20BC2286" w:rsidR="00EA0107" w:rsidRPr="00697F3B" w:rsidRDefault="00EA0107" w:rsidP="003739A1">
      <w:pPr>
        <w:pStyle w:val="NormalWeb"/>
        <w:spacing w:before="0" w:beforeAutospacing="0" w:after="0" w:afterAutospacing="0" w:line="360" w:lineRule="auto"/>
        <w:rPr>
          <w:lang w:val="en-US"/>
        </w:rPr>
      </w:pPr>
      <w:r w:rsidRPr="00697F3B">
        <w:rPr>
          <w:lang w:val="en-US"/>
        </w:rPr>
        <w:t>Lyon</w:t>
      </w:r>
      <w:r w:rsidR="00FB6521" w:rsidRPr="00697F3B">
        <w:rPr>
          <w:lang w:val="en-US"/>
        </w:rPr>
        <w:t>,</w:t>
      </w:r>
      <w:r w:rsidRPr="00697F3B">
        <w:rPr>
          <w:lang w:val="en-US"/>
        </w:rPr>
        <w:t xml:space="preserve"> T.P. </w:t>
      </w:r>
      <w:r w:rsidR="00FB6521" w:rsidRPr="00697F3B">
        <w:rPr>
          <w:lang w:val="en-US"/>
        </w:rPr>
        <w:t>&amp;</w:t>
      </w:r>
      <w:r w:rsidRPr="00697F3B">
        <w:rPr>
          <w:lang w:val="en-US"/>
        </w:rPr>
        <w:t xml:space="preserve"> Montgomery</w:t>
      </w:r>
      <w:r w:rsidR="00FB6521" w:rsidRPr="00697F3B">
        <w:rPr>
          <w:lang w:val="en-US"/>
        </w:rPr>
        <w:t>,</w:t>
      </w:r>
      <w:r w:rsidRPr="00697F3B">
        <w:rPr>
          <w:lang w:val="en-US"/>
        </w:rPr>
        <w:t xml:space="preserve"> A.W. </w:t>
      </w:r>
      <w:r w:rsidR="00147909" w:rsidRPr="00697F3B">
        <w:rPr>
          <w:lang w:val="en-US"/>
        </w:rPr>
        <w:t>(</w:t>
      </w:r>
      <w:r w:rsidRPr="00697F3B">
        <w:rPr>
          <w:lang w:val="en-US"/>
        </w:rPr>
        <w:t>2015</w:t>
      </w:r>
      <w:r w:rsidR="00147909" w:rsidRPr="00697F3B">
        <w:rPr>
          <w:lang w:val="en-US"/>
        </w:rPr>
        <w:t>)</w:t>
      </w:r>
      <w:r w:rsidR="00FB6521" w:rsidRPr="00697F3B">
        <w:rPr>
          <w:lang w:val="en-US"/>
        </w:rPr>
        <w:t xml:space="preserve">. </w:t>
      </w:r>
      <w:r w:rsidRPr="00697F3B">
        <w:rPr>
          <w:lang w:val="en-US"/>
        </w:rPr>
        <w:t>The means and end of greenwash</w:t>
      </w:r>
      <w:r w:rsidR="00FB6521" w:rsidRPr="00697F3B">
        <w:rPr>
          <w:lang w:val="en-US"/>
        </w:rPr>
        <w:t>.</w:t>
      </w:r>
      <w:r w:rsidRPr="00697F3B">
        <w:rPr>
          <w:lang w:val="en-US"/>
        </w:rPr>
        <w:t xml:space="preserve"> </w:t>
      </w:r>
      <w:r w:rsidRPr="00697F3B">
        <w:rPr>
          <w:i/>
          <w:iCs/>
          <w:lang w:val="en-US"/>
        </w:rPr>
        <w:t>Organization &amp;</w:t>
      </w:r>
      <w:r w:rsidR="00090AD9" w:rsidRPr="00697F3B">
        <w:rPr>
          <w:i/>
          <w:iCs/>
          <w:lang w:val="en-US"/>
        </w:rPr>
        <w:tab/>
      </w:r>
      <w:r w:rsidRPr="00697F3B">
        <w:rPr>
          <w:i/>
          <w:iCs/>
          <w:lang w:val="en-US"/>
        </w:rPr>
        <w:t>Environment</w:t>
      </w:r>
      <w:r w:rsidRPr="00697F3B">
        <w:rPr>
          <w:lang w:val="en-US"/>
        </w:rPr>
        <w:t>, 28</w:t>
      </w:r>
      <w:r w:rsidR="00FB6521" w:rsidRPr="00697F3B">
        <w:rPr>
          <w:lang w:val="en-US"/>
        </w:rPr>
        <w:t xml:space="preserve"> (</w:t>
      </w:r>
      <w:r w:rsidRPr="00697F3B">
        <w:rPr>
          <w:lang w:val="en-US"/>
        </w:rPr>
        <w:t>2)</w:t>
      </w:r>
      <w:r w:rsidR="00147909" w:rsidRPr="00697F3B">
        <w:rPr>
          <w:lang w:val="en-US"/>
        </w:rPr>
        <w:t>,</w:t>
      </w:r>
      <w:r w:rsidR="00FB6521" w:rsidRPr="00697F3B">
        <w:rPr>
          <w:lang w:val="en-US"/>
        </w:rPr>
        <w:t xml:space="preserve"> </w:t>
      </w:r>
      <w:r w:rsidRPr="00697F3B">
        <w:rPr>
          <w:lang w:val="en-US"/>
        </w:rPr>
        <w:t>223–249.</w:t>
      </w:r>
    </w:p>
    <w:p w14:paraId="26DF86EC" w14:textId="315D7087" w:rsidR="00DF040B" w:rsidRPr="00697F3B" w:rsidRDefault="00EA0107" w:rsidP="003739A1">
      <w:pPr>
        <w:pStyle w:val="NormalWeb"/>
        <w:spacing w:before="0" w:beforeAutospacing="0" w:after="0" w:afterAutospacing="0" w:line="360" w:lineRule="auto"/>
        <w:rPr>
          <w:i/>
          <w:iCs/>
          <w:lang w:val="en-US"/>
        </w:rPr>
      </w:pPr>
      <w:r w:rsidRPr="00697F3B">
        <w:rPr>
          <w:lang w:val="en-US"/>
        </w:rPr>
        <w:t>Mackintosh</w:t>
      </w:r>
      <w:r w:rsidR="00C326A4" w:rsidRPr="00697F3B">
        <w:rPr>
          <w:lang w:val="en-US"/>
        </w:rPr>
        <w:t xml:space="preserve">, </w:t>
      </w:r>
      <w:r w:rsidRPr="00697F3B">
        <w:rPr>
          <w:lang w:val="en-US"/>
        </w:rPr>
        <w:t xml:space="preserve">J. </w:t>
      </w:r>
      <w:r w:rsidR="003A3BD4" w:rsidRPr="00697F3B">
        <w:rPr>
          <w:lang w:val="en-US"/>
        </w:rPr>
        <w:t>(</w:t>
      </w:r>
      <w:r w:rsidRPr="00697F3B">
        <w:rPr>
          <w:lang w:val="en-US"/>
        </w:rPr>
        <w:t>2018</w:t>
      </w:r>
      <w:r w:rsidR="003A3BD4" w:rsidRPr="00697F3B">
        <w:rPr>
          <w:lang w:val="en-US"/>
        </w:rPr>
        <w:t>)</w:t>
      </w:r>
      <w:r w:rsidR="00C326A4" w:rsidRPr="00697F3B">
        <w:rPr>
          <w:lang w:val="en-US"/>
        </w:rPr>
        <w:t xml:space="preserve">. </w:t>
      </w:r>
      <w:r w:rsidRPr="00697F3B">
        <w:rPr>
          <w:lang w:val="en-US"/>
        </w:rPr>
        <w:t xml:space="preserve">Is Tesla or Exxon more sustainable? It </w:t>
      </w:r>
      <w:proofErr w:type="gramStart"/>
      <w:r w:rsidRPr="00697F3B">
        <w:rPr>
          <w:lang w:val="en-US"/>
        </w:rPr>
        <w:t>depends</w:t>
      </w:r>
      <w:proofErr w:type="gramEnd"/>
      <w:r w:rsidRPr="00697F3B">
        <w:rPr>
          <w:lang w:val="en-US"/>
        </w:rPr>
        <w:t xml:space="preserve"> whom you ask</w:t>
      </w:r>
      <w:r w:rsidR="00C326A4" w:rsidRPr="00697F3B">
        <w:rPr>
          <w:lang w:val="en-US"/>
        </w:rPr>
        <w:t xml:space="preserve">. </w:t>
      </w:r>
      <w:r w:rsidRPr="00697F3B">
        <w:rPr>
          <w:i/>
          <w:iCs/>
          <w:lang w:val="en-US"/>
        </w:rPr>
        <w:t>Wall</w:t>
      </w:r>
    </w:p>
    <w:p w14:paraId="1A63EED3" w14:textId="724928F4" w:rsidR="00EA0107" w:rsidRPr="00697F3B" w:rsidRDefault="00EA0107" w:rsidP="003739A1">
      <w:pPr>
        <w:pStyle w:val="NormalWeb"/>
        <w:spacing w:before="0" w:beforeAutospacing="0" w:after="0" w:afterAutospacing="0" w:line="360" w:lineRule="auto"/>
        <w:ind w:left="708"/>
        <w:rPr>
          <w:lang w:val="en-US"/>
        </w:rPr>
      </w:pPr>
      <w:r w:rsidRPr="00697F3B">
        <w:rPr>
          <w:i/>
          <w:iCs/>
          <w:lang w:val="en-US"/>
        </w:rPr>
        <w:t>Street Journal</w:t>
      </w:r>
      <w:r w:rsidR="00C326A4" w:rsidRPr="00697F3B">
        <w:rPr>
          <w:lang w:val="en-US"/>
        </w:rPr>
        <w:t xml:space="preserve">. </w:t>
      </w:r>
      <w:r w:rsidR="003A3BD4" w:rsidRPr="00697F3B">
        <w:rPr>
          <w:lang w:val="en-US"/>
        </w:rPr>
        <w:t xml:space="preserve">Retrieved January 26, 2022, from </w:t>
      </w:r>
      <w:hyperlink r:id="rId32" w:history="1">
        <w:r w:rsidR="00DF040B" w:rsidRPr="00697F3B">
          <w:rPr>
            <w:rStyle w:val="Lienhypertexte"/>
            <w:lang w:val="en-US"/>
          </w:rPr>
          <w:t>https://www.wsj.com/articles/is-tesla-or-exxon- more-sustainable-it-depends-whom-you-ask-1537199931</w:t>
        </w:r>
      </w:hyperlink>
    </w:p>
    <w:p w14:paraId="1F5E0D58" w14:textId="2F3F5653" w:rsidR="00EA0107" w:rsidRPr="00697F3B" w:rsidRDefault="00EA0107" w:rsidP="003739A1">
      <w:pPr>
        <w:pStyle w:val="NormalWeb"/>
        <w:spacing w:before="0" w:beforeAutospacing="0" w:after="0" w:afterAutospacing="0" w:line="360" w:lineRule="auto"/>
      </w:pPr>
      <w:proofErr w:type="spellStart"/>
      <w:r w:rsidRPr="00697F3B">
        <w:t>Mottis</w:t>
      </w:r>
      <w:proofErr w:type="spellEnd"/>
      <w:r w:rsidR="00FB6521" w:rsidRPr="00697F3B">
        <w:t>,</w:t>
      </w:r>
      <w:r w:rsidRPr="00697F3B">
        <w:t xml:space="preserve"> N. </w:t>
      </w:r>
      <w:r w:rsidR="00FB6521" w:rsidRPr="00697F3B">
        <w:t>&amp;</w:t>
      </w:r>
      <w:r w:rsidRPr="00697F3B">
        <w:t xml:space="preserve"> </w:t>
      </w:r>
      <w:proofErr w:type="spellStart"/>
      <w:r w:rsidRPr="00697F3B">
        <w:t>Philipponnat</w:t>
      </w:r>
      <w:proofErr w:type="spellEnd"/>
      <w:r w:rsidR="00FB6521" w:rsidRPr="00697F3B">
        <w:t>,</w:t>
      </w:r>
      <w:r w:rsidRPr="00697F3B">
        <w:t xml:space="preserve"> T.</w:t>
      </w:r>
      <w:r w:rsidR="00FB6521" w:rsidRPr="00697F3B">
        <w:t xml:space="preserve"> </w:t>
      </w:r>
      <w:r w:rsidR="00370D6B" w:rsidRPr="00697F3B">
        <w:t>(</w:t>
      </w:r>
      <w:r w:rsidRPr="00697F3B">
        <w:t>2020</w:t>
      </w:r>
      <w:r w:rsidR="00370D6B" w:rsidRPr="00697F3B">
        <w:t>)</w:t>
      </w:r>
      <w:r w:rsidR="00FB6521" w:rsidRPr="00697F3B">
        <w:t xml:space="preserve">. </w:t>
      </w:r>
      <w:r w:rsidRPr="00697F3B">
        <w:t>Pourquoi l’investissement socialement responsable</w:t>
      </w:r>
      <w:r w:rsidR="00090AD9" w:rsidRPr="00697F3B">
        <w:tab/>
      </w:r>
      <w:r w:rsidRPr="00697F3B">
        <w:t xml:space="preserve">devient une affaire </w:t>
      </w:r>
      <w:proofErr w:type="spellStart"/>
      <w:r w:rsidRPr="00697F3B">
        <w:t>sérieuse</w:t>
      </w:r>
      <w:proofErr w:type="spellEnd"/>
      <w:r w:rsidR="00FB6521" w:rsidRPr="00697F3B">
        <w:t>.</w:t>
      </w:r>
      <w:r w:rsidRPr="00697F3B">
        <w:t xml:space="preserve"> Association des amis de l’</w:t>
      </w:r>
      <w:proofErr w:type="spellStart"/>
      <w:r w:rsidRPr="00697F3B">
        <w:t>école</w:t>
      </w:r>
      <w:proofErr w:type="spellEnd"/>
      <w:r w:rsidRPr="00697F3B">
        <w:t xml:space="preserve"> de Paris – </w:t>
      </w:r>
      <w:r w:rsidRPr="00697F3B">
        <w:rPr>
          <w:i/>
          <w:iCs/>
        </w:rPr>
        <w:t>Le journal de</w:t>
      </w:r>
      <w:r w:rsidR="00090AD9" w:rsidRPr="00697F3B">
        <w:rPr>
          <w:i/>
          <w:iCs/>
        </w:rPr>
        <w:tab/>
      </w:r>
      <w:r w:rsidRPr="00697F3B">
        <w:rPr>
          <w:i/>
          <w:iCs/>
        </w:rPr>
        <w:t>l’</w:t>
      </w:r>
      <w:proofErr w:type="spellStart"/>
      <w:r w:rsidRPr="00697F3B">
        <w:rPr>
          <w:i/>
          <w:iCs/>
        </w:rPr>
        <w:t>école</w:t>
      </w:r>
      <w:proofErr w:type="spellEnd"/>
      <w:r w:rsidRPr="00697F3B">
        <w:rPr>
          <w:i/>
          <w:iCs/>
        </w:rPr>
        <w:t xml:space="preserve"> de Paris du management</w:t>
      </w:r>
      <w:r w:rsidRPr="00697F3B">
        <w:t>, 5</w:t>
      </w:r>
      <w:r w:rsidR="00FB6521" w:rsidRPr="00697F3B">
        <w:t xml:space="preserve"> </w:t>
      </w:r>
      <w:r w:rsidRPr="00697F3B">
        <w:t>(145)</w:t>
      </w:r>
      <w:r w:rsidR="00370D6B" w:rsidRPr="00697F3B">
        <w:t>,</w:t>
      </w:r>
      <w:r w:rsidRPr="00697F3B">
        <w:t xml:space="preserve"> 30-36.</w:t>
      </w:r>
    </w:p>
    <w:p w14:paraId="1DFE883A" w14:textId="77777777" w:rsidR="00090AD9" w:rsidRPr="00697F3B" w:rsidRDefault="00923ED7" w:rsidP="003739A1">
      <w:pPr>
        <w:pStyle w:val="NormalWeb"/>
        <w:spacing w:before="0" w:beforeAutospacing="0" w:after="0" w:afterAutospacing="0" w:line="360" w:lineRule="auto"/>
        <w:rPr>
          <w:lang w:val="en-US"/>
        </w:rPr>
      </w:pPr>
      <w:r w:rsidRPr="00697F3B">
        <w:rPr>
          <w:lang w:val="nl-BE"/>
        </w:rPr>
        <w:t xml:space="preserve">Nofsinger J.R. &amp; Varma. A. </w:t>
      </w:r>
      <w:r w:rsidR="00370D6B" w:rsidRPr="00697F3B">
        <w:rPr>
          <w:lang w:val="nl-BE"/>
        </w:rPr>
        <w:t>(</w:t>
      </w:r>
      <w:r w:rsidRPr="00697F3B">
        <w:rPr>
          <w:lang w:val="nl-BE"/>
        </w:rPr>
        <w:t>2012</w:t>
      </w:r>
      <w:r w:rsidR="00370D6B" w:rsidRPr="00697F3B">
        <w:rPr>
          <w:lang w:val="nl-BE"/>
        </w:rPr>
        <w:t>)</w:t>
      </w:r>
      <w:r w:rsidRPr="00697F3B">
        <w:rPr>
          <w:lang w:val="nl-BE"/>
        </w:rPr>
        <w:t xml:space="preserve">. </w:t>
      </w:r>
      <w:r w:rsidRPr="00697F3B">
        <w:rPr>
          <w:lang w:val="en-US"/>
        </w:rPr>
        <w:t xml:space="preserve">Socially Responsible Funds and Market Crises. </w:t>
      </w:r>
      <w:r w:rsidRPr="00697F3B">
        <w:rPr>
          <w:i/>
          <w:iCs/>
          <w:lang w:val="en-US"/>
        </w:rPr>
        <w:t>Journal</w:t>
      </w:r>
      <w:r w:rsidR="00090AD9" w:rsidRPr="00697F3B">
        <w:rPr>
          <w:i/>
          <w:iCs/>
          <w:lang w:val="en-US"/>
        </w:rPr>
        <w:tab/>
      </w:r>
      <w:r w:rsidRPr="00697F3B">
        <w:rPr>
          <w:i/>
          <w:iCs/>
          <w:lang w:val="en-US"/>
        </w:rPr>
        <w:t>of Banking and Finance – Forthcoming</w:t>
      </w:r>
      <w:r w:rsidRPr="00697F3B">
        <w:rPr>
          <w:lang w:val="en-US"/>
        </w:rPr>
        <w:t xml:space="preserve">. </w:t>
      </w:r>
      <w:r w:rsidR="00370D6B" w:rsidRPr="00697F3B">
        <w:rPr>
          <w:lang w:val="en-US"/>
        </w:rPr>
        <w:t xml:space="preserve">Retrieved February 6, 2022, from </w:t>
      </w:r>
    </w:p>
    <w:p w14:paraId="25AF58DE" w14:textId="159B772B" w:rsidR="00923ED7" w:rsidRPr="00697F3B" w:rsidRDefault="00090AD9" w:rsidP="003739A1">
      <w:pPr>
        <w:pStyle w:val="NormalWeb"/>
        <w:spacing w:before="0" w:beforeAutospacing="0" w:after="0" w:afterAutospacing="0" w:line="360" w:lineRule="auto"/>
        <w:ind w:firstLine="708"/>
        <w:rPr>
          <w:rStyle w:val="Lienhypertexte"/>
          <w:lang w:val="en-US"/>
        </w:rPr>
      </w:pPr>
      <w:hyperlink r:id="rId33" w:history="1">
        <w:r w:rsidRPr="00697F3B">
          <w:rPr>
            <w:rStyle w:val="Lienhypertexte"/>
            <w:lang w:val="en-US"/>
          </w:rPr>
          <w:t>https://papers.ssrn.com/sol3/papers.cfm?abstract_id=2142343</w:t>
        </w:r>
      </w:hyperlink>
    </w:p>
    <w:p w14:paraId="7632AB34" w14:textId="24D38CCE" w:rsidR="00EA0107" w:rsidRPr="00697F3B" w:rsidRDefault="00EA0107" w:rsidP="003739A1">
      <w:pPr>
        <w:pStyle w:val="NormalWeb"/>
        <w:spacing w:before="0" w:beforeAutospacing="0" w:after="0" w:afterAutospacing="0" w:line="360" w:lineRule="auto"/>
      </w:pPr>
      <w:r w:rsidRPr="00697F3B">
        <w:t>Pasquini-</w:t>
      </w:r>
      <w:proofErr w:type="spellStart"/>
      <w:r w:rsidRPr="00697F3B">
        <w:t>Descomps</w:t>
      </w:r>
      <w:proofErr w:type="spellEnd"/>
      <w:r w:rsidR="00FB6521" w:rsidRPr="00697F3B">
        <w:t xml:space="preserve">, </w:t>
      </w:r>
      <w:r w:rsidRPr="00697F3B">
        <w:t xml:space="preserve">H. </w:t>
      </w:r>
      <w:r w:rsidR="00FB6521" w:rsidRPr="00697F3B">
        <w:t>&amp;</w:t>
      </w:r>
      <w:r w:rsidRPr="00697F3B">
        <w:t xml:space="preserve"> </w:t>
      </w:r>
      <w:proofErr w:type="spellStart"/>
      <w:r w:rsidRPr="00697F3B">
        <w:t>Teulon</w:t>
      </w:r>
      <w:proofErr w:type="spellEnd"/>
      <w:r w:rsidR="00FB6521" w:rsidRPr="00697F3B">
        <w:t>,</w:t>
      </w:r>
      <w:r w:rsidRPr="00697F3B">
        <w:t xml:space="preserve"> F. </w:t>
      </w:r>
      <w:r w:rsidR="00370D6B" w:rsidRPr="00697F3B">
        <w:t>(</w:t>
      </w:r>
      <w:r w:rsidRPr="00697F3B">
        <w:t>2013</w:t>
      </w:r>
      <w:r w:rsidR="00370D6B" w:rsidRPr="00697F3B">
        <w:t>)</w:t>
      </w:r>
      <w:r w:rsidR="00FB6521" w:rsidRPr="00697F3B">
        <w:t xml:space="preserve">. </w:t>
      </w:r>
      <w:r w:rsidRPr="00697F3B">
        <w:t xml:space="preserve">Quelle est la perception de la </w:t>
      </w:r>
      <w:proofErr w:type="spellStart"/>
      <w:r w:rsidRPr="00697F3B">
        <w:t>responsabilite</w:t>
      </w:r>
      <w:proofErr w:type="spellEnd"/>
      <w:r w:rsidRPr="00697F3B">
        <w:t>́</w:t>
      </w:r>
      <w:r w:rsidR="00765C39" w:rsidRPr="00697F3B">
        <w:tab/>
      </w:r>
      <w:r w:rsidRPr="00697F3B">
        <w:t xml:space="preserve">sociale des entreprises pour les gestionnaires de fonds en Suisse ? </w:t>
      </w:r>
      <w:r w:rsidRPr="00697F3B">
        <w:rPr>
          <w:i/>
          <w:iCs/>
        </w:rPr>
        <w:t>Association de</w:t>
      </w:r>
      <w:r w:rsidR="00765C39" w:rsidRPr="00697F3B">
        <w:rPr>
          <w:i/>
          <w:iCs/>
        </w:rPr>
        <w:tab/>
      </w:r>
      <w:r w:rsidRPr="00697F3B">
        <w:rPr>
          <w:i/>
          <w:iCs/>
        </w:rPr>
        <w:t>Recherche et Publications en Management – Gestion 2000</w:t>
      </w:r>
      <w:r w:rsidRPr="00697F3B">
        <w:t>, 6</w:t>
      </w:r>
      <w:r w:rsidR="00FB6521" w:rsidRPr="00697F3B">
        <w:t xml:space="preserve"> (</w:t>
      </w:r>
      <w:r w:rsidRPr="00697F3B">
        <w:t>3</w:t>
      </w:r>
      <w:r w:rsidR="00FB6521" w:rsidRPr="00697F3B">
        <w:t>0)</w:t>
      </w:r>
      <w:r w:rsidR="00370D6B" w:rsidRPr="00697F3B">
        <w:t>,</w:t>
      </w:r>
      <w:r w:rsidRPr="00697F3B">
        <w:t xml:space="preserve"> 99-113.</w:t>
      </w:r>
    </w:p>
    <w:p w14:paraId="37B8937B" w14:textId="77777777" w:rsidR="00765C39" w:rsidRPr="00697F3B" w:rsidRDefault="00EA0107" w:rsidP="003739A1">
      <w:pPr>
        <w:pStyle w:val="NormalWeb"/>
        <w:spacing w:before="0" w:beforeAutospacing="0" w:after="0" w:afterAutospacing="0" w:line="360" w:lineRule="auto"/>
        <w:rPr>
          <w:lang w:val="en-US"/>
        </w:rPr>
      </w:pPr>
      <w:r w:rsidRPr="00697F3B">
        <w:t>Pfister</w:t>
      </w:r>
      <w:r w:rsidR="00C326A4" w:rsidRPr="00697F3B">
        <w:t>,</w:t>
      </w:r>
      <w:r w:rsidRPr="00697F3B">
        <w:t xml:space="preserve"> S. </w:t>
      </w:r>
      <w:r w:rsidR="00370D6B" w:rsidRPr="00697F3B">
        <w:t>(</w:t>
      </w:r>
      <w:r w:rsidRPr="00697F3B">
        <w:t>2021</w:t>
      </w:r>
      <w:r w:rsidR="00370D6B" w:rsidRPr="00697F3B">
        <w:t>)</w:t>
      </w:r>
      <w:r w:rsidR="00C326A4" w:rsidRPr="00697F3B">
        <w:t xml:space="preserve">. </w:t>
      </w:r>
      <w:r w:rsidRPr="00697F3B">
        <w:t xml:space="preserve">La </w:t>
      </w:r>
      <w:proofErr w:type="spellStart"/>
      <w:r w:rsidRPr="00697F3B">
        <w:t>réglementation</w:t>
      </w:r>
      <w:proofErr w:type="spellEnd"/>
      <w:r w:rsidRPr="00697F3B">
        <w:t xml:space="preserve"> Disclosure est </w:t>
      </w:r>
      <w:proofErr w:type="spellStart"/>
      <w:r w:rsidRPr="00697F3B">
        <w:t>entrée</w:t>
      </w:r>
      <w:proofErr w:type="spellEnd"/>
      <w:r w:rsidRPr="00697F3B">
        <w:t xml:space="preserve"> en application le 10 mars 2021 :</w:t>
      </w:r>
      <w:r w:rsidR="00765C39" w:rsidRPr="00697F3B">
        <w:tab/>
      </w:r>
      <w:r w:rsidRPr="00697F3B">
        <w:t>enjeux et impacts</w:t>
      </w:r>
      <w:r w:rsidR="00891034" w:rsidRPr="00697F3B">
        <w:t xml:space="preserve">. </w:t>
      </w:r>
      <w:r w:rsidRPr="00697F3B">
        <w:t xml:space="preserve">360 </w:t>
      </w:r>
      <w:proofErr w:type="spellStart"/>
      <w:r w:rsidRPr="00697F3B">
        <w:t>degrés</w:t>
      </w:r>
      <w:proofErr w:type="spellEnd"/>
      <w:r w:rsidRPr="00697F3B">
        <w:t xml:space="preserve"> – Une convergence des </w:t>
      </w:r>
      <w:proofErr w:type="spellStart"/>
      <w:r w:rsidRPr="00697F3B">
        <w:t>réglementations</w:t>
      </w:r>
      <w:proofErr w:type="spellEnd"/>
      <w:r w:rsidRPr="00697F3B">
        <w:t xml:space="preserve"> pour un monde</w:t>
      </w:r>
      <w:r w:rsidR="00765C39" w:rsidRPr="00697F3B">
        <w:tab/>
      </w:r>
      <w:r w:rsidRPr="00697F3B">
        <w:t>durable</w:t>
      </w:r>
      <w:r w:rsidR="00C326A4" w:rsidRPr="00697F3B">
        <w:t>.</w:t>
      </w:r>
      <w:r w:rsidRPr="00697F3B">
        <w:t xml:space="preserve"> </w:t>
      </w:r>
      <w:proofErr w:type="spellStart"/>
      <w:r w:rsidRPr="00697F3B">
        <w:t>Ofi</w:t>
      </w:r>
      <w:proofErr w:type="spellEnd"/>
      <w:r w:rsidRPr="00697F3B">
        <w:t xml:space="preserve"> Asset Management,</w:t>
      </w:r>
      <w:r w:rsidR="007C182E" w:rsidRPr="00697F3B">
        <w:t xml:space="preserve"> </w:t>
      </w:r>
      <w:r w:rsidRPr="00697F3B">
        <w:t>8</w:t>
      </w:r>
      <w:r w:rsidR="00370D6B" w:rsidRPr="00697F3B">
        <w:t xml:space="preserve">, </w:t>
      </w:r>
      <w:r w:rsidRPr="00697F3B">
        <w:t>8-10</w:t>
      </w:r>
      <w:r w:rsidR="007C182E" w:rsidRPr="00697F3B">
        <w:t xml:space="preserve">. </w:t>
      </w:r>
      <w:r w:rsidR="00370D6B" w:rsidRPr="00697F3B">
        <w:rPr>
          <w:lang w:val="en-US"/>
        </w:rPr>
        <w:t xml:space="preserve">Retrieved January 27, 2022, from </w:t>
      </w:r>
    </w:p>
    <w:p w14:paraId="10DED99D" w14:textId="2E1A082E" w:rsidR="00EA0107" w:rsidRPr="00697F3B" w:rsidRDefault="00EA0107" w:rsidP="003739A1">
      <w:pPr>
        <w:pStyle w:val="NormalWeb"/>
        <w:spacing w:before="0" w:beforeAutospacing="0" w:after="0" w:afterAutospacing="0" w:line="360" w:lineRule="auto"/>
        <w:ind w:left="708"/>
        <w:rPr>
          <w:lang w:val="en-US"/>
        </w:rPr>
      </w:pPr>
      <w:r w:rsidRPr="00697F3B">
        <w:rPr>
          <w:color w:val="0260BF"/>
          <w:u w:val="single"/>
          <w:lang w:val="en-US"/>
        </w:rPr>
        <w:t>https://www.ofi- am.fr/corporate/parameters?url=https%3A%2F%2Fparametersservices.ofivalmo.fr%2FgetFil e%3Fid%3D6094f83f84e59%26filename%3D6094f83f84e59-document- 613b4d63a5e0c.pdf%26type%3D3</w:t>
      </w:r>
    </w:p>
    <w:p w14:paraId="54685C7A" w14:textId="77777777" w:rsidR="00C0101D" w:rsidRPr="00697F3B" w:rsidRDefault="00EA0107" w:rsidP="003739A1">
      <w:pPr>
        <w:pStyle w:val="NormalWeb"/>
        <w:spacing w:before="0" w:beforeAutospacing="0" w:after="0" w:afterAutospacing="0" w:line="360" w:lineRule="auto"/>
        <w:rPr>
          <w:lang w:val="en-US"/>
        </w:rPr>
      </w:pPr>
      <w:r w:rsidRPr="00697F3B">
        <w:rPr>
          <w:lang w:val="en-US"/>
        </w:rPr>
        <w:t xml:space="preserve">Phillips, Hager </w:t>
      </w:r>
      <w:r w:rsidR="00C326A4" w:rsidRPr="00697F3B">
        <w:rPr>
          <w:lang w:val="en-US"/>
        </w:rPr>
        <w:t>&amp;</w:t>
      </w:r>
      <w:r w:rsidRPr="00697F3B">
        <w:rPr>
          <w:lang w:val="en-US"/>
        </w:rPr>
        <w:t xml:space="preserve"> North</w:t>
      </w:r>
      <w:r w:rsidR="00770B90" w:rsidRPr="00697F3B">
        <w:rPr>
          <w:lang w:val="en-US"/>
        </w:rPr>
        <w:t xml:space="preserve"> (</w:t>
      </w:r>
      <w:r w:rsidRPr="00697F3B">
        <w:rPr>
          <w:lang w:val="en-US"/>
        </w:rPr>
        <w:t>2007</w:t>
      </w:r>
      <w:r w:rsidR="00770B90" w:rsidRPr="00697F3B">
        <w:rPr>
          <w:lang w:val="en-US"/>
        </w:rPr>
        <w:t>)</w:t>
      </w:r>
      <w:r w:rsidR="00C326A4" w:rsidRPr="00697F3B">
        <w:rPr>
          <w:lang w:val="en-US"/>
        </w:rPr>
        <w:t xml:space="preserve">. </w:t>
      </w:r>
      <w:r w:rsidRPr="00697F3B">
        <w:rPr>
          <w:lang w:val="en-US"/>
        </w:rPr>
        <w:t>Does socially responsible investing hurt investment returns?</w:t>
      </w:r>
      <w:r w:rsidR="00C0101D" w:rsidRPr="00697F3B">
        <w:rPr>
          <w:lang w:val="en-US"/>
        </w:rPr>
        <w:tab/>
      </w:r>
      <w:r w:rsidRPr="00697F3B">
        <w:rPr>
          <w:lang w:val="en-US"/>
        </w:rPr>
        <w:t>Investment Management</w:t>
      </w:r>
      <w:r w:rsidR="00891034" w:rsidRPr="00697F3B">
        <w:rPr>
          <w:lang w:val="en-US"/>
        </w:rPr>
        <w:t xml:space="preserve">. </w:t>
      </w:r>
      <w:r w:rsidRPr="00697F3B">
        <w:rPr>
          <w:lang w:val="en-US"/>
        </w:rPr>
        <w:t>Copyright RBC Global Asset Management Inc. 2010</w:t>
      </w:r>
      <w:r w:rsidR="00891034" w:rsidRPr="00697F3B">
        <w:rPr>
          <w:lang w:val="en-US"/>
        </w:rPr>
        <w:t>.</w:t>
      </w:r>
      <w:r w:rsidR="00C0101D" w:rsidRPr="00697F3B">
        <w:rPr>
          <w:lang w:val="en-US"/>
        </w:rPr>
        <w:tab/>
      </w:r>
      <w:r w:rsidR="008C1B7E" w:rsidRPr="00697F3B">
        <w:rPr>
          <w:lang w:val="en-US"/>
        </w:rPr>
        <w:t xml:space="preserve">Retrieved January 27, 2022, from </w:t>
      </w:r>
    </w:p>
    <w:p w14:paraId="01A98822" w14:textId="65D81CF8" w:rsidR="00C326A4" w:rsidRPr="00697F3B" w:rsidRDefault="00C0101D" w:rsidP="003739A1">
      <w:pPr>
        <w:pStyle w:val="NormalWeb"/>
        <w:spacing w:before="0" w:beforeAutospacing="0" w:after="0" w:afterAutospacing="0" w:line="360" w:lineRule="auto"/>
        <w:ind w:firstLine="708"/>
        <w:rPr>
          <w:lang w:val="en-US"/>
        </w:rPr>
      </w:pPr>
      <w:hyperlink r:id="rId34" w:history="1">
        <w:r w:rsidRPr="00697F3B">
          <w:rPr>
            <w:rStyle w:val="Lienhypertexte"/>
            <w:lang w:val="en-US"/>
          </w:rPr>
          <w:t>https://www.financite.be/sites/default/files/references/files/2177.pdf</w:t>
        </w:r>
      </w:hyperlink>
    </w:p>
    <w:p w14:paraId="76944F51" w14:textId="03270B78" w:rsidR="00EA0107" w:rsidRPr="00697F3B" w:rsidRDefault="00EA0107" w:rsidP="003739A1">
      <w:pPr>
        <w:pStyle w:val="NormalWeb"/>
        <w:spacing w:before="0" w:beforeAutospacing="0" w:after="0" w:afterAutospacing="0" w:line="360" w:lineRule="auto"/>
      </w:pPr>
      <w:r w:rsidRPr="00697F3B">
        <w:rPr>
          <w:lang w:val="nl-BE"/>
        </w:rPr>
        <w:t>Renneboog</w:t>
      </w:r>
      <w:r w:rsidR="00FB6521" w:rsidRPr="00697F3B">
        <w:rPr>
          <w:lang w:val="nl-BE"/>
        </w:rPr>
        <w:t>,</w:t>
      </w:r>
      <w:r w:rsidRPr="00697F3B">
        <w:rPr>
          <w:lang w:val="nl-BE"/>
        </w:rPr>
        <w:t xml:space="preserve"> L., Ter-Horst</w:t>
      </w:r>
      <w:r w:rsidR="00FB6521" w:rsidRPr="00697F3B">
        <w:rPr>
          <w:lang w:val="nl-BE"/>
        </w:rPr>
        <w:t>,</w:t>
      </w:r>
      <w:r w:rsidRPr="00697F3B">
        <w:rPr>
          <w:lang w:val="nl-BE"/>
        </w:rPr>
        <w:t xml:space="preserve"> J. </w:t>
      </w:r>
      <w:r w:rsidR="00FB6521" w:rsidRPr="00697F3B">
        <w:rPr>
          <w:lang w:val="nl-BE"/>
        </w:rPr>
        <w:t>&amp;</w:t>
      </w:r>
      <w:r w:rsidRPr="00697F3B">
        <w:rPr>
          <w:lang w:val="nl-BE"/>
        </w:rPr>
        <w:t xml:space="preserve"> Zhang</w:t>
      </w:r>
      <w:r w:rsidR="00FB6521" w:rsidRPr="00697F3B">
        <w:rPr>
          <w:lang w:val="nl-BE"/>
        </w:rPr>
        <w:t>,</w:t>
      </w:r>
      <w:r w:rsidRPr="00697F3B">
        <w:rPr>
          <w:lang w:val="nl-BE"/>
        </w:rPr>
        <w:t xml:space="preserve"> C. </w:t>
      </w:r>
      <w:r w:rsidR="00444BB0" w:rsidRPr="00697F3B">
        <w:rPr>
          <w:lang w:val="nl-BE"/>
        </w:rPr>
        <w:t>(</w:t>
      </w:r>
      <w:r w:rsidRPr="00697F3B">
        <w:rPr>
          <w:lang w:val="nl-BE"/>
        </w:rPr>
        <w:t>2008</w:t>
      </w:r>
      <w:r w:rsidR="00444BB0" w:rsidRPr="00697F3B">
        <w:rPr>
          <w:lang w:val="nl-BE"/>
        </w:rPr>
        <w:t>)</w:t>
      </w:r>
      <w:r w:rsidR="00FB6521" w:rsidRPr="00697F3B">
        <w:rPr>
          <w:lang w:val="nl-BE"/>
        </w:rPr>
        <w:t xml:space="preserve">. </w:t>
      </w:r>
      <w:r w:rsidRPr="00697F3B">
        <w:rPr>
          <w:lang w:val="en-US"/>
        </w:rPr>
        <w:t>Socially Responsible Investments:</w:t>
      </w:r>
      <w:r w:rsidR="00C0101D" w:rsidRPr="00697F3B">
        <w:rPr>
          <w:lang w:val="en-US"/>
        </w:rPr>
        <w:tab/>
      </w:r>
      <w:r w:rsidRPr="00697F3B">
        <w:rPr>
          <w:lang w:val="en-US"/>
        </w:rPr>
        <w:t xml:space="preserve">Institutional Aspects, Performance and Investor </w:t>
      </w:r>
      <w:proofErr w:type="spellStart"/>
      <w:r w:rsidRPr="00697F3B">
        <w:rPr>
          <w:lang w:val="en-US"/>
        </w:rPr>
        <w:t>Behaviour</w:t>
      </w:r>
      <w:proofErr w:type="spellEnd"/>
      <w:r w:rsidR="00FB6521" w:rsidRPr="00697F3B">
        <w:rPr>
          <w:lang w:val="en-US"/>
        </w:rPr>
        <w:t>.</w:t>
      </w:r>
      <w:r w:rsidRPr="00697F3B">
        <w:rPr>
          <w:lang w:val="en-US"/>
        </w:rPr>
        <w:t xml:space="preserve"> </w:t>
      </w:r>
      <w:r w:rsidRPr="00697F3B">
        <w:rPr>
          <w:i/>
          <w:iCs/>
        </w:rPr>
        <w:t>Journal of Banking and</w:t>
      </w:r>
      <w:r w:rsidR="00C0101D" w:rsidRPr="00697F3B">
        <w:rPr>
          <w:i/>
          <w:iCs/>
        </w:rPr>
        <w:tab/>
      </w:r>
      <w:r w:rsidRPr="00697F3B">
        <w:rPr>
          <w:i/>
          <w:iCs/>
        </w:rPr>
        <w:t>Finance</w:t>
      </w:r>
      <w:r w:rsidRPr="00697F3B">
        <w:t>, 32</w:t>
      </w:r>
      <w:r w:rsidR="00444BB0" w:rsidRPr="00697F3B">
        <w:t xml:space="preserve">, </w:t>
      </w:r>
      <w:r w:rsidRPr="00697F3B">
        <w:t>1723- 1742.</w:t>
      </w:r>
    </w:p>
    <w:p w14:paraId="3449DDC2" w14:textId="516A4506" w:rsidR="00EA0107" w:rsidRPr="00697F3B" w:rsidRDefault="00EA0107" w:rsidP="003739A1">
      <w:pPr>
        <w:pStyle w:val="NormalWeb"/>
        <w:spacing w:before="0" w:beforeAutospacing="0" w:after="0" w:afterAutospacing="0" w:line="360" w:lineRule="auto"/>
      </w:pPr>
      <w:r w:rsidRPr="00697F3B">
        <w:t>Revelli</w:t>
      </w:r>
      <w:r w:rsidR="00910847" w:rsidRPr="00697F3B">
        <w:t>,</w:t>
      </w:r>
      <w:r w:rsidRPr="00697F3B">
        <w:t xml:space="preserve"> C. </w:t>
      </w:r>
      <w:r w:rsidR="00910847" w:rsidRPr="00697F3B">
        <w:t>&amp;</w:t>
      </w:r>
      <w:r w:rsidRPr="00697F3B">
        <w:t xml:space="preserve"> Sentis</w:t>
      </w:r>
      <w:r w:rsidR="00910847" w:rsidRPr="00697F3B">
        <w:t>,</w:t>
      </w:r>
      <w:r w:rsidRPr="00697F3B">
        <w:t xml:space="preserve"> P. </w:t>
      </w:r>
      <w:r w:rsidR="00444BB0" w:rsidRPr="00697F3B">
        <w:t>(</w:t>
      </w:r>
      <w:r w:rsidRPr="00697F3B">
        <w:t>2012</w:t>
      </w:r>
      <w:r w:rsidR="00444BB0" w:rsidRPr="00697F3B">
        <w:t>)</w:t>
      </w:r>
      <w:r w:rsidR="00910847" w:rsidRPr="00697F3B">
        <w:t xml:space="preserve">. </w:t>
      </w:r>
      <w:r w:rsidRPr="00697F3B">
        <w:t xml:space="preserve">L’investissement socialement responsable </w:t>
      </w:r>
      <w:proofErr w:type="spellStart"/>
      <w:r w:rsidRPr="00697F3B">
        <w:t>diffère-t-il</w:t>
      </w:r>
      <w:proofErr w:type="spellEnd"/>
      <w:r w:rsidR="00C0101D" w:rsidRPr="00697F3B">
        <w:tab/>
      </w:r>
      <w:r w:rsidRPr="00697F3B">
        <w:t>vraiment de l’investissement conventionnel ?</w:t>
      </w:r>
      <w:r w:rsidR="00910847" w:rsidRPr="00697F3B">
        <w:t xml:space="preserve"> </w:t>
      </w:r>
      <w:r w:rsidRPr="00697F3B">
        <w:rPr>
          <w:i/>
          <w:iCs/>
        </w:rPr>
        <w:t>Direction et Gestion – La Revue des</w:t>
      </w:r>
      <w:r w:rsidR="00C0101D" w:rsidRPr="00697F3B">
        <w:rPr>
          <w:i/>
          <w:iCs/>
        </w:rPr>
        <w:tab/>
      </w:r>
      <w:r w:rsidRPr="00697F3B">
        <w:rPr>
          <w:i/>
          <w:iCs/>
        </w:rPr>
        <w:t>Sciences de Gestion</w:t>
      </w:r>
      <w:r w:rsidRPr="00697F3B">
        <w:t>, 3</w:t>
      </w:r>
      <w:r w:rsidR="00910847" w:rsidRPr="00697F3B">
        <w:t xml:space="preserve"> </w:t>
      </w:r>
      <w:r w:rsidRPr="00697F3B">
        <w:t>(255-256)</w:t>
      </w:r>
      <w:r w:rsidR="00444BB0" w:rsidRPr="00697F3B">
        <w:t xml:space="preserve">, </w:t>
      </w:r>
      <w:r w:rsidRPr="00697F3B">
        <w:t xml:space="preserve"> 85-95.</w:t>
      </w:r>
    </w:p>
    <w:p w14:paraId="10CD34A5" w14:textId="5F4756F7" w:rsidR="00EA0107" w:rsidRPr="00697F3B" w:rsidRDefault="00EA0107" w:rsidP="003739A1">
      <w:pPr>
        <w:pStyle w:val="NormalWeb"/>
        <w:spacing w:before="0" w:beforeAutospacing="0" w:after="0" w:afterAutospacing="0" w:line="360" w:lineRule="auto"/>
      </w:pPr>
      <w:r w:rsidRPr="00697F3B">
        <w:lastRenderedPageBreak/>
        <w:t>Revelli</w:t>
      </w:r>
      <w:r w:rsidR="00910847" w:rsidRPr="00697F3B">
        <w:t>,</w:t>
      </w:r>
      <w:r w:rsidRPr="00697F3B">
        <w:t xml:space="preserve"> C. </w:t>
      </w:r>
      <w:r w:rsidR="00910847" w:rsidRPr="00697F3B">
        <w:t>&amp;</w:t>
      </w:r>
      <w:r w:rsidRPr="00697F3B">
        <w:t xml:space="preserve"> Viviani</w:t>
      </w:r>
      <w:r w:rsidR="00910847" w:rsidRPr="00697F3B">
        <w:t>,</w:t>
      </w:r>
      <w:r w:rsidRPr="00697F3B">
        <w:t xml:space="preserve"> J-L. </w:t>
      </w:r>
      <w:r w:rsidR="00507B34" w:rsidRPr="00697F3B">
        <w:t>(</w:t>
      </w:r>
      <w:r w:rsidRPr="00697F3B">
        <w:t>2011</w:t>
      </w:r>
      <w:r w:rsidR="00507B34" w:rsidRPr="00697F3B">
        <w:t>)</w:t>
      </w:r>
      <w:r w:rsidR="00910847" w:rsidRPr="00697F3B">
        <w:t xml:space="preserve">. </w:t>
      </w:r>
      <w:r w:rsidRPr="00697F3B">
        <w:t xml:space="preserve">Les </w:t>
      </w:r>
      <w:proofErr w:type="spellStart"/>
      <w:r w:rsidRPr="00697F3B">
        <w:t>déterminants</w:t>
      </w:r>
      <w:proofErr w:type="spellEnd"/>
      <w:r w:rsidRPr="00697F3B">
        <w:t xml:space="preserve"> de l’effet de l’ISR sur la performance</w:t>
      </w:r>
      <w:r w:rsidR="00C0101D" w:rsidRPr="00697F3B">
        <w:tab/>
      </w:r>
      <w:proofErr w:type="spellStart"/>
      <w:r w:rsidRPr="00697F3B">
        <w:t>financière</w:t>
      </w:r>
      <w:proofErr w:type="spellEnd"/>
      <w:r w:rsidRPr="00697F3B">
        <w:t xml:space="preserve"> : une analyse statistique de la </w:t>
      </w:r>
      <w:proofErr w:type="spellStart"/>
      <w:r w:rsidRPr="00697F3B">
        <w:t>littérature</w:t>
      </w:r>
      <w:proofErr w:type="spellEnd"/>
      <w:r w:rsidRPr="00697F3B">
        <w:t xml:space="preserve"> empirique</w:t>
      </w:r>
      <w:r w:rsidR="00910847" w:rsidRPr="00697F3B">
        <w:t xml:space="preserve">. </w:t>
      </w:r>
      <w:r w:rsidRPr="00697F3B">
        <w:rPr>
          <w:i/>
          <w:iCs/>
        </w:rPr>
        <w:t>Management</w:t>
      </w:r>
      <w:r w:rsidR="00C0101D" w:rsidRPr="00697F3B">
        <w:rPr>
          <w:i/>
          <w:iCs/>
        </w:rPr>
        <w:tab/>
      </w:r>
      <w:r w:rsidRPr="00697F3B">
        <w:rPr>
          <w:i/>
          <w:iCs/>
        </w:rPr>
        <w:t>Prospective Ed. – Management &amp; Avenir</w:t>
      </w:r>
      <w:r w:rsidRPr="00697F3B">
        <w:t>, 4</w:t>
      </w:r>
      <w:r w:rsidR="00910847" w:rsidRPr="00697F3B">
        <w:t xml:space="preserve"> </w:t>
      </w:r>
      <w:r w:rsidRPr="00697F3B">
        <w:t>(44)</w:t>
      </w:r>
      <w:r w:rsidR="00507B34" w:rsidRPr="00697F3B">
        <w:t xml:space="preserve">, </w:t>
      </w:r>
      <w:r w:rsidRPr="00697F3B">
        <w:t xml:space="preserve"> 34-59.</w:t>
      </w:r>
    </w:p>
    <w:p w14:paraId="2B695743" w14:textId="069A0133" w:rsidR="00EA0107" w:rsidRPr="00697F3B" w:rsidRDefault="00EA0107" w:rsidP="003739A1">
      <w:pPr>
        <w:pStyle w:val="NormalWeb"/>
        <w:spacing w:before="0" w:beforeAutospacing="0" w:after="0" w:afterAutospacing="0" w:line="360" w:lineRule="auto"/>
      </w:pPr>
      <w:r w:rsidRPr="00697F3B">
        <w:t>Saadaoui</w:t>
      </w:r>
      <w:r w:rsidR="00910847" w:rsidRPr="00697F3B">
        <w:t>,</w:t>
      </w:r>
      <w:r w:rsidRPr="00697F3B">
        <w:t xml:space="preserve"> K. </w:t>
      </w:r>
      <w:r w:rsidR="00507B34" w:rsidRPr="00697F3B">
        <w:t>(</w:t>
      </w:r>
      <w:r w:rsidRPr="00697F3B">
        <w:t>2009</w:t>
      </w:r>
      <w:r w:rsidR="00507B34" w:rsidRPr="00697F3B">
        <w:t>)</w:t>
      </w:r>
      <w:r w:rsidR="00910847" w:rsidRPr="00697F3B">
        <w:t xml:space="preserve">. </w:t>
      </w:r>
      <w:r w:rsidRPr="00697F3B">
        <w:t xml:space="preserve">L’engagement </w:t>
      </w:r>
      <w:proofErr w:type="spellStart"/>
      <w:r w:rsidRPr="00697F3B">
        <w:t>éthique</w:t>
      </w:r>
      <w:proofErr w:type="spellEnd"/>
      <w:r w:rsidRPr="00697F3B">
        <w:t xml:space="preserve"> </w:t>
      </w:r>
      <w:proofErr w:type="spellStart"/>
      <w:r w:rsidRPr="00697F3B">
        <w:t>pénalise-t-il</w:t>
      </w:r>
      <w:proofErr w:type="spellEnd"/>
      <w:r w:rsidRPr="00697F3B">
        <w:t xml:space="preserve"> la performance ? - La performance</w:t>
      </w:r>
      <w:r w:rsidR="00C0101D" w:rsidRPr="00697F3B">
        <w:tab/>
      </w:r>
      <w:proofErr w:type="spellStart"/>
      <w:r w:rsidRPr="00697F3B">
        <w:t>financière</w:t>
      </w:r>
      <w:proofErr w:type="spellEnd"/>
      <w:r w:rsidRPr="00697F3B">
        <w:t xml:space="preserve"> des FSR</w:t>
      </w:r>
      <w:r w:rsidR="00910847" w:rsidRPr="00697F3B">
        <w:t xml:space="preserve">. </w:t>
      </w:r>
      <w:r w:rsidRPr="00697F3B">
        <w:rPr>
          <w:i/>
          <w:iCs/>
        </w:rPr>
        <w:t xml:space="preserve">Lavoisier – Revue </w:t>
      </w:r>
      <w:proofErr w:type="spellStart"/>
      <w:r w:rsidRPr="00697F3B">
        <w:rPr>
          <w:i/>
          <w:iCs/>
        </w:rPr>
        <w:t>Française</w:t>
      </w:r>
      <w:proofErr w:type="spellEnd"/>
      <w:r w:rsidRPr="00697F3B">
        <w:rPr>
          <w:i/>
          <w:iCs/>
        </w:rPr>
        <w:t xml:space="preserve"> de gestion</w:t>
      </w:r>
      <w:r w:rsidRPr="00697F3B">
        <w:t>, 6</w:t>
      </w:r>
      <w:r w:rsidR="00910847" w:rsidRPr="00697F3B">
        <w:t xml:space="preserve"> </w:t>
      </w:r>
      <w:r w:rsidRPr="00697F3B">
        <w:t>(196)</w:t>
      </w:r>
      <w:r w:rsidR="00507B34" w:rsidRPr="00697F3B">
        <w:t>,</w:t>
      </w:r>
      <w:r w:rsidRPr="00697F3B">
        <w:t xml:space="preserve"> 15-28.</w:t>
      </w:r>
    </w:p>
    <w:p w14:paraId="03457D76" w14:textId="149F1644" w:rsidR="00EA0107" w:rsidRPr="00697F3B" w:rsidRDefault="00EA0107" w:rsidP="003739A1">
      <w:pPr>
        <w:pStyle w:val="NormalWeb"/>
        <w:spacing w:before="0" w:beforeAutospacing="0" w:after="0" w:afterAutospacing="0" w:line="360" w:lineRule="auto"/>
      </w:pPr>
      <w:proofErr w:type="spellStart"/>
      <w:r w:rsidRPr="00697F3B">
        <w:t>Scatigna</w:t>
      </w:r>
      <w:proofErr w:type="spellEnd"/>
      <w:r w:rsidR="00910847" w:rsidRPr="00697F3B">
        <w:t>,</w:t>
      </w:r>
      <w:r w:rsidRPr="00697F3B">
        <w:t xml:space="preserve"> M., Xia</w:t>
      </w:r>
      <w:r w:rsidR="00910847" w:rsidRPr="00697F3B">
        <w:t>,</w:t>
      </w:r>
      <w:r w:rsidRPr="00697F3B">
        <w:t xml:space="preserve"> D., </w:t>
      </w:r>
      <w:proofErr w:type="spellStart"/>
      <w:r w:rsidRPr="00697F3B">
        <w:t>Zabai</w:t>
      </w:r>
      <w:proofErr w:type="spellEnd"/>
      <w:r w:rsidR="00910847" w:rsidRPr="00697F3B">
        <w:t>,</w:t>
      </w:r>
      <w:r w:rsidRPr="00697F3B">
        <w:t xml:space="preserve"> A. </w:t>
      </w:r>
      <w:r w:rsidR="00910847" w:rsidRPr="00697F3B">
        <w:t>&amp;</w:t>
      </w:r>
      <w:r w:rsidRPr="00697F3B">
        <w:t xml:space="preserve"> </w:t>
      </w:r>
      <w:proofErr w:type="spellStart"/>
      <w:r w:rsidRPr="00697F3B">
        <w:t>Zulaica</w:t>
      </w:r>
      <w:proofErr w:type="spellEnd"/>
      <w:r w:rsidR="00910847" w:rsidRPr="00697F3B">
        <w:t>,</w:t>
      </w:r>
      <w:r w:rsidRPr="00697F3B">
        <w:t xml:space="preserve"> O. </w:t>
      </w:r>
      <w:r w:rsidR="00507B34" w:rsidRPr="00697F3B">
        <w:t>(</w:t>
      </w:r>
      <w:r w:rsidRPr="00697F3B">
        <w:t>2021</w:t>
      </w:r>
      <w:r w:rsidR="00507B34" w:rsidRPr="00697F3B">
        <w:t>)</w:t>
      </w:r>
      <w:r w:rsidR="00910847" w:rsidRPr="00697F3B">
        <w:t xml:space="preserve">. </w:t>
      </w:r>
      <w:r w:rsidRPr="00697F3B">
        <w:rPr>
          <w:lang w:val="en-US"/>
        </w:rPr>
        <w:t>Achievements and challenges in ESG</w:t>
      </w:r>
      <w:r w:rsidR="00C0101D" w:rsidRPr="00697F3B">
        <w:rPr>
          <w:lang w:val="en-US"/>
        </w:rPr>
        <w:tab/>
      </w:r>
      <w:r w:rsidRPr="00697F3B">
        <w:rPr>
          <w:lang w:val="en-US"/>
        </w:rPr>
        <w:t>markets</w:t>
      </w:r>
      <w:r w:rsidR="00910847" w:rsidRPr="00697F3B">
        <w:rPr>
          <w:lang w:val="en-US"/>
        </w:rPr>
        <w:t>.</w:t>
      </w:r>
      <w:r w:rsidRPr="00697F3B">
        <w:rPr>
          <w:lang w:val="en-US"/>
        </w:rPr>
        <w:t xml:space="preserve"> </w:t>
      </w:r>
      <w:r w:rsidRPr="00697F3B">
        <w:rPr>
          <w:i/>
          <w:iCs/>
        </w:rPr>
        <w:t xml:space="preserve">BIS </w:t>
      </w:r>
      <w:proofErr w:type="spellStart"/>
      <w:r w:rsidRPr="00697F3B">
        <w:rPr>
          <w:i/>
          <w:iCs/>
        </w:rPr>
        <w:t>Quaterly</w:t>
      </w:r>
      <w:proofErr w:type="spellEnd"/>
      <w:r w:rsidRPr="00697F3B">
        <w:rPr>
          <w:i/>
          <w:iCs/>
        </w:rPr>
        <w:t xml:space="preserve"> </w:t>
      </w:r>
      <w:proofErr w:type="spellStart"/>
      <w:r w:rsidRPr="00697F3B">
        <w:rPr>
          <w:i/>
          <w:iCs/>
        </w:rPr>
        <w:t>Reeview</w:t>
      </w:r>
      <w:proofErr w:type="spellEnd"/>
      <w:r w:rsidRPr="00697F3B">
        <w:t xml:space="preserve">, </w:t>
      </w:r>
      <w:proofErr w:type="spellStart"/>
      <w:r w:rsidRPr="00697F3B">
        <w:t>December</w:t>
      </w:r>
      <w:proofErr w:type="spellEnd"/>
      <w:r w:rsidRPr="00697F3B">
        <w:t xml:space="preserve"> 202</w:t>
      </w:r>
      <w:r w:rsidR="00507B34" w:rsidRPr="00697F3B">
        <w:t>1,</w:t>
      </w:r>
      <w:r w:rsidRPr="00697F3B">
        <w:t xml:space="preserve"> 83-97.</w:t>
      </w:r>
    </w:p>
    <w:p w14:paraId="60F389D6" w14:textId="67E9BECB" w:rsidR="00EA0107" w:rsidRPr="00697F3B" w:rsidRDefault="00EA0107" w:rsidP="003739A1">
      <w:pPr>
        <w:pStyle w:val="NormalWeb"/>
        <w:spacing w:before="0" w:beforeAutospacing="0" w:after="0" w:afterAutospacing="0" w:line="360" w:lineRule="auto"/>
        <w:rPr>
          <w:lang w:val="en-US"/>
        </w:rPr>
      </w:pPr>
      <w:r w:rsidRPr="00697F3B">
        <w:t>Touma</w:t>
      </w:r>
      <w:r w:rsidR="00C326A4" w:rsidRPr="00697F3B">
        <w:t>,</w:t>
      </w:r>
      <w:r w:rsidRPr="00697F3B">
        <w:t xml:space="preserve"> A. </w:t>
      </w:r>
      <w:r w:rsidR="00507B34" w:rsidRPr="00697F3B">
        <w:t>(</w:t>
      </w:r>
      <w:r w:rsidRPr="00697F3B">
        <w:t>2018</w:t>
      </w:r>
      <w:r w:rsidR="00507B34" w:rsidRPr="00697F3B">
        <w:t>)</w:t>
      </w:r>
      <w:r w:rsidR="00C326A4" w:rsidRPr="00697F3B">
        <w:t>.</w:t>
      </w:r>
      <w:r w:rsidRPr="00697F3B">
        <w:t xml:space="preserve"> </w:t>
      </w:r>
      <w:r w:rsidRPr="00697F3B">
        <w:rPr>
          <w:i/>
          <w:iCs/>
        </w:rPr>
        <w:t xml:space="preserve">L’investissement responsable – Transformer ses valeurs en </w:t>
      </w:r>
      <w:proofErr w:type="spellStart"/>
      <w:r w:rsidRPr="00697F3B">
        <w:rPr>
          <w:i/>
          <w:iCs/>
        </w:rPr>
        <w:t>épargne</w:t>
      </w:r>
      <w:proofErr w:type="spellEnd"/>
      <w:r w:rsidR="00C326A4" w:rsidRPr="00697F3B">
        <w:t>.</w:t>
      </w:r>
      <w:r w:rsidRPr="00697F3B">
        <w:t xml:space="preserve"> </w:t>
      </w:r>
      <w:r w:rsidRPr="00697F3B">
        <w:rPr>
          <w:lang w:val="en-US"/>
        </w:rPr>
        <w:t>RB</w:t>
      </w:r>
      <w:r w:rsidR="00C0101D" w:rsidRPr="00697F3B">
        <w:rPr>
          <w:lang w:val="en-US"/>
        </w:rPr>
        <w:tab/>
      </w:r>
      <w:proofErr w:type="spellStart"/>
      <w:r w:rsidRPr="00697F3B">
        <w:rPr>
          <w:lang w:val="en-US"/>
        </w:rPr>
        <w:t>édition</w:t>
      </w:r>
      <w:proofErr w:type="spellEnd"/>
      <w:r w:rsidRPr="00697F3B">
        <w:rPr>
          <w:lang w:val="en-US"/>
        </w:rPr>
        <w:t>, Paris</w:t>
      </w:r>
      <w:r w:rsidR="00C326A4" w:rsidRPr="00697F3B">
        <w:rPr>
          <w:lang w:val="en-US"/>
        </w:rPr>
        <w:t>.</w:t>
      </w:r>
    </w:p>
    <w:p w14:paraId="3BBDD516" w14:textId="7CA471D9" w:rsidR="00C0101D" w:rsidRPr="00697F3B" w:rsidRDefault="00EA0107" w:rsidP="003739A1">
      <w:pPr>
        <w:pStyle w:val="NormalWeb"/>
        <w:spacing w:before="0" w:beforeAutospacing="0" w:after="0" w:afterAutospacing="0" w:line="360" w:lineRule="auto"/>
        <w:rPr>
          <w:lang w:val="en-US"/>
        </w:rPr>
      </w:pPr>
      <w:r w:rsidRPr="00697F3B">
        <w:rPr>
          <w:lang w:val="en-US"/>
        </w:rPr>
        <w:t>Wigglesworth</w:t>
      </w:r>
      <w:r w:rsidR="00C326A4" w:rsidRPr="00697F3B">
        <w:rPr>
          <w:lang w:val="en-US"/>
        </w:rPr>
        <w:t>,</w:t>
      </w:r>
      <w:r w:rsidRPr="00697F3B">
        <w:rPr>
          <w:lang w:val="en-US"/>
        </w:rPr>
        <w:t xml:space="preserve"> R. </w:t>
      </w:r>
      <w:r w:rsidR="00507B34" w:rsidRPr="00697F3B">
        <w:rPr>
          <w:lang w:val="en-US"/>
        </w:rPr>
        <w:t>(</w:t>
      </w:r>
      <w:r w:rsidRPr="00697F3B">
        <w:rPr>
          <w:lang w:val="en-US"/>
        </w:rPr>
        <w:t>2018</w:t>
      </w:r>
      <w:r w:rsidR="00507B34" w:rsidRPr="00697F3B">
        <w:rPr>
          <w:lang w:val="en-US"/>
        </w:rPr>
        <w:t>)</w:t>
      </w:r>
      <w:r w:rsidR="00C326A4" w:rsidRPr="00697F3B">
        <w:rPr>
          <w:lang w:val="en-US"/>
        </w:rPr>
        <w:t xml:space="preserve">. </w:t>
      </w:r>
      <w:r w:rsidRPr="00697F3B">
        <w:rPr>
          <w:lang w:val="en-US"/>
        </w:rPr>
        <w:t>Rating agencies using green criteria suffer from ’inherent biases’</w:t>
      </w:r>
      <w:r w:rsidR="00C326A4" w:rsidRPr="00697F3B">
        <w:rPr>
          <w:lang w:val="en-US"/>
        </w:rPr>
        <w:t>.</w:t>
      </w:r>
      <w:r w:rsidR="00C0101D" w:rsidRPr="00697F3B">
        <w:rPr>
          <w:lang w:val="en-US"/>
        </w:rPr>
        <w:tab/>
      </w:r>
      <w:r w:rsidR="002257D5" w:rsidRPr="00697F3B">
        <w:rPr>
          <w:i/>
          <w:iCs/>
          <w:lang w:val="en-US"/>
        </w:rPr>
        <w:t>Financial Times</w:t>
      </w:r>
      <w:r w:rsidR="002257D5" w:rsidRPr="00697F3B">
        <w:rPr>
          <w:lang w:val="en-US"/>
        </w:rPr>
        <w:t xml:space="preserve">. </w:t>
      </w:r>
      <w:r w:rsidR="00507B34" w:rsidRPr="00697F3B">
        <w:rPr>
          <w:lang w:val="en-US"/>
        </w:rPr>
        <w:t>Retrieved January 26, 2022, from</w:t>
      </w:r>
      <w:r w:rsidRPr="00697F3B">
        <w:rPr>
          <w:lang w:val="en-US"/>
        </w:rPr>
        <w:t xml:space="preserve"> </w:t>
      </w:r>
    </w:p>
    <w:p w14:paraId="553E8462" w14:textId="6DDF76BF" w:rsidR="00B44552" w:rsidRPr="00697F3B" w:rsidRDefault="00C0101D" w:rsidP="00B44552">
      <w:pPr>
        <w:pStyle w:val="NormalWeb"/>
        <w:spacing w:before="0" w:beforeAutospacing="0" w:after="0" w:afterAutospacing="0" w:line="360" w:lineRule="auto"/>
        <w:ind w:left="708"/>
        <w:rPr>
          <w:rStyle w:val="Lienhypertexte"/>
          <w:lang w:val="en-US"/>
        </w:rPr>
      </w:pPr>
      <w:hyperlink r:id="rId35" w:history="1">
        <w:r w:rsidRPr="00697F3B">
          <w:rPr>
            <w:rStyle w:val="Lienhypertexte"/>
            <w:lang w:val="en-US"/>
          </w:rPr>
          <w:t>https://www.wsj.com/articles/is-tesla-or- exxon-more-sustainable-it-depends-whom-you-ask-1537199931</w:t>
        </w:r>
      </w:hyperlink>
    </w:p>
    <w:p w14:paraId="01D42157" w14:textId="1A39F494" w:rsidR="00B44552" w:rsidRPr="00697F3B" w:rsidRDefault="00B44552">
      <w:pPr>
        <w:rPr>
          <w:b/>
          <w:bCs/>
          <w:smallCaps/>
          <w:sz w:val="28"/>
          <w:szCs w:val="28"/>
          <w:lang w:val="en-US"/>
        </w:rPr>
      </w:pPr>
      <w:r w:rsidRPr="00697F3B">
        <w:rPr>
          <w:b/>
          <w:bCs/>
          <w:smallCaps/>
          <w:sz w:val="28"/>
          <w:szCs w:val="28"/>
          <w:lang w:val="en-US"/>
        </w:rPr>
        <w:br w:type="page"/>
      </w:r>
    </w:p>
    <w:p w14:paraId="3C688F35" w14:textId="62F1B1B3" w:rsidR="00B44552" w:rsidRPr="00697F3B" w:rsidRDefault="00B44552" w:rsidP="00B44552">
      <w:pPr>
        <w:spacing w:after="240" w:line="360" w:lineRule="auto"/>
        <w:rPr>
          <w:b/>
          <w:bCs/>
          <w:smallCaps/>
          <w:sz w:val="28"/>
          <w:szCs w:val="28"/>
          <w:lang w:val="fr-FR"/>
        </w:rPr>
      </w:pPr>
      <w:r w:rsidRPr="00697F3B">
        <w:rPr>
          <w:b/>
          <w:bCs/>
          <w:smallCaps/>
          <w:sz w:val="28"/>
          <w:szCs w:val="28"/>
          <w:lang w:val="fr-FR"/>
        </w:rPr>
        <w:lastRenderedPageBreak/>
        <w:t>Annexe</w:t>
      </w:r>
      <w:r w:rsidR="00AC1CA3" w:rsidRPr="00697F3B">
        <w:rPr>
          <w:b/>
          <w:bCs/>
          <w:smallCaps/>
          <w:sz w:val="28"/>
          <w:szCs w:val="28"/>
          <w:lang w:val="fr-FR"/>
        </w:rPr>
        <w:t xml:space="preserve"> – Liste complète des fonds </w:t>
      </w:r>
      <w:proofErr w:type="spellStart"/>
      <w:r w:rsidR="00AC1CA3" w:rsidRPr="00697F3B">
        <w:rPr>
          <w:b/>
          <w:bCs/>
          <w:smallCaps/>
          <w:sz w:val="28"/>
          <w:szCs w:val="28"/>
          <w:lang w:val="fr-FR"/>
        </w:rPr>
        <w:t>isr</w:t>
      </w:r>
      <w:proofErr w:type="spellEnd"/>
      <w:r w:rsidR="00AC1CA3" w:rsidRPr="00697F3B">
        <w:rPr>
          <w:b/>
          <w:bCs/>
          <w:smallCaps/>
          <w:sz w:val="28"/>
          <w:szCs w:val="28"/>
          <w:lang w:val="fr-FR"/>
        </w:rPr>
        <w:t xml:space="preserve"> de notre échantillon</w:t>
      </w:r>
    </w:p>
    <w:tbl>
      <w:tblPr>
        <w:tblW w:w="6997"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437"/>
        <w:gridCol w:w="1560"/>
      </w:tblGrid>
      <w:tr w:rsidR="00B44552" w:rsidRPr="00697F3B" w14:paraId="10866B54" w14:textId="77777777" w:rsidTr="00B44552">
        <w:trPr>
          <w:trHeight w:val="320"/>
        </w:trPr>
        <w:tc>
          <w:tcPr>
            <w:tcW w:w="5437" w:type="dxa"/>
            <w:noWrap/>
            <w:vAlign w:val="bottom"/>
            <w:hideMark/>
          </w:tcPr>
          <w:p w14:paraId="038ADD88" w14:textId="77777777" w:rsidR="00B44552" w:rsidRPr="00697F3B" w:rsidRDefault="00B44552">
            <w:pPr>
              <w:rPr>
                <w:rFonts w:ascii="Helvetica" w:hAnsi="Helvetica"/>
                <w:b/>
                <w:bCs/>
                <w:color w:val="000000" w:themeColor="text1"/>
                <w:sz w:val="16"/>
                <w:szCs w:val="16"/>
              </w:rPr>
            </w:pPr>
            <w:r w:rsidRPr="00697F3B">
              <w:rPr>
                <w:rFonts w:ascii="Helvetica" w:hAnsi="Helvetica"/>
                <w:b/>
                <w:bCs/>
                <w:color w:val="000000" w:themeColor="text1"/>
                <w:sz w:val="16"/>
                <w:szCs w:val="16"/>
              </w:rPr>
              <w:t>FONDS ISR</w:t>
            </w:r>
          </w:p>
        </w:tc>
        <w:tc>
          <w:tcPr>
            <w:tcW w:w="1560" w:type="dxa"/>
            <w:noWrap/>
            <w:vAlign w:val="bottom"/>
            <w:hideMark/>
          </w:tcPr>
          <w:p w14:paraId="016165AE" w14:textId="77777777" w:rsidR="00B44552" w:rsidRPr="00697F3B" w:rsidRDefault="00B44552">
            <w:pPr>
              <w:rPr>
                <w:rFonts w:ascii="Helvetica" w:hAnsi="Helvetica"/>
                <w:b/>
                <w:bCs/>
                <w:color w:val="000000" w:themeColor="text1"/>
                <w:sz w:val="16"/>
                <w:szCs w:val="16"/>
              </w:rPr>
            </w:pPr>
            <w:r w:rsidRPr="00697F3B">
              <w:rPr>
                <w:rFonts w:ascii="Helvetica" w:hAnsi="Helvetica"/>
                <w:b/>
                <w:bCs/>
                <w:color w:val="000000" w:themeColor="text1"/>
                <w:sz w:val="16"/>
                <w:szCs w:val="16"/>
              </w:rPr>
              <w:t>ISIN</w:t>
            </w:r>
          </w:p>
        </w:tc>
      </w:tr>
      <w:tr w:rsidR="00B44552" w:rsidRPr="00697F3B" w14:paraId="7DE89CBA" w14:textId="77777777" w:rsidTr="00B44552">
        <w:trPr>
          <w:trHeight w:val="320"/>
        </w:trPr>
        <w:tc>
          <w:tcPr>
            <w:tcW w:w="5437" w:type="dxa"/>
            <w:noWrap/>
            <w:vAlign w:val="bottom"/>
            <w:hideMark/>
          </w:tcPr>
          <w:p w14:paraId="0FD021F4"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 xml:space="preserve">Belfius </w:t>
            </w:r>
            <w:proofErr w:type="spellStart"/>
            <w:r w:rsidRPr="00697F3B">
              <w:rPr>
                <w:rFonts w:ascii="Helvetica" w:hAnsi="Helvetica"/>
                <w:color w:val="000000"/>
                <w:sz w:val="16"/>
                <w:szCs w:val="16"/>
              </w:rPr>
              <w:t>Equities</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Climate</w:t>
            </w:r>
            <w:proofErr w:type="spellEnd"/>
          </w:p>
        </w:tc>
        <w:tc>
          <w:tcPr>
            <w:tcW w:w="1560" w:type="dxa"/>
            <w:noWrap/>
            <w:vAlign w:val="bottom"/>
            <w:hideMark/>
          </w:tcPr>
          <w:p w14:paraId="3EB3419B"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BE6314674712</w:t>
            </w:r>
          </w:p>
        </w:tc>
      </w:tr>
      <w:tr w:rsidR="00B44552" w:rsidRPr="00697F3B" w14:paraId="54D83708" w14:textId="77777777" w:rsidTr="00B44552">
        <w:trPr>
          <w:trHeight w:val="320"/>
        </w:trPr>
        <w:tc>
          <w:tcPr>
            <w:tcW w:w="5437" w:type="dxa"/>
            <w:noWrap/>
            <w:vAlign w:val="bottom"/>
            <w:hideMark/>
          </w:tcPr>
          <w:p w14:paraId="5FD183C1"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Belfius Equities Cure C Cap</w:t>
            </w:r>
          </w:p>
        </w:tc>
        <w:tc>
          <w:tcPr>
            <w:tcW w:w="1560" w:type="dxa"/>
            <w:noWrap/>
            <w:vAlign w:val="bottom"/>
            <w:hideMark/>
          </w:tcPr>
          <w:p w14:paraId="03B86A72"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BE6308094877</w:t>
            </w:r>
          </w:p>
        </w:tc>
      </w:tr>
      <w:tr w:rsidR="00B44552" w:rsidRPr="00697F3B" w14:paraId="78D5CC51" w14:textId="77777777" w:rsidTr="00B44552">
        <w:trPr>
          <w:trHeight w:val="320"/>
        </w:trPr>
        <w:tc>
          <w:tcPr>
            <w:tcW w:w="5437" w:type="dxa"/>
            <w:noWrap/>
            <w:vAlign w:val="bottom"/>
            <w:hideMark/>
          </w:tcPr>
          <w:p w14:paraId="05C420C6"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Belfius Select Portfolio Sustainable Low C Acc</w:t>
            </w:r>
          </w:p>
        </w:tc>
        <w:tc>
          <w:tcPr>
            <w:tcW w:w="1560" w:type="dxa"/>
            <w:noWrap/>
            <w:vAlign w:val="bottom"/>
            <w:hideMark/>
          </w:tcPr>
          <w:p w14:paraId="502A10DD"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BE6296670126</w:t>
            </w:r>
          </w:p>
        </w:tc>
      </w:tr>
      <w:tr w:rsidR="00B44552" w:rsidRPr="00697F3B" w14:paraId="61C4AF94" w14:textId="77777777" w:rsidTr="00B44552">
        <w:trPr>
          <w:trHeight w:val="320"/>
        </w:trPr>
        <w:tc>
          <w:tcPr>
            <w:tcW w:w="5437" w:type="dxa"/>
            <w:noWrap/>
            <w:vAlign w:val="bottom"/>
            <w:hideMark/>
          </w:tcPr>
          <w:p w14:paraId="3D0C3E0E"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Belfius Select Portfolio Sustainable Medium C Inc</w:t>
            </w:r>
          </w:p>
        </w:tc>
        <w:tc>
          <w:tcPr>
            <w:tcW w:w="1560" w:type="dxa"/>
            <w:noWrap/>
            <w:vAlign w:val="bottom"/>
            <w:hideMark/>
          </w:tcPr>
          <w:p w14:paraId="19B577E1"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BE6296688300</w:t>
            </w:r>
          </w:p>
        </w:tc>
      </w:tr>
      <w:tr w:rsidR="00B44552" w:rsidRPr="00697F3B" w14:paraId="10779C06" w14:textId="77777777" w:rsidTr="00B44552">
        <w:trPr>
          <w:trHeight w:val="320"/>
        </w:trPr>
        <w:tc>
          <w:tcPr>
            <w:tcW w:w="5437" w:type="dxa"/>
            <w:noWrap/>
            <w:vAlign w:val="bottom"/>
            <w:hideMark/>
          </w:tcPr>
          <w:p w14:paraId="5190AD7C"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Belfius Equities Wo=Men C EUR Acc</w:t>
            </w:r>
          </w:p>
        </w:tc>
        <w:tc>
          <w:tcPr>
            <w:tcW w:w="1560" w:type="dxa"/>
            <w:noWrap/>
            <w:vAlign w:val="bottom"/>
            <w:hideMark/>
          </w:tcPr>
          <w:p w14:paraId="365C5D64"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BE6322168962</w:t>
            </w:r>
          </w:p>
        </w:tc>
      </w:tr>
      <w:tr w:rsidR="00B44552" w:rsidRPr="00697F3B" w14:paraId="46C8C6EC" w14:textId="77777777" w:rsidTr="00B44552">
        <w:trPr>
          <w:trHeight w:val="320"/>
        </w:trPr>
        <w:tc>
          <w:tcPr>
            <w:tcW w:w="5437" w:type="dxa"/>
            <w:noWrap/>
            <w:vAlign w:val="bottom"/>
            <w:hideMark/>
          </w:tcPr>
          <w:p w14:paraId="57A94BB9"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Belfius Portfolio Equities US Sust V</w:t>
            </w:r>
          </w:p>
        </w:tc>
        <w:tc>
          <w:tcPr>
            <w:tcW w:w="1560" w:type="dxa"/>
            <w:noWrap/>
            <w:vAlign w:val="bottom"/>
            <w:hideMark/>
          </w:tcPr>
          <w:p w14:paraId="14CAE53B"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BE6309070934</w:t>
            </w:r>
          </w:p>
        </w:tc>
      </w:tr>
      <w:tr w:rsidR="00B44552" w:rsidRPr="00697F3B" w14:paraId="3CC3FCF5" w14:textId="77777777" w:rsidTr="00B44552">
        <w:trPr>
          <w:trHeight w:val="320"/>
        </w:trPr>
        <w:tc>
          <w:tcPr>
            <w:tcW w:w="5437" w:type="dxa"/>
            <w:noWrap/>
            <w:vAlign w:val="bottom"/>
            <w:hideMark/>
          </w:tcPr>
          <w:p w14:paraId="1F84384F"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Belfius Equities Move C EUR Dis</w:t>
            </w:r>
          </w:p>
        </w:tc>
        <w:tc>
          <w:tcPr>
            <w:tcW w:w="1560" w:type="dxa"/>
            <w:noWrap/>
            <w:vAlign w:val="bottom"/>
            <w:hideMark/>
          </w:tcPr>
          <w:p w14:paraId="2E70E9BE"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BE6326054051</w:t>
            </w:r>
          </w:p>
        </w:tc>
      </w:tr>
      <w:tr w:rsidR="00B44552" w:rsidRPr="00697F3B" w14:paraId="271208B5" w14:textId="77777777" w:rsidTr="00B44552">
        <w:trPr>
          <w:trHeight w:val="320"/>
        </w:trPr>
        <w:tc>
          <w:tcPr>
            <w:tcW w:w="5437" w:type="dxa"/>
            <w:noWrap/>
            <w:vAlign w:val="bottom"/>
            <w:hideMark/>
          </w:tcPr>
          <w:p w14:paraId="45CC222A" w14:textId="2EF7C62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Belfi</w:t>
            </w:r>
            <w:r w:rsidR="00F35BAD" w:rsidRPr="00697F3B">
              <w:rPr>
                <w:rFonts w:ascii="Helvetica" w:hAnsi="Helvetica"/>
                <w:color w:val="000000"/>
                <w:sz w:val="16"/>
                <w:szCs w:val="16"/>
                <w:lang w:val="en-US"/>
              </w:rPr>
              <w:t>u</w:t>
            </w:r>
            <w:r w:rsidRPr="00697F3B">
              <w:rPr>
                <w:rFonts w:ascii="Helvetica" w:hAnsi="Helvetica"/>
                <w:color w:val="000000"/>
                <w:sz w:val="16"/>
                <w:szCs w:val="16"/>
                <w:lang w:val="en-US"/>
              </w:rPr>
              <w:t>s Equities - Re=New C</w:t>
            </w:r>
          </w:p>
        </w:tc>
        <w:tc>
          <w:tcPr>
            <w:tcW w:w="1560" w:type="dxa"/>
            <w:noWrap/>
            <w:vAlign w:val="bottom"/>
            <w:hideMark/>
          </w:tcPr>
          <w:p w14:paraId="434772F5"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BE6328360803</w:t>
            </w:r>
          </w:p>
        </w:tc>
      </w:tr>
      <w:tr w:rsidR="00B44552" w:rsidRPr="00697F3B" w14:paraId="67ADD754" w14:textId="77777777" w:rsidTr="00B44552">
        <w:trPr>
          <w:trHeight w:val="320"/>
        </w:trPr>
        <w:tc>
          <w:tcPr>
            <w:tcW w:w="5437" w:type="dxa"/>
            <w:noWrap/>
            <w:vAlign w:val="bottom"/>
            <w:hideMark/>
          </w:tcPr>
          <w:p w14:paraId="79E4CA36"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 xml:space="preserve">Belfius </w:t>
            </w:r>
            <w:proofErr w:type="spellStart"/>
            <w:r w:rsidRPr="00697F3B">
              <w:rPr>
                <w:rFonts w:ascii="Helvetica" w:hAnsi="Helvetica"/>
                <w:color w:val="000000"/>
                <w:sz w:val="16"/>
                <w:szCs w:val="16"/>
              </w:rPr>
              <w:t>Equities</w:t>
            </w:r>
            <w:proofErr w:type="spellEnd"/>
            <w:r w:rsidRPr="00697F3B">
              <w:rPr>
                <w:rFonts w:ascii="Helvetica" w:hAnsi="Helvetica"/>
                <w:color w:val="000000"/>
                <w:sz w:val="16"/>
                <w:szCs w:val="16"/>
              </w:rPr>
              <w:t xml:space="preserve"> - </w:t>
            </w:r>
            <w:proofErr w:type="spellStart"/>
            <w:r w:rsidRPr="00697F3B">
              <w:rPr>
                <w:rFonts w:ascii="Helvetica" w:hAnsi="Helvetica"/>
                <w:color w:val="000000"/>
                <w:sz w:val="16"/>
                <w:szCs w:val="16"/>
              </w:rPr>
              <w:t>Become</w:t>
            </w:r>
            <w:proofErr w:type="spellEnd"/>
            <w:r w:rsidRPr="00697F3B">
              <w:rPr>
                <w:rFonts w:ascii="Helvetica" w:hAnsi="Helvetica"/>
                <w:color w:val="000000"/>
                <w:sz w:val="16"/>
                <w:szCs w:val="16"/>
              </w:rPr>
              <w:t xml:space="preserve"> C</w:t>
            </w:r>
          </w:p>
        </w:tc>
        <w:tc>
          <w:tcPr>
            <w:tcW w:w="1560" w:type="dxa"/>
            <w:noWrap/>
            <w:vAlign w:val="bottom"/>
            <w:hideMark/>
          </w:tcPr>
          <w:p w14:paraId="592E7E3D"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BE6328358781</w:t>
            </w:r>
          </w:p>
        </w:tc>
      </w:tr>
      <w:tr w:rsidR="00B44552" w:rsidRPr="00697F3B" w14:paraId="7C9AE3E9" w14:textId="77777777" w:rsidTr="00B44552">
        <w:trPr>
          <w:trHeight w:val="320"/>
        </w:trPr>
        <w:tc>
          <w:tcPr>
            <w:tcW w:w="5437" w:type="dxa"/>
            <w:noWrap/>
            <w:vAlign w:val="bottom"/>
            <w:hideMark/>
          </w:tcPr>
          <w:p w14:paraId="132AA44F"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 xml:space="preserve">Belfius Equities - </w:t>
            </w:r>
            <w:proofErr w:type="spellStart"/>
            <w:r w:rsidRPr="00697F3B">
              <w:rPr>
                <w:rFonts w:ascii="Helvetica" w:hAnsi="Helvetica"/>
                <w:color w:val="000000"/>
                <w:sz w:val="16"/>
                <w:szCs w:val="16"/>
                <w:lang w:val="en-US"/>
              </w:rPr>
              <w:t>Innov</w:t>
            </w:r>
            <w:proofErr w:type="spellEnd"/>
            <w:r w:rsidRPr="00697F3B">
              <w:rPr>
                <w:rFonts w:ascii="Helvetica" w:hAnsi="Helvetica"/>
                <w:color w:val="000000"/>
                <w:sz w:val="16"/>
                <w:szCs w:val="16"/>
                <w:lang w:val="en-US"/>
              </w:rPr>
              <w:t>=Eat C</w:t>
            </w:r>
          </w:p>
        </w:tc>
        <w:tc>
          <w:tcPr>
            <w:tcW w:w="1560" w:type="dxa"/>
            <w:noWrap/>
            <w:vAlign w:val="bottom"/>
            <w:hideMark/>
          </w:tcPr>
          <w:p w14:paraId="65EE28AA"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BE6333898896</w:t>
            </w:r>
          </w:p>
        </w:tc>
      </w:tr>
      <w:tr w:rsidR="00B44552" w:rsidRPr="00697F3B" w14:paraId="59F7B3F7" w14:textId="77777777" w:rsidTr="00B44552">
        <w:trPr>
          <w:trHeight w:val="320"/>
        </w:trPr>
        <w:tc>
          <w:tcPr>
            <w:tcW w:w="5437" w:type="dxa"/>
            <w:noWrap/>
            <w:vAlign w:val="bottom"/>
            <w:hideMark/>
          </w:tcPr>
          <w:p w14:paraId="5D265FE6"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 xml:space="preserve">Belfius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 High C</w:t>
            </w:r>
          </w:p>
        </w:tc>
        <w:tc>
          <w:tcPr>
            <w:tcW w:w="1560" w:type="dxa"/>
            <w:noWrap/>
            <w:vAlign w:val="bottom"/>
            <w:hideMark/>
          </w:tcPr>
          <w:p w14:paraId="2439D6F1"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BE0169199313</w:t>
            </w:r>
          </w:p>
        </w:tc>
      </w:tr>
      <w:tr w:rsidR="00B44552" w:rsidRPr="00697F3B" w14:paraId="107BF2B4" w14:textId="77777777" w:rsidTr="00B44552">
        <w:trPr>
          <w:trHeight w:val="320"/>
        </w:trPr>
        <w:tc>
          <w:tcPr>
            <w:tcW w:w="5437" w:type="dxa"/>
            <w:noWrap/>
            <w:vAlign w:val="bottom"/>
            <w:hideMark/>
          </w:tcPr>
          <w:p w14:paraId="0EBFF176"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 xml:space="preserve">Belfius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 Low C</w:t>
            </w:r>
          </w:p>
        </w:tc>
        <w:tc>
          <w:tcPr>
            <w:tcW w:w="1560" w:type="dxa"/>
            <w:noWrap/>
            <w:vAlign w:val="bottom"/>
            <w:hideMark/>
          </w:tcPr>
          <w:p w14:paraId="749EF077"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BE0159412411</w:t>
            </w:r>
          </w:p>
        </w:tc>
      </w:tr>
      <w:tr w:rsidR="00B44552" w:rsidRPr="00697F3B" w14:paraId="711525F7" w14:textId="77777777" w:rsidTr="00B44552">
        <w:trPr>
          <w:trHeight w:val="320"/>
        </w:trPr>
        <w:tc>
          <w:tcPr>
            <w:tcW w:w="5437" w:type="dxa"/>
            <w:noWrap/>
            <w:vAlign w:val="bottom"/>
            <w:hideMark/>
          </w:tcPr>
          <w:p w14:paraId="7E1AA566"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 xml:space="preserve">Belfius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 Medium C</w:t>
            </w:r>
          </w:p>
        </w:tc>
        <w:tc>
          <w:tcPr>
            <w:tcW w:w="1560" w:type="dxa"/>
            <w:noWrap/>
            <w:vAlign w:val="bottom"/>
            <w:hideMark/>
          </w:tcPr>
          <w:p w14:paraId="5F483B3B"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BE0159411405</w:t>
            </w:r>
          </w:p>
        </w:tc>
      </w:tr>
      <w:tr w:rsidR="00B44552" w:rsidRPr="00697F3B" w14:paraId="77A31AD1" w14:textId="77777777" w:rsidTr="00B44552">
        <w:trPr>
          <w:trHeight w:val="320"/>
        </w:trPr>
        <w:tc>
          <w:tcPr>
            <w:tcW w:w="5437" w:type="dxa"/>
            <w:noWrap/>
            <w:vAlign w:val="bottom"/>
            <w:hideMark/>
          </w:tcPr>
          <w:p w14:paraId="260FC1E4"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BNP PARIBAS AQUA</w:t>
            </w:r>
          </w:p>
        </w:tc>
        <w:tc>
          <w:tcPr>
            <w:tcW w:w="1560" w:type="dxa"/>
            <w:noWrap/>
            <w:vAlign w:val="bottom"/>
            <w:hideMark/>
          </w:tcPr>
          <w:p w14:paraId="458E1AB3"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FR0010668145</w:t>
            </w:r>
          </w:p>
        </w:tc>
      </w:tr>
      <w:tr w:rsidR="00B44552" w:rsidRPr="00697F3B" w14:paraId="435B5AFD" w14:textId="77777777" w:rsidTr="00B44552">
        <w:trPr>
          <w:trHeight w:val="320"/>
        </w:trPr>
        <w:tc>
          <w:tcPr>
            <w:tcW w:w="5437" w:type="dxa"/>
            <w:noWrap/>
            <w:vAlign w:val="bottom"/>
            <w:hideMark/>
          </w:tcPr>
          <w:p w14:paraId="4748C34E"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BNP Paribas funds Smart Food</w:t>
            </w:r>
          </w:p>
        </w:tc>
        <w:tc>
          <w:tcPr>
            <w:tcW w:w="1560" w:type="dxa"/>
            <w:noWrap/>
            <w:vAlign w:val="bottom"/>
            <w:hideMark/>
          </w:tcPr>
          <w:p w14:paraId="4D795915"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LU1165137149</w:t>
            </w:r>
          </w:p>
        </w:tc>
      </w:tr>
      <w:tr w:rsidR="00B44552" w:rsidRPr="00697F3B" w14:paraId="5ECAE395" w14:textId="77777777" w:rsidTr="00B44552">
        <w:trPr>
          <w:trHeight w:val="320"/>
        </w:trPr>
        <w:tc>
          <w:tcPr>
            <w:tcW w:w="5437" w:type="dxa"/>
            <w:noWrap/>
            <w:vAlign w:val="bottom"/>
            <w:hideMark/>
          </w:tcPr>
          <w:p w14:paraId="22BE6604"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BNP Paribas Funds Aqua</w:t>
            </w:r>
          </w:p>
        </w:tc>
        <w:tc>
          <w:tcPr>
            <w:tcW w:w="1560" w:type="dxa"/>
            <w:noWrap/>
            <w:vAlign w:val="bottom"/>
            <w:hideMark/>
          </w:tcPr>
          <w:p w14:paraId="7D5C7394"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LU1165135440</w:t>
            </w:r>
          </w:p>
        </w:tc>
      </w:tr>
      <w:tr w:rsidR="00B44552" w:rsidRPr="00697F3B" w14:paraId="390B7F4B" w14:textId="77777777" w:rsidTr="00B44552">
        <w:trPr>
          <w:trHeight w:val="280"/>
        </w:trPr>
        <w:tc>
          <w:tcPr>
            <w:tcW w:w="5437" w:type="dxa"/>
            <w:noWrap/>
            <w:vAlign w:val="bottom"/>
            <w:hideMark/>
          </w:tcPr>
          <w:p w14:paraId="2889BDD9"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 xml:space="preserve">BNP Paribas Funds Global </w:t>
            </w:r>
            <w:proofErr w:type="spellStart"/>
            <w:r w:rsidRPr="00697F3B">
              <w:rPr>
                <w:rFonts w:ascii="Helvetica" w:hAnsi="Helvetica"/>
                <w:color w:val="000000"/>
                <w:sz w:val="16"/>
                <w:szCs w:val="16"/>
              </w:rPr>
              <w:t>Environment</w:t>
            </w:r>
            <w:proofErr w:type="spellEnd"/>
          </w:p>
        </w:tc>
        <w:tc>
          <w:tcPr>
            <w:tcW w:w="1560" w:type="dxa"/>
            <w:noWrap/>
            <w:vAlign w:val="bottom"/>
            <w:hideMark/>
          </w:tcPr>
          <w:p w14:paraId="4744E4D4"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LU0347711466</w:t>
            </w:r>
          </w:p>
        </w:tc>
      </w:tr>
      <w:tr w:rsidR="00B44552" w:rsidRPr="00697F3B" w14:paraId="771E9389" w14:textId="77777777" w:rsidTr="00B44552">
        <w:trPr>
          <w:trHeight w:val="320"/>
        </w:trPr>
        <w:tc>
          <w:tcPr>
            <w:tcW w:w="5437" w:type="dxa"/>
            <w:noWrap/>
            <w:vAlign w:val="bottom"/>
            <w:hideMark/>
          </w:tcPr>
          <w:p w14:paraId="091F37C4"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BNP Paribas Funds Green Tigers</w:t>
            </w:r>
          </w:p>
        </w:tc>
        <w:tc>
          <w:tcPr>
            <w:tcW w:w="1560" w:type="dxa"/>
            <w:noWrap/>
            <w:vAlign w:val="bottom"/>
            <w:hideMark/>
          </w:tcPr>
          <w:p w14:paraId="0DAB13AD"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LU1039395188</w:t>
            </w:r>
          </w:p>
        </w:tc>
      </w:tr>
      <w:tr w:rsidR="00B44552" w:rsidRPr="00697F3B" w14:paraId="0A81A939" w14:textId="77777777" w:rsidTr="00B44552">
        <w:trPr>
          <w:trHeight w:val="320"/>
        </w:trPr>
        <w:tc>
          <w:tcPr>
            <w:tcW w:w="5437" w:type="dxa"/>
            <w:noWrap/>
            <w:vAlign w:val="bottom"/>
            <w:hideMark/>
          </w:tcPr>
          <w:p w14:paraId="6B0ED7BE"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BNP Paribas Funds Green Bond</w:t>
            </w:r>
          </w:p>
        </w:tc>
        <w:tc>
          <w:tcPr>
            <w:tcW w:w="1560" w:type="dxa"/>
            <w:noWrap/>
            <w:vAlign w:val="bottom"/>
            <w:hideMark/>
          </w:tcPr>
          <w:p w14:paraId="3377804C"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LU1620156999</w:t>
            </w:r>
          </w:p>
        </w:tc>
      </w:tr>
      <w:tr w:rsidR="00B44552" w:rsidRPr="00697F3B" w14:paraId="76043019" w14:textId="77777777" w:rsidTr="00B44552">
        <w:trPr>
          <w:trHeight w:val="320"/>
        </w:trPr>
        <w:tc>
          <w:tcPr>
            <w:tcW w:w="5437" w:type="dxa"/>
            <w:noWrap/>
            <w:vAlign w:val="bottom"/>
            <w:hideMark/>
          </w:tcPr>
          <w:p w14:paraId="2B45995E"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BNP Paribas Funds Energy Transition (EUR)</w:t>
            </w:r>
          </w:p>
        </w:tc>
        <w:tc>
          <w:tcPr>
            <w:tcW w:w="1560" w:type="dxa"/>
            <w:noWrap/>
            <w:vAlign w:val="bottom"/>
            <w:hideMark/>
          </w:tcPr>
          <w:p w14:paraId="281984B1"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LU0823414635</w:t>
            </w:r>
          </w:p>
        </w:tc>
      </w:tr>
      <w:tr w:rsidR="00B44552" w:rsidRPr="00697F3B" w14:paraId="5D4B2EA4" w14:textId="77777777" w:rsidTr="00B44552">
        <w:trPr>
          <w:trHeight w:val="320"/>
        </w:trPr>
        <w:tc>
          <w:tcPr>
            <w:tcW w:w="5437" w:type="dxa"/>
            <w:noWrap/>
            <w:vAlign w:val="bottom"/>
            <w:hideMark/>
          </w:tcPr>
          <w:p w14:paraId="19B618F5"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 xml:space="preserve">BNP Paribas </w:t>
            </w:r>
            <w:proofErr w:type="spellStart"/>
            <w:r w:rsidRPr="00697F3B">
              <w:rPr>
                <w:rFonts w:ascii="Helvetica" w:hAnsi="Helvetica"/>
                <w:color w:val="000000"/>
                <w:sz w:val="16"/>
                <w:szCs w:val="16"/>
              </w:rPr>
              <w:t>Climate</w:t>
            </w:r>
            <w:proofErr w:type="spellEnd"/>
            <w:r w:rsidRPr="00697F3B">
              <w:rPr>
                <w:rFonts w:ascii="Helvetica" w:hAnsi="Helvetica"/>
                <w:color w:val="000000"/>
                <w:sz w:val="16"/>
                <w:szCs w:val="16"/>
              </w:rPr>
              <w:t xml:space="preserve"> Impact </w:t>
            </w:r>
            <w:proofErr w:type="spellStart"/>
            <w:r w:rsidRPr="00697F3B">
              <w:rPr>
                <w:rFonts w:ascii="Helvetica" w:hAnsi="Helvetica"/>
                <w:color w:val="000000"/>
                <w:sz w:val="16"/>
                <w:szCs w:val="16"/>
              </w:rPr>
              <w:t>Privl</w:t>
            </w:r>
            <w:proofErr w:type="spellEnd"/>
            <w:r w:rsidRPr="00697F3B">
              <w:rPr>
                <w:rFonts w:ascii="Helvetica" w:hAnsi="Helvetica"/>
                <w:color w:val="000000"/>
                <w:sz w:val="16"/>
                <w:szCs w:val="16"/>
              </w:rPr>
              <w:t xml:space="preserve"> Dis</w:t>
            </w:r>
          </w:p>
        </w:tc>
        <w:tc>
          <w:tcPr>
            <w:tcW w:w="1560" w:type="dxa"/>
            <w:noWrap/>
            <w:vAlign w:val="bottom"/>
            <w:hideMark/>
          </w:tcPr>
          <w:p w14:paraId="79E83BCD"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LU0406802339</w:t>
            </w:r>
          </w:p>
        </w:tc>
      </w:tr>
      <w:tr w:rsidR="00B44552" w:rsidRPr="00697F3B" w14:paraId="61F44CD6" w14:textId="77777777" w:rsidTr="00B44552">
        <w:trPr>
          <w:trHeight w:val="320"/>
        </w:trPr>
        <w:tc>
          <w:tcPr>
            <w:tcW w:w="5437" w:type="dxa"/>
            <w:noWrap/>
            <w:vAlign w:val="bottom"/>
            <w:hideMark/>
          </w:tcPr>
          <w:p w14:paraId="28493D7E"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BNP PARIBAS EASY JPM ESG Green Social &amp; Sustainability IG EUR Bond</w:t>
            </w:r>
          </w:p>
        </w:tc>
        <w:tc>
          <w:tcPr>
            <w:tcW w:w="1560" w:type="dxa"/>
            <w:noWrap/>
            <w:vAlign w:val="bottom"/>
            <w:hideMark/>
          </w:tcPr>
          <w:p w14:paraId="1CC8E48A"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LU2365458491</w:t>
            </w:r>
          </w:p>
        </w:tc>
      </w:tr>
      <w:tr w:rsidR="00B44552" w:rsidRPr="00697F3B" w14:paraId="07D14695" w14:textId="77777777" w:rsidTr="00B44552">
        <w:trPr>
          <w:trHeight w:val="320"/>
        </w:trPr>
        <w:tc>
          <w:tcPr>
            <w:tcW w:w="5437" w:type="dxa"/>
            <w:noWrap/>
            <w:vAlign w:val="bottom"/>
            <w:hideMark/>
          </w:tcPr>
          <w:p w14:paraId="74348B40"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BNP PARIBAS EURO CLIMATE ALIGNED</w:t>
            </w:r>
          </w:p>
        </w:tc>
        <w:tc>
          <w:tcPr>
            <w:tcW w:w="1560" w:type="dxa"/>
            <w:noWrap/>
            <w:vAlign w:val="bottom"/>
            <w:hideMark/>
          </w:tcPr>
          <w:p w14:paraId="1ECF0A77"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FR0010302398</w:t>
            </w:r>
          </w:p>
        </w:tc>
      </w:tr>
      <w:tr w:rsidR="00B44552" w:rsidRPr="00697F3B" w14:paraId="60B40491" w14:textId="77777777" w:rsidTr="00B44552">
        <w:trPr>
          <w:trHeight w:val="320"/>
        </w:trPr>
        <w:tc>
          <w:tcPr>
            <w:tcW w:w="5437" w:type="dxa"/>
            <w:noWrap/>
            <w:vAlign w:val="bottom"/>
            <w:hideMark/>
          </w:tcPr>
          <w:p w14:paraId="028D8352"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BNP Paribas Funds Emerging Markets Climate Solutions</w:t>
            </w:r>
          </w:p>
        </w:tc>
        <w:tc>
          <w:tcPr>
            <w:tcW w:w="1560" w:type="dxa"/>
            <w:noWrap/>
            <w:vAlign w:val="bottom"/>
            <w:hideMark/>
          </w:tcPr>
          <w:p w14:paraId="09F39551"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LU2443798264</w:t>
            </w:r>
          </w:p>
        </w:tc>
      </w:tr>
      <w:tr w:rsidR="00B44552" w:rsidRPr="00697F3B" w14:paraId="58CA98B3" w14:textId="77777777" w:rsidTr="00B44552">
        <w:trPr>
          <w:trHeight w:val="320"/>
        </w:trPr>
        <w:tc>
          <w:tcPr>
            <w:tcW w:w="5437" w:type="dxa"/>
            <w:noWrap/>
            <w:vAlign w:val="bottom"/>
            <w:hideMark/>
          </w:tcPr>
          <w:p w14:paraId="75200BB9"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BNP Paribas Funds Euro Corporate Green Bond</w:t>
            </w:r>
          </w:p>
        </w:tc>
        <w:tc>
          <w:tcPr>
            <w:tcW w:w="1560" w:type="dxa"/>
            <w:noWrap/>
            <w:vAlign w:val="bottom"/>
            <w:hideMark/>
          </w:tcPr>
          <w:p w14:paraId="696EC00D"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LU2477745215</w:t>
            </w:r>
          </w:p>
        </w:tc>
      </w:tr>
      <w:tr w:rsidR="00B44552" w:rsidRPr="00697F3B" w14:paraId="00ED3B57" w14:textId="77777777" w:rsidTr="00B44552">
        <w:trPr>
          <w:trHeight w:val="320"/>
        </w:trPr>
        <w:tc>
          <w:tcPr>
            <w:tcW w:w="5437" w:type="dxa"/>
            <w:noWrap/>
            <w:vAlign w:val="bottom"/>
            <w:hideMark/>
          </w:tcPr>
          <w:p w14:paraId="6F50ED08"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 xml:space="preserve">BNP PARIBAS Funds Global </w:t>
            </w:r>
            <w:proofErr w:type="spellStart"/>
            <w:r w:rsidRPr="00697F3B">
              <w:rPr>
                <w:rFonts w:ascii="Helvetica" w:hAnsi="Helvetica"/>
                <w:color w:val="000000"/>
                <w:sz w:val="16"/>
                <w:szCs w:val="16"/>
              </w:rPr>
              <w:t>Climate</w:t>
            </w:r>
            <w:proofErr w:type="spellEnd"/>
            <w:r w:rsidRPr="00697F3B">
              <w:rPr>
                <w:rFonts w:ascii="Helvetica" w:hAnsi="Helvetica"/>
                <w:color w:val="000000"/>
                <w:sz w:val="16"/>
                <w:szCs w:val="16"/>
              </w:rPr>
              <w:t xml:space="preserve"> Solutions</w:t>
            </w:r>
          </w:p>
        </w:tc>
        <w:tc>
          <w:tcPr>
            <w:tcW w:w="1560" w:type="dxa"/>
            <w:noWrap/>
            <w:vAlign w:val="bottom"/>
            <w:hideMark/>
          </w:tcPr>
          <w:p w14:paraId="0EA23C3A"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LU2477743608</w:t>
            </w:r>
          </w:p>
        </w:tc>
      </w:tr>
      <w:tr w:rsidR="00B44552" w:rsidRPr="00697F3B" w14:paraId="170DB70A" w14:textId="77777777" w:rsidTr="00B44552">
        <w:trPr>
          <w:trHeight w:val="320"/>
        </w:trPr>
        <w:tc>
          <w:tcPr>
            <w:tcW w:w="5437" w:type="dxa"/>
            <w:noWrap/>
            <w:vAlign w:val="bottom"/>
            <w:hideMark/>
          </w:tcPr>
          <w:p w14:paraId="280A29E9"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BNP Paribas Funds Social Bond</w:t>
            </w:r>
          </w:p>
        </w:tc>
        <w:tc>
          <w:tcPr>
            <w:tcW w:w="1560" w:type="dxa"/>
            <w:noWrap/>
            <w:vAlign w:val="bottom"/>
            <w:hideMark/>
          </w:tcPr>
          <w:p w14:paraId="28F6970E"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LU2355551313</w:t>
            </w:r>
          </w:p>
        </w:tc>
      </w:tr>
      <w:tr w:rsidR="00B44552" w:rsidRPr="00697F3B" w14:paraId="3918B349" w14:textId="77777777" w:rsidTr="00B44552">
        <w:trPr>
          <w:trHeight w:val="320"/>
        </w:trPr>
        <w:tc>
          <w:tcPr>
            <w:tcW w:w="5437" w:type="dxa"/>
            <w:noWrap/>
            <w:vAlign w:val="bottom"/>
            <w:hideMark/>
          </w:tcPr>
          <w:p w14:paraId="0433A648"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BNP Paribas Funds Sustainable Asian Cities Bond</w:t>
            </w:r>
          </w:p>
        </w:tc>
        <w:tc>
          <w:tcPr>
            <w:tcW w:w="1560" w:type="dxa"/>
            <w:noWrap/>
            <w:vAlign w:val="bottom"/>
            <w:hideMark/>
          </w:tcPr>
          <w:p w14:paraId="4C7ED75C"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LU0823379622</w:t>
            </w:r>
          </w:p>
        </w:tc>
      </w:tr>
      <w:tr w:rsidR="00B44552" w:rsidRPr="00697F3B" w14:paraId="517D9A26" w14:textId="77777777" w:rsidTr="00B44552">
        <w:trPr>
          <w:trHeight w:val="320"/>
        </w:trPr>
        <w:tc>
          <w:tcPr>
            <w:tcW w:w="5437" w:type="dxa"/>
            <w:noWrap/>
            <w:vAlign w:val="bottom"/>
            <w:hideMark/>
          </w:tcPr>
          <w:p w14:paraId="03A2C500"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BNP Paribas Funds Ecosystem Restoration (Classic)</w:t>
            </w:r>
          </w:p>
        </w:tc>
        <w:tc>
          <w:tcPr>
            <w:tcW w:w="1560" w:type="dxa"/>
            <w:noWrap/>
            <w:vAlign w:val="bottom"/>
            <w:hideMark/>
          </w:tcPr>
          <w:p w14:paraId="166C3D6F"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LU2308191738</w:t>
            </w:r>
          </w:p>
        </w:tc>
      </w:tr>
      <w:tr w:rsidR="00B44552" w:rsidRPr="00697F3B" w14:paraId="4B76379D" w14:textId="77777777" w:rsidTr="00B44552">
        <w:trPr>
          <w:trHeight w:val="320"/>
        </w:trPr>
        <w:tc>
          <w:tcPr>
            <w:tcW w:w="5437" w:type="dxa"/>
            <w:noWrap/>
            <w:vAlign w:val="bottom"/>
            <w:hideMark/>
          </w:tcPr>
          <w:p w14:paraId="5A8F80F0"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Sustainable Equity Circular Economy</w:t>
            </w:r>
          </w:p>
        </w:tc>
        <w:tc>
          <w:tcPr>
            <w:tcW w:w="1560" w:type="dxa"/>
            <w:noWrap/>
            <w:vAlign w:val="bottom"/>
            <w:hideMark/>
          </w:tcPr>
          <w:p w14:paraId="4E526EEC"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LU2109440870</w:t>
            </w:r>
          </w:p>
        </w:tc>
      </w:tr>
      <w:tr w:rsidR="00B44552" w:rsidRPr="00697F3B" w14:paraId="5131F2A4" w14:textId="77777777" w:rsidTr="00B44552">
        <w:trPr>
          <w:trHeight w:val="320"/>
        </w:trPr>
        <w:tc>
          <w:tcPr>
            <w:tcW w:w="5437" w:type="dxa"/>
            <w:noWrap/>
            <w:vAlign w:val="bottom"/>
            <w:hideMark/>
          </w:tcPr>
          <w:p w14:paraId="114060BF" w14:textId="77777777" w:rsidR="00B44552" w:rsidRPr="00697F3B" w:rsidRDefault="00B44552">
            <w:pPr>
              <w:rPr>
                <w:rFonts w:ascii="Helvetica" w:hAnsi="Helvetica"/>
                <w:color w:val="000000"/>
                <w:sz w:val="16"/>
                <w:szCs w:val="16"/>
              </w:rPr>
            </w:pPr>
            <w:proofErr w:type="spellStart"/>
            <w:r w:rsidRPr="00697F3B">
              <w:rPr>
                <w:rFonts w:ascii="Helvetica" w:hAnsi="Helvetica"/>
                <w:color w:val="000000"/>
                <w:sz w:val="16"/>
                <w:szCs w:val="16"/>
              </w:rPr>
              <w:t>Candriam</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Bond Euro</w:t>
            </w:r>
          </w:p>
        </w:tc>
        <w:tc>
          <w:tcPr>
            <w:tcW w:w="1560" w:type="dxa"/>
            <w:noWrap/>
            <w:vAlign w:val="bottom"/>
            <w:hideMark/>
          </w:tcPr>
          <w:p w14:paraId="6DCC49A3"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LU1434521230</w:t>
            </w:r>
          </w:p>
        </w:tc>
      </w:tr>
      <w:tr w:rsidR="00B44552" w:rsidRPr="00697F3B" w14:paraId="4DA0804C" w14:textId="77777777" w:rsidTr="00B44552">
        <w:trPr>
          <w:trHeight w:val="320"/>
        </w:trPr>
        <w:tc>
          <w:tcPr>
            <w:tcW w:w="5437" w:type="dxa"/>
            <w:noWrap/>
            <w:vAlign w:val="bottom"/>
            <w:hideMark/>
          </w:tcPr>
          <w:p w14:paraId="04366429" w14:textId="77777777" w:rsidR="00B44552" w:rsidRPr="00697F3B" w:rsidRDefault="00B44552">
            <w:pPr>
              <w:rPr>
                <w:rFonts w:ascii="Helvetica" w:hAnsi="Helvetica"/>
                <w:color w:val="000000"/>
                <w:sz w:val="16"/>
                <w:szCs w:val="16"/>
              </w:rPr>
            </w:pPr>
            <w:proofErr w:type="spellStart"/>
            <w:r w:rsidRPr="00697F3B">
              <w:rPr>
                <w:rFonts w:ascii="Helvetica" w:hAnsi="Helvetica"/>
                <w:color w:val="000000"/>
                <w:sz w:val="16"/>
                <w:szCs w:val="16"/>
              </w:rPr>
              <w:t>Candriam</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Bond Global</w:t>
            </w:r>
          </w:p>
        </w:tc>
        <w:tc>
          <w:tcPr>
            <w:tcW w:w="1560" w:type="dxa"/>
            <w:noWrap/>
            <w:vAlign w:val="bottom"/>
            <w:hideMark/>
          </w:tcPr>
          <w:p w14:paraId="35AD1F8F"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LU1434523798</w:t>
            </w:r>
          </w:p>
        </w:tc>
      </w:tr>
      <w:tr w:rsidR="00B44552" w:rsidRPr="00697F3B" w14:paraId="557FE528" w14:textId="77777777" w:rsidTr="00B44552">
        <w:trPr>
          <w:trHeight w:val="320"/>
        </w:trPr>
        <w:tc>
          <w:tcPr>
            <w:tcW w:w="5437" w:type="dxa"/>
            <w:noWrap/>
            <w:vAlign w:val="bottom"/>
            <w:hideMark/>
          </w:tcPr>
          <w:p w14:paraId="2166CB2A" w14:textId="77777777" w:rsidR="00B44552" w:rsidRPr="00697F3B" w:rsidRDefault="00B44552">
            <w:pPr>
              <w:rPr>
                <w:rFonts w:ascii="Helvetica" w:hAnsi="Helvetica"/>
                <w:color w:val="000000"/>
                <w:sz w:val="16"/>
                <w:szCs w:val="16"/>
              </w:rPr>
            </w:pPr>
            <w:proofErr w:type="spellStart"/>
            <w:r w:rsidRPr="00697F3B">
              <w:rPr>
                <w:rFonts w:ascii="Helvetica" w:hAnsi="Helvetica"/>
                <w:color w:val="000000"/>
                <w:sz w:val="16"/>
                <w:szCs w:val="16"/>
              </w:rPr>
              <w:t>Candriam</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Equity</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Emu</w:t>
            </w:r>
            <w:proofErr w:type="spellEnd"/>
          </w:p>
        </w:tc>
        <w:tc>
          <w:tcPr>
            <w:tcW w:w="1560" w:type="dxa"/>
            <w:noWrap/>
            <w:vAlign w:val="bottom"/>
            <w:hideMark/>
          </w:tcPr>
          <w:p w14:paraId="7F8CBEC7"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LU1313771773</w:t>
            </w:r>
          </w:p>
        </w:tc>
      </w:tr>
      <w:tr w:rsidR="00B44552" w:rsidRPr="00697F3B" w14:paraId="74DDA058" w14:textId="77777777" w:rsidTr="00B44552">
        <w:trPr>
          <w:trHeight w:val="320"/>
        </w:trPr>
        <w:tc>
          <w:tcPr>
            <w:tcW w:w="5437" w:type="dxa"/>
            <w:noWrap/>
            <w:vAlign w:val="bottom"/>
            <w:hideMark/>
          </w:tcPr>
          <w:p w14:paraId="26871BF4" w14:textId="77777777" w:rsidR="00B44552" w:rsidRPr="00697F3B" w:rsidRDefault="00B44552">
            <w:pPr>
              <w:rPr>
                <w:rFonts w:ascii="Helvetica" w:hAnsi="Helvetica"/>
                <w:color w:val="000000"/>
                <w:sz w:val="16"/>
                <w:szCs w:val="16"/>
              </w:rPr>
            </w:pPr>
            <w:proofErr w:type="spellStart"/>
            <w:r w:rsidRPr="00697F3B">
              <w:rPr>
                <w:rFonts w:ascii="Helvetica" w:hAnsi="Helvetica"/>
                <w:color w:val="000000"/>
                <w:sz w:val="16"/>
                <w:szCs w:val="16"/>
              </w:rPr>
              <w:t>Candriam</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Equity</w:t>
            </w:r>
            <w:proofErr w:type="spellEnd"/>
            <w:r w:rsidRPr="00697F3B">
              <w:rPr>
                <w:rFonts w:ascii="Helvetica" w:hAnsi="Helvetica"/>
                <w:color w:val="000000"/>
                <w:sz w:val="16"/>
                <w:szCs w:val="16"/>
              </w:rPr>
              <w:t xml:space="preserve"> Europe</w:t>
            </w:r>
          </w:p>
        </w:tc>
        <w:tc>
          <w:tcPr>
            <w:tcW w:w="1560" w:type="dxa"/>
            <w:noWrap/>
            <w:vAlign w:val="bottom"/>
            <w:hideMark/>
          </w:tcPr>
          <w:p w14:paraId="2848331D"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LU1313772318</w:t>
            </w:r>
          </w:p>
        </w:tc>
      </w:tr>
      <w:tr w:rsidR="00B44552" w:rsidRPr="00697F3B" w14:paraId="53E436D3" w14:textId="77777777" w:rsidTr="00B44552">
        <w:trPr>
          <w:trHeight w:val="320"/>
        </w:trPr>
        <w:tc>
          <w:tcPr>
            <w:tcW w:w="5437" w:type="dxa"/>
            <w:noWrap/>
            <w:vAlign w:val="bottom"/>
            <w:hideMark/>
          </w:tcPr>
          <w:p w14:paraId="755D54BD"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Sustainable Defensive Asset Allocation</w:t>
            </w:r>
          </w:p>
        </w:tc>
        <w:tc>
          <w:tcPr>
            <w:tcW w:w="1560" w:type="dxa"/>
            <w:noWrap/>
            <w:vAlign w:val="bottom"/>
            <w:hideMark/>
          </w:tcPr>
          <w:p w14:paraId="1888D1C5"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LU1644442367</w:t>
            </w:r>
          </w:p>
        </w:tc>
      </w:tr>
      <w:tr w:rsidR="00B44552" w:rsidRPr="00697F3B" w14:paraId="7931BF4E" w14:textId="77777777" w:rsidTr="00B44552">
        <w:trPr>
          <w:trHeight w:val="320"/>
        </w:trPr>
        <w:tc>
          <w:tcPr>
            <w:tcW w:w="5437" w:type="dxa"/>
            <w:noWrap/>
            <w:vAlign w:val="bottom"/>
            <w:hideMark/>
          </w:tcPr>
          <w:p w14:paraId="751828B2"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Sustainable Equity Emerging Markets</w:t>
            </w:r>
          </w:p>
        </w:tc>
        <w:tc>
          <w:tcPr>
            <w:tcW w:w="1560" w:type="dxa"/>
            <w:noWrap/>
            <w:vAlign w:val="bottom"/>
            <w:hideMark/>
          </w:tcPr>
          <w:p w14:paraId="3ADE3205"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LU1434525066</w:t>
            </w:r>
          </w:p>
        </w:tc>
      </w:tr>
      <w:tr w:rsidR="00B44552" w:rsidRPr="00697F3B" w14:paraId="792F221E" w14:textId="77777777" w:rsidTr="00B44552">
        <w:trPr>
          <w:trHeight w:val="320"/>
        </w:trPr>
        <w:tc>
          <w:tcPr>
            <w:tcW w:w="5437" w:type="dxa"/>
            <w:noWrap/>
            <w:vAlign w:val="bottom"/>
            <w:hideMark/>
          </w:tcPr>
          <w:p w14:paraId="04851D35" w14:textId="77777777" w:rsidR="00B44552" w:rsidRPr="00697F3B" w:rsidRDefault="00B44552">
            <w:pPr>
              <w:rPr>
                <w:rFonts w:ascii="Helvetica" w:hAnsi="Helvetica"/>
                <w:color w:val="000000"/>
                <w:sz w:val="16"/>
                <w:szCs w:val="16"/>
              </w:rPr>
            </w:pPr>
            <w:proofErr w:type="spellStart"/>
            <w:r w:rsidRPr="00697F3B">
              <w:rPr>
                <w:rFonts w:ascii="Helvetica" w:hAnsi="Helvetica"/>
                <w:color w:val="000000"/>
                <w:sz w:val="16"/>
                <w:szCs w:val="16"/>
              </w:rPr>
              <w:t>Candriam</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Equity</w:t>
            </w:r>
            <w:proofErr w:type="spellEnd"/>
            <w:r w:rsidRPr="00697F3B">
              <w:rPr>
                <w:rFonts w:ascii="Helvetica" w:hAnsi="Helvetica"/>
                <w:color w:val="000000"/>
                <w:sz w:val="16"/>
                <w:szCs w:val="16"/>
              </w:rPr>
              <w:t xml:space="preserve"> World</w:t>
            </w:r>
          </w:p>
        </w:tc>
        <w:tc>
          <w:tcPr>
            <w:tcW w:w="1560" w:type="dxa"/>
            <w:noWrap/>
            <w:vAlign w:val="bottom"/>
            <w:hideMark/>
          </w:tcPr>
          <w:p w14:paraId="01BE3620"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LU1434528839</w:t>
            </w:r>
          </w:p>
        </w:tc>
      </w:tr>
      <w:tr w:rsidR="00B44552" w:rsidRPr="00697F3B" w14:paraId="17AE92FE" w14:textId="77777777" w:rsidTr="00B44552">
        <w:trPr>
          <w:trHeight w:val="320"/>
        </w:trPr>
        <w:tc>
          <w:tcPr>
            <w:tcW w:w="5437" w:type="dxa"/>
            <w:noWrap/>
            <w:vAlign w:val="bottom"/>
            <w:hideMark/>
          </w:tcPr>
          <w:p w14:paraId="203CD775"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Sustainable Bond Global High Yield</w:t>
            </w:r>
          </w:p>
        </w:tc>
        <w:tc>
          <w:tcPr>
            <w:tcW w:w="1560" w:type="dxa"/>
            <w:noWrap/>
            <w:vAlign w:val="bottom"/>
            <w:hideMark/>
          </w:tcPr>
          <w:p w14:paraId="592265F7"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LU1644441989</w:t>
            </w:r>
          </w:p>
        </w:tc>
      </w:tr>
      <w:tr w:rsidR="00B44552" w:rsidRPr="00697F3B" w14:paraId="48E4906A" w14:textId="77777777" w:rsidTr="00B44552">
        <w:trPr>
          <w:trHeight w:val="320"/>
        </w:trPr>
        <w:tc>
          <w:tcPr>
            <w:tcW w:w="5437" w:type="dxa"/>
            <w:noWrap/>
            <w:vAlign w:val="bottom"/>
            <w:hideMark/>
          </w:tcPr>
          <w:p w14:paraId="1F49E115"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Sustainable Money Market Euro</w:t>
            </w:r>
          </w:p>
        </w:tc>
        <w:tc>
          <w:tcPr>
            <w:tcW w:w="1560" w:type="dxa"/>
            <w:noWrap/>
            <w:vAlign w:val="bottom"/>
            <w:hideMark/>
          </w:tcPr>
          <w:p w14:paraId="704CAF0E"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LU1434529993</w:t>
            </w:r>
          </w:p>
        </w:tc>
      </w:tr>
      <w:tr w:rsidR="00B44552" w:rsidRPr="00697F3B" w14:paraId="059E4783" w14:textId="77777777" w:rsidTr="00B44552">
        <w:trPr>
          <w:trHeight w:val="320"/>
        </w:trPr>
        <w:tc>
          <w:tcPr>
            <w:tcW w:w="5437" w:type="dxa"/>
            <w:noWrap/>
            <w:vAlign w:val="bottom"/>
            <w:hideMark/>
          </w:tcPr>
          <w:p w14:paraId="038514BE"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lastRenderedPageBreak/>
              <w:t>Candriam</w:t>
            </w:r>
            <w:proofErr w:type="spellEnd"/>
            <w:r w:rsidRPr="00697F3B">
              <w:rPr>
                <w:rFonts w:ascii="Helvetica" w:hAnsi="Helvetica"/>
                <w:color w:val="000000"/>
                <w:sz w:val="16"/>
                <w:szCs w:val="16"/>
                <w:lang w:val="en-US"/>
              </w:rPr>
              <w:t xml:space="preserve"> Sustainable Equity Future Mobility</w:t>
            </w:r>
          </w:p>
        </w:tc>
        <w:tc>
          <w:tcPr>
            <w:tcW w:w="1560" w:type="dxa"/>
            <w:noWrap/>
            <w:vAlign w:val="bottom"/>
            <w:hideMark/>
          </w:tcPr>
          <w:p w14:paraId="23797585"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LU2258562813</w:t>
            </w:r>
          </w:p>
        </w:tc>
      </w:tr>
      <w:tr w:rsidR="00B44552" w:rsidRPr="00697F3B" w14:paraId="7ED504EB" w14:textId="77777777" w:rsidTr="00B44552">
        <w:trPr>
          <w:trHeight w:val="320"/>
        </w:trPr>
        <w:tc>
          <w:tcPr>
            <w:tcW w:w="5437" w:type="dxa"/>
            <w:noWrap/>
            <w:vAlign w:val="bottom"/>
            <w:hideMark/>
          </w:tcPr>
          <w:p w14:paraId="242A180D"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Sustainable Bond Emerging Markets</w:t>
            </w:r>
          </w:p>
        </w:tc>
        <w:tc>
          <w:tcPr>
            <w:tcW w:w="1560" w:type="dxa"/>
            <w:noWrap/>
            <w:vAlign w:val="bottom"/>
            <w:hideMark/>
          </w:tcPr>
          <w:p w14:paraId="7DE96BAF"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LU1434519846</w:t>
            </w:r>
          </w:p>
        </w:tc>
      </w:tr>
      <w:tr w:rsidR="00B44552" w:rsidRPr="00697F3B" w14:paraId="21BB09A0" w14:textId="77777777" w:rsidTr="00B44552">
        <w:trPr>
          <w:trHeight w:val="320"/>
        </w:trPr>
        <w:tc>
          <w:tcPr>
            <w:tcW w:w="5437" w:type="dxa"/>
            <w:noWrap/>
            <w:vAlign w:val="bottom"/>
            <w:hideMark/>
          </w:tcPr>
          <w:p w14:paraId="4D2A9E3C"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Sustainable Bond Euro Corporate</w:t>
            </w:r>
          </w:p>
        </w:tc>
        <w:tc>
          <w:tcPr>
            <w:tcW w:w="1560" w:type="dxa"/>
            <w:noWrap/>
            <w:vAlign w:val="bottom"/>
            <w:hideMark/>
          </w:tcPr>
          <w:p w14:paraId="77054F2B"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LU1313771005</w:t>
            </w:r>
          </w:p>
        </w:tc>
      </w:tr>
      <w:tr w:rsidR="00B44552" w:rsidRPr="00697F3B" w14:paraId="444D121E" w14:textId="77777777" w:rsidTr="00B44552">
        <w:trPr>
          <w:trHeight w:val="320"/>
        </w:trPr>
        <w:tc>
          <w:tcPr>
            <w:tcW w:w="5437" w:type="dxa"/>
            <w:noWrap/>
            <w:vAlign w:val="bottom"/>
            <w:hideMark/>
          </w:tcPr>
          <w:p w14:paraId="1F6D1346"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Sustainable Equity US I USD Acc</w:t>
            </w:r>
          </w:p>
        </w:tc>
        <w:tc>
          <w:tcPr>
            <w:tcW w:w="1560" w:type="dxa"/>
            <w:noWrap/>
            <w:vAlign w:val="bottom"/>
            <w:hideMark/>
          </w:tcPr>
          <w:p w14:paraId="3689173B"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LU2227857401</w:t>
            </w:r>
          </w:p>
        </w:tc>
      </w:tr>
      <w:tr w:rsidR="00B44552" w:rsidRPr="00697F3B" w14:paraId="443798C8" w14:textId="77777777" w:rsidTr="00B44552">
        <w:trPr>
          <w:trHeight w:val="320"/>
        </w:trPr>
        <w:tc>
          <w:tcPr>
            <w:tcW w:w="5437" w:type="dxa"/>
            <w:noWrap/>
            <w:vAlign w:val="bottom"/>
            <w:hideMark/>
          </w:tcPr>
          <w:p w14:paraId="5BBCE103"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Equities L Oncology Impact</w:t>
            </w:r>
          </w:p>
        </w:tc>
        <w:tc>
          <w:tcPr>
            <w:tcW w:w="1560" w:type="dxa"/>
            <w:noWrap/>
            <w:vAlign w:val="bottom"/>
            <w:hideMark/>
          </w:tcPr>
          <w:p w14:paraId="7811214E"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LU1864481467</w:t>
            </w:r>
          </w:p>
        </w:tc>
      </w:tr>
      <w:tr w:rsidR="00B44552" w:rsidRPr="00697F3B" w14:paraId="1A02A722" w14:textId="77777777" w:rsidTr="00B44552">
        <w:trPr>
          <w:trHeight w:val="320"/>
        </w:trPr>
        <w:tc>
          <w:tcPr>
            <w:tcW w:w="5437" w:type="dxa"/>
            <w:noWrap/>
            <w:vAlign w:val="bottom"/>
            <w:hideMark/>
          </w:tcPr>
          <w:p w14:paraId="23ED1CA1"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Sustainable Equity Europe Small &amp; </w:t>
            </w:r>
            <w:proofErr w:type="spellStart"/>
            <w:r w:rsidRPr="00697F3B">
              <w:rPr>
                <w:rFonts w:ascii="Helvetica" w:hAnsi="Helvetica"/>
                <w:color w:val="000000"/>
                <w:sz w:val="16"/>
                <w:szCs w:val="16"/>
                <w:lang w:val="en-US"/>
              </w:rPr>
              <w:t>Mid Caps</w:t>
            </w:r>
            <w:proofErr w:type="spellEnd"/>
          </w:p>
        </w:tc>
        <w:tc>
          <w:tcPr>
            <w:tcW w:w="1560" w:type="dxa"/>
            <w:noWrap/>
            <w:vAlign w:val="bottom"/>
            <w:hideMark/>
          </w:tcPr>
          <w:p w14:paraId="5A701C83"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LU2258565758</w:t>
            </w:r>
          </w:p>
        </w:tc>
      </w:tr>
      <w:tr w:rsidR="00B44552" w:rsidRPr="00697F3B" w14:paraId="05813004" w14:textId="77777777" w:rsidTr="00B44552">
        <w:trPr>
          <w:trHeight w:val="320"/>
        </w:trPr>
        <w:tc>
          <w:tcPr>
            <w:tcW w:w="5437" w:type="dxa"/>
            <w:noWrap/>
            <w:vAlign w:val="bottom"/>
            <w:hideMark/>
          </w:tcPr>
          <w:p w14:paraId="72D27926" w14:textId="77777777" w:rsidR="00B44552" w:rsidRPr="00697F3B" w:rsidRDefault="00B44552">
            <w:pPr>
              <w:rPr>
                <w:rFonts w:ascii="Helvetica" w:hAnsi="Helvetica"/>
                <w:color w:val="000000"/>
                <w:sz w:val="16"/>
                <w:szCs w:val="16"/>
                <w:lang w:val="en-US"/>
              </w:rPr>
            </w:pPr>
            <w:proofErr w:type="spellStart"/>
            <w:r w:rsidRPr="00697F3B">
              <w:rPr>
                <w:rFonts w:ascii="Helvetica" w:hAnsi="Helvetica"/>
                <w:color w:val="000000"/>
                <w:sz w:val="16"/>
                <w:szCs w:val="16"/>
                <w:lang w:val="en-US"/>
              </w:rPr>
              <w:t>Candriam</w:t>
            </w:r>
            <w:proofErr w:type="spellEnd"/>
            <w:r w:rsidRPr="00697F3B">
              <w:rPr>
                <w:rFonts w:ascii="Helvetica" w:hAnsi="Helvetica"/>
                <w:color w:val="000000"/>
                <w:sz w:val="16"/>
                <w:szCs w:val="16"/>
                <w:lang w:val="en-US"/>
              </w:rPr>
              <w:t xml:space="preserve"> Sustainable Balanced Asset Allocation</w:t>
            </w:r>
          </w:p>
        </w:tc>
        <w:tc>
          <w:tcPr>
            <w:tcW w:w="1560" w:type="dxa"/>
            <w:noWrap/>
            <w:vAlign w:val="bottom"/>
            <w:hideMark/>
          </w:tcPr>
          <w:p w14:paraId="0F7E90AF"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LU2428018811</w:t>
            </w:r>
          </w:p>
        </w:tc>
      </w:tr>
      <w:tr w:rsidR="00B44552" w:rsidRPr="00697F3B" w14:paraId="193E1193" w14:textId="77777777" w:rsidTr="00B44552">
        <w:trPr>
          <w:trHeight w:val="320"/>
        </w:trPr>
        <w:tc>
          <w:tcPr>
            <w:tcW w:w="5437" w:type="dxa"/>
            <w:noWrap/>
            <w:vAlign w:val="bottom"/>
            <w:hideMark/>
          </w:tcPr>
          <w:p w14:paraId="481BC3E6" w14:textId="77777777" w:rsidR="00B44552" w:rsidRPr="00697F3B" w:rsidRDefault="00B44552">
            <w:pPr>
              <w:rPr>
                <w:rFonts w:ascii="Helvetica" w:hAnsi="Helvetica"/>
                <w:color w:val="000000"/>
                <w:sz w:val="16"/>
                <w:szCs w:val="16"/>
              </w:rPr>
            </w:pPr>
            <w:proofErr w:type="spellStart"/>
            <w:r w:rsidRPr="00697F3B">
              <w:rPr>
                <w:rFonts w:ascii="Helvetica" w:hAnsi="Helvetica"/>
                <w:color w:val="000000"/>
                <w:sz w:val="16"/>
                <w:szCs w:val="16"/>
              </w:rPr>
              <w:t>Candriam</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Bond Impact</w:t>
            </w:r>
          </w:p>
        </w:tc>
        <w:tc>
          <w:tcPr>
            <w:tcW w:w="1560" w:type="dxa"/>
            <w:noWrap/>
            <w:vAlign w:val="bottom"/>
            <w:hideMark/>
          </w:tcPr>
          <w:p w14:paraId="6C371C1A"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LU2369561050</w:t>
            </w:r>
          </w:p>
        </w:tc>
      </w:tr>
      <w:tr w:rsidR="00B44552" w:rsidRPr="00697F3B" w14:paraId="22B2F3A4" w14:textId="77777777" w:rsidTr="00B44552">
        <w:trPr>
          <w:trHeight w:val="320"/>
        </w:trPr>
        <w:tc>
          <w:tcPr>
            <w:tcW w:w="5437" w:type="dxa"/>
            <w:noWrap/>
            <w:vAlign w:val="bottom"/>
            <w:hideMark/>
          </w:tcPr>
          <w:p w14:paraId="7D34FF1A" w14:textId="77777777" w:rsidR="00B44552" w:rsidRPr="00697F3B" w:rsidRDefault="00B44552">
            <w:pPr>
              <w:rPr>
                <w:rFonts w:ascii="Helvetica" w:hAnsi="Helvetica"/>
                <w:color w:val="000000"/>
                <w:sz w:val="16"/>
                <w:szCs w:val="16"/>
              </w:rPr>
            </w:pPr>
            <w:proofErr w:type="spellStart"/>
            <w:r w:rsidRPr="00697F3B">
              <w:rPr>
                <w:rFonts w:ascii="Helvetica" w:hAnsi="Helvetica"/>
                <w:color w:val="000000"/>
                <w:sz w:val="16"/>
                <w:szCs w:val="16"/>
              </w:rPr>
              <w:t>Candriam</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Equity</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Children</w:t>
            </w:r>
            <w:proofErr w:type="spellEnd"/>
          </w:p>
        </w:tc>
        <w:tc>
          <w:tcPr>
            <w:tcW w:w="1560" w:type="dxa"/>
            <w:noWrap/>
            <w:vAlign w:val="bottom"/>
            <w:hideMark/>
          </w:tcPr>
          <w:p w14:paraId="752B8C51"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LU2371178240</w:t>
            </w:r>
          </w:p>
        </w:tc>
      </w:tr>
      <w:tr w:rsidR="00B44552" w:rsidRPr="00697F3B" w14:paraId="77A94B31" w14:textId="77777777" w:rsidTr="00B44552">
        <w:trPr>
          <w:trHeight w:val="320"/>
        </w:trPr>
        <w:tc>
          <w:tcPr>
            <w:tcW w:w="5437" w:type="dxa"/>
            <w:noWrap/>
            <w:vAlign w:val="bottom"/>
            <w:hideMark/>
          </w:tcPr>
          <w:p w14:paraId="4639A9ED" w14:textId="77777777" w:rsidR="00B44552" w:rsidRPr="00697F3B" w:rsidRDefault="00B44552">
            <w:pPr>
              <w:rPr>
                <w:rFonts w:ascii="Helvetica" w:hAnsi="Helvetica"/>
                <w:color w:val="000000"/>
                <w:sz w:val="16"/>
                <w:szCs w:val="16"/>
              </w:rPr>
            </w:pPr>
            <w:proofErr w:type="spellStart"/>
            <w:r w:rsidRPr="00697F3B">
              <w:rPr>
                <w:rFonts w:ascii="Helvetica" w:hAnsi="Helvetica"/>
                <w:color w:val="000000"/>
                <w:sz w:val="16"/>
                <w:szCs w:val="16"/>
              </w:rPr>
              <w:t>Candriam</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Equity</w:t>
            </w:r>
            <w:proofErr w:type="spellEnd"/>
            <w:r w:rsidRPr="00697F3B">
              <w:rPr>
                <w:rFonts w:ascii="Helvetica" w:hAnsi="Helvetica"/>
                <w:color w:val="000000"/>
                <w:sz w:val="16"/>
                <w:szCs w:val="16"/>
              </w:rPr>
              <w:t xml:space="preserve"> Japan</w:t>
            </w:r>
          </w:p>
        </w:tc>
        <w:tc>
          <w:tcPr>
            <w:tcW w:w="1560" w:type="dxa"/>
            <w:noWrap/>
            <w:vAlign w:val="bottom"/>
            <w:hideMark/>
          </w:tcPr>
          <w:p w14:paraId="2D38D0A6"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LU1434526544</w:t>
            </w:r>
          </w:p>
        </w:tc>
      </w:tr>
      <w:tr w:rsidR="00B44552" w:rsidRPr="00697F3B" w14:paraId="7513F929" w14:textId="77777777" w:rsidTr="00B44552">
        <w:trPr>
          <w:trHeight w:val="320"/>
        </w:trPr>
        <w:tc>
          <w:tcPr>
            <w:tcW w:w="5437" w:type="dxa"/>
            <w:noWrap/>
            <w:vAlign w:val="bottom"/>
            <w:hideMark/>
          </w:tcPr>
          <w:p w14:paraId="34B67D4E" w14:textId="77777777" w:rsidR="00B44552" w:rsidRPr="00697F3B" w:rsidRDefault="00B44552">
            <w:pPr>
              <w:rPr>
                <w:rFonts w:ascii="Helvetica" w:hAnsi="Helvetica"/>
                <w:color w:val="000000"/>
                <w:sz w:val="16"/>
                <w:szCs w:val="16"/>
              </w:rPr>
            </w:pPr>
            <w:proofErr w:type="spellStart"/>
            <w:r w:rsidRPr="00697F3B">
              <w:rPr>
                <w:rFonts w:ascii="Helvetica" w:hAnsi="Helvetica"/>
                <w:color w:val="000000"/>
                <w:sz w:val="16"/>
                <w:szCs w:val="16"/>
              </w:rPr>
              <w:t>Candriam</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Sustainable</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Equity</w:t>
            </w:r>
            <w:proofErr w:type="spellEnd"/>
            <w:r w:rsidRPr="00697F3B">
              <w:rPr>
                <w:rFonts w:ascii="Helvetica" w:hAnsi="Helvetica"/>
                <w:color w:val="000000"/>
                <w:sz w:val="16"/>
                <w:szCs w:val="16"/>
              </w:rPr>
              <w:t xml:space="preserve"> </w:t>
            </w:r>
            <w:proofErr w:type="spellStart"/>
            <w:r w:rsidRPr="00697F3B">
              <w:rPr>
                <w:rFonts w:ascii="Helvetica" w:hAnsi="Helvetica"/>
                <w:color w:val="000000"/>
                <w:sz w:val="16"/>
                <w:szCs w:val="16"/>
              </w:rPr>
              <w:t>Quant</w:t>
            </w:r>
            <w:proofErr w:type="spellEnd"/>
            <w:r w:rsidRPr="00697F3B">
              <w:rPr>
                <w:rFonts w:ascii="Helvetica" w:hAnsi="Helvetica"/>
                <w:color w:val="000000"/>
                <w:sz w:val="16"/>
                <w:szCs w:val="16"/>
              </w:rPr>
              <w:t xml:space="preserve"> Europe</w:t>
            </w:r>
          </w:p>
        </w:tc>
        <w:tc>
          <w:tcPr>
            <w:tcW w:w="1560" w:type="dxa"/>
            <w:noWrap/>
            <w:vAlign w:val="bottom"/>
            <w:hideMark/>
          </w:tcPr>
          <w:p w14:paraId="57F1DF65"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LU2378104066</w:t>
            </w:r>
          </w:p>
        </w:tc>
      </w:tr>
      <w:tr w:rsidR="00B44552" w:rsidRPr="00697F3B" w14:paraId="45932501" w14:textId="77777777" w:rsidTr="00B44552">
        <w:trPr>
          <w:trHeight w:val="320"/>
        </w:trPr>
        <w:tc>
          <w:tcPr>
            <w:tcW w:w="5437" w:type="dxa"/>
            <w:noWrap/>
            <w:vAlign w:val="bottom"/>
            <w:hideMark/>
          </w:tcPr>
          <w:p w14:paraId="627589E4"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 xml:space="preserve">KBC Eco </w:t>
            </w:r>
            <w:proofErr w:type="spellStart"/>
            <w:r w:rsidRPr="00697F3B">
              <w:rPr>
                <w:rFonts w:ascii="Helvetica" w:hAnsi="Helvetica"/>
                <w:color w:val="000000"/>
                <w:sz w:val="16"/>
                <w:szCs w:val="16"/>
              </w:rPr>
              <w:t>Fund</w:t>
            </w:r>
            <w:proofErr w:type="spellEnd"/>
            <w:r w:rsidRPr="00697F3B">
              <w:rPr>
                <w:rFonts w:ascii="Helvetica" w:hAnsi="Helvetica"/>
                <w:color w:val="000000"/>
                <w:sz w:val="16"/>
                <w:szCs w:val="16"/>
              </w:rPr>
              <w:t xml:space="preserve"> Water</w:t>
            </w:r>
          </w:p>
        </w:tc>
        <w:tc>
          <w:tcPr>
            <w:tcW w:w="1560" w:type="dxa"/>
            <w:noWrap/>
            <w:vAlign w:val="bottom"/>
            <w:hideMark/>
          </w:tcPr>
          <w:p w14:paraId="5237E684"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BE0175479063</w:t>
            </w:r>
          </w:p>
        </w:tc>
      </w:tr>
      <w:tr w:rsidR="00B44552" w:rsidRPr="00697F3B" w14:paraId="6AD28CD3" w14:textId="77777777" w:rsidTr="00B44552">
        <w:trPr>
          <w:trHeight w:val="320"/>
        </w:trPr>
        <w:tc>
          <w:tcPr>
            <w:tcW w:w="5437" w:type="dxa"/>
            <w:noWrap/>
            <w:vAlign w:val="bottom"/>
            <w:hideMark/>
          </w:tcPr>
          <w:p w14:paraId="521FDB4B"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Euro Sustainable Credit (excluding Financials)</w:t>
            </w:r>
          </w:p>
        </w:tc>
        <w:tc>
          <w:tcPr>
            <w:tcW w:w="1560" w:type="dxa"/>
            <w:noWrap/>
            <w:vAlign w:val="bottom"/>
            <w:hideMark/>
          </w:tcPr>
          <w:p w14:paraId="2B2CA56A"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LU0577843187</w:t>
            </w:r>
          </w:p>
        </w:tc>
      </w:tr>
      <w:tr w:rsidR="00B44552" w:rsidRPr="00697F3B" w14:paraId="78B32E56" w14:textId="77777777" w:rsidTr="00B44552">
        <w:trPr>
          <w:trHeight w:val="320"/>
        </w:trPr>
        <w:tc>
          <w:tcPr>
            <w:tcW w:w="5437" w:type="dxa"/>
            <w:noWrap/>
            <w:vAlign w:val="bottom"/>
            <w:hideMark/>
          </w:tcPr>
          <w:p w14:paraId="2A717922"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European Sustainable Equity</w:t>
            </w:r>
          </w:p>
        </w:tc>
        <w:tc>
          <w:tcPr>
            <w:tcW w:w="1560" w:type="dxa"/>
            <w:noWrap/>
            <w:vAlign w:val="bottom"/>
            <w:hideMark/>
          </w:tcPr>
          <w:p w14:paraId="5E40D834"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LU0991964320</w:t>
            </w:r>
          </w:p>
        </w:tc>
      </w:tr>
      <w:tr w:rsidR="00B44552" w:rsidRPr="00697F3B" w14:paraId="195062C7" w14:textId="77777777" w:rsidTr="00B44552">
        <w:trPr>
          <w:trHeight w:val="320"/>
        </w:trPr>
        <w:tc>
          <w:tcPr>
            <w:tcW w:w="5437" w:type="dxa"/>
            <w:noWrap/>
            <w:vAlign w:val="bottom"/>
            <w:hideMark/>
          </w:tcPr>
          <w:p w14:paraId="0D058538"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Global Sustainable Equity</w:t>
            </w:r>
          </w:p>
        </w:tc>
        <w:tc>
          <w:tcPr>
            <w:tcW w:w="1560" w:type="dxa"/>
            <w:noWrap/>
            <w:vAlign w:val="bottom"/>
            <w:hideMark/>
          </w:tcPr>
          <w:p w14:paraId="27D45F15"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LU0119216553</w:t>
            </w:r>
          </w:p>
        </w:tc>
      </w:tr>
      <w:tr w:rsidR="00B44552" w:rsidRPr="00697F3B" w14:paraId="707D022C" w14:textId="77777777" w:rsidTr="00B44552">
        <w:trPr>
          <w:trHeight w:val="320"/>
        </w:trPr>
        <w:tc>
          <w:tcPr>
            <w:tcW w:w="5437" w:type="dxa"/>
            <w:noWrap/>
            <w:vAlign w:val="bottom"/>
            <w:hideMark/>
          </w:tcPr>
          <w:p w14:paraId="3BEA1DF9"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Patrimonial - Balanced European Sustainable</w:t>
            </w:r>
          </w:p>
        </w:tc>
        <w:tc>
          <w:tcPr>
            <w:tcW w:w="1560" w:type="dxa"/>
            <w:noWrap/>
            <w:vAlign w:val="bottom"/>
            <w:hideMark/>
          </w:tcPr>
          <w:p w14:paraId="1F8C9D58"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LU0119197159</w:t>
            </w:r>
          </w:p>
        </w:tc>
      </w:tr>
      <w:tr w:rsidR="00B44552" w:rsidRPr="00697F3B" w14:paraId="17BFC4A2" w14:textId="77777777" w:rsidTr="00B44552">
        <w:trPr>
          <w:trHeight w:val="320"/>
        </w:trPr>
        <w:tc>
          <w:tcPr>
            <w:tcW w:w="5437" w:type="dxa"/>
            <w:noWrap/>
            <w:vAlign w:val="bottom"/>
            <w:hideMark/>
          </w:tcPr>
          <w:p w14:paraId="06C93D96"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Global Equity Impact Opportunities</w:t>
            </w:r>
          </w:p>
        </w:tc>
        <w:tc>
          <w:tcPr>
            <w:tcW w:w="1560" w:type="dxa"/>
            <w:noWrap/>
            <w:vAlign w:val="bottom"/>
            <w:hideMark/>
          </w:tcPr>
          <w:p w14:paraId="714C50AC"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LU0250158358</w:t>
            </w:r>
          </w:p>
        </w:tc>
      </w:tr>
      <w:tr w:rsidR="00B44552" w:rsidRPr="00697F3B" w14:paraId="44DE6C2C" w14:textId="77777777" w:rsidTr="00B44552">
        <w:trPr>
          <w:trHeight w:val="320"/>
        </w:trPr>
        <w:tc>
          <w:tcPr>
            <w:tcW w:w="5437" w:type="dxa"/>
            <w:noWrap/>
            <w:vAlign w:val="bottom"/>
            <w:hideMark/>
          </w:tcPr>
          <w:p w14:paraId="32E72EC7"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Euro Sustainable Credit</w:t>
            </w:r>
          </w:p>
        </w:tc>
        <w:tc>
          <w:tcPr>
            <w:tcW w:w="1560" w:type="dxa"/>
            <w:noWrap/>
            <w:vAlign w:val="bottom"/>
            <w:hideMark/>
          </w:tcPr>
          <w:p w14:paraId="69FA5D69"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LU1106537605</w:t>
            </w:r>
          </w:p>
        </w:tc>
      </w:tr>
      <w:tr w:rsidR="00B44552" w:rsidRPr="00697F3B" w14:paraId="46E51A35" w14:textId="77777777" w:rsidTr="00B44552">
        <w:trPr>
          <w:trHeight w:val="320"/>
        </w:trPr>
        <w:tc>
          <w:tcPr>
            <w:tcW w:w="5437" w:type="dxa"/>
            <w:noWrap/>
            <w:vAlign w:val="bottom"/>
            <w:hideMark/>
          </w:tcPr>
          <w:p w14:paraId="23E8A476"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NN (L) Green Bond</w:t>
            </w:r>
          </w:p>
        </w:tc>
        <w:tc>
          <w:tcPr>
            <w:tcW w:w="1560" w:type="dxa"/>
            <w:noWrap/>
            <w:vAlign w:val="bottom"/>
            <w:hideMark/>
          </w:tcPr>
          <w:p w14:paraId="2EF9F97E"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LU1586216068</w:t>
            </w:r>
          </w:p>
        </w:tc>
      </w:tr>
      <w:tr w:rsidR="00B44552" w:rsidRPr="00697F3B" w14:paraId="59E72A0A" w14:textId="77777777" w:rsidTr="00B44552">
        <w:trPr>
          <w:trHeight w:val="320"/>
        </w:trPr>
        <w:tc>
          <w:tcPr>
            <w:tcW w:w="5437" w:type="dxa"/>
            <w:noWrap/>
            <w:vAlign w:val="bottom"/>
            <w:hideMark/>
          </w:tcPr>
          <w:p w14:paraId="5E2B4F60"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 xml:space="preserve">NN (L) </w:t>
            </w:r>
            <w:proofErr w:type="spellStart"/>
            <w:r w:rsidRPr="00697F3B">
              <w:rPr>
                <w:rFonts w:ascii="Helvetica" w:hAnsi="Helvetica"/>
                <w:color w:val="000000"/>
                <w:sz w:val="16"/>
                <w:szCs w:val="16"/>
              </w:rPr>
              <w:t>Climate</w:t>
            </w:r>
            <w:proofErr w:type="spellEnd"/>
            <w:r w:rsidRPr="00697F3B">
              <w:rPr>
                <w:rFonts w:ascii="Helvetica" w:hAnsi="Helvetica"/>
                <w:color w:val="000000"/>
                <w:sz w:val="16"/>
                <w:szCs w:val="16"/>
              </w:rPr>
              <w:t xml:space="preserve"> &amp; </w:t>
            </w:r>
            <w:proofErr w:type="spellStart"/>
            <w:r w:rsidRPr="00697F3B">
              <w:rPr>
                <w:rFonts w:ascii="Helvetica" w:hAnsi="Helvetica"/>
                <w:color w:val="000000"/>
                <w:sz w:val="16"/>
                <w:szCs w:val="16"/>
              </w:rPr>
              <w:t>Environment</w:t>
            </w:r>
            <w:proofErr w:type="spellEnd"/>
          </w:p>
        </w:tc>
        <w:tc>
          <w:tcPr>
            <w:tcW w:w="1560" w:type="dxa"/>
            <w:noWrap/>
            <w:vAlign w:val="bottom"/>
            <w:hideMark/>
          </w:tcPr>
          <w:p w14:paraId="3E90F3D6"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LU0119199791</w:t>
            </w:r>
          </w:p>
        </w:tc>
      </w:tr>
      <w:tr w:rsidR="00B44552" w:rsidRPr="00697F3B" w14:paraId="6C08E964" w14:textId="77777777" w:rsidTr="00B44552">
        <w:trPr>
          <w:trHeight w:val="320"/>
        </w:trPr>
        <w:tc>
          <w:tcPr>
            <w:tcW w:w="5437" w:type="dxa"/>
            <w:noWrap/>
            <w:vAlign w:val="bottom"/>
            <w:hideMark/>
          </w:tcPr>
          <w:p w14:paraId="14449E8C"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Emerging Markets Enhanced Index Sustainable Equity</w:t>
            </w:r>
          </w:p>
        </w:tc>
        <w:tc>
          <w:tcPr>
            <w:tcW w:w="1560" w:type="dxa"/>
            <w:noWrap/>
            <w:vAlign w:val="bottom"/>
            <w:hideMark/>
          </w:tcPr>
          <w:p w14:paraId="27831D54"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LU0051128774</w:t>
            </w:r>
          </w:p>
        </w:tc>
      </w:tr>
      <w:tr w:rsidR="00B44552" w:rsidRPr="00697F3B" w14:paraId="00AE5710" w14:textId="77777777" w:rsidTr="00B44552">
        <w:trPr>
          <w:trHeight w:val="320"/>
        </w:trPr>
        <w:tc>
          <w:tcPr>
            <w:tcW w:w="5437" w:type="dxa"/>
            <w:noWrap/>
            <w:vAlign w:val="bottom"/>
            <w:hideMark/>
          </w:tcPr>
          <w:p w14:paraId="2CEEA547"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Green Bond Short Duration</w:t>
            </w:r>
          </w:p>
        </w:tc>
        <w:tc>
          <w:tcPr>
            <w:tcW w:w="1560" w:type="dxa"/>
            <w:noWrap/>
            <w:vAlign w:val="bottom"/>
            <w:hideMark/>
          </w:tcPr>
          <w:p w14:paraId="5A4769AF"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LU1922482994</w:t>
            </w:r>
          </w:p>
        </w:tc>
      </w:tr>
      <w:tr w:rsidR="00B44552" w:rsidRPr="00697F3B" w14:paraId="31F15411" w14:textId="77777777" w:rsidTr="00B44552">
        <w:trPr>
          <w:trHeight w:val="320"/>
        </w:trPr>
        <w:tc>
          <w:tcPr>
            <w:tcW w:w="5437" w:type="dxa"/>
            <w:noWrap/>
            <w:vAlign w:val="bottom"/>
            <w:hideMark/>
          </w:tcPr>
          <w:p w14:paraId="3B4EB749" w14:textId="77777777" w:rsidR="00B44552" w:rsidRPr="00697F3B" w:rsidRDefault="00B44552">
            <w:pPr>
              <w:rPr>
                <w:rFonts w:ascii="Helvetica" w:hAnsi="Helvetica"/>
                <w:sz w:val="16"/>
                <w:szCs w:val="16"/>
                <w:lang w:val="en-US"/>
              </w:rPr>
            </w:pPr>
            <w:r w:rsidRPr="00697F3B">
              <w:rPr>
                <w:rFonts w:ascii="Helvetica" w:hAnsi="Helvetica"/>
                <w:sz w:val="16"/>
                <w:szCs w:val="16"/>
                <w:lang w:val="en-US"/>
              </w:rPr>
              <w:t>NN (L) Health &amp; Well-being</w:t>
            </w:r>
          </w:p>
        </w:tc>
        <w:tc>
          <w:tcPr>
            <w:tcW w:w="1560" w:type="dxa"/>
            <w:noWrap/>
            <w:vAlign w:val="bottom"/>
            <w:hideMark/>
          </w:tcPr>
          <w:p w14:paraId="55DA4762" w14:textId="77777777" w:rsidR="00B44552" w:rsidRPr="00697F3B" w:rsidRDefault="00B44552">
            <w:pPr>
              <w:rPr>
                <w:rFonts w:ascii="Helvetica" w:hAnsi="Helvetica"/>
                <w:sz w:val="16"/>
                <w:szCs w:val="16"/>
              </w:rPr>
            </w:pPr>
            <w:r w:rsidRPr="00697F3B">
              <w:rPr>
                <w:rFonts w:ascii="Helvetica" w:hAnsi="Helvetica"/>
                <w:sz w:val="16"/>
                <w:szCs w:val="16"/>
              </w:rPr>
              <w:t>LU0119214772</w:t>
            </w:r>
          </w:p>
        </w:tc>
      </w:tr>
      <w:tr w:rsidR="00B44552" w:rsidRPr="00697F3B" w14:paraId="2E8198CB" w14:textId="77777777" w:rsidTr="00B44552">
        <w:trPr>
          <w:trHeight w:val="320"/>
        </w:trPr>
        <w:tc>
          <w:tcPr>
            <w:tcW w:w="5437" w:type="dxa"/>
            <w:noWrap/>
            <w:vAlign w:val="bottom"/>
            <w:hideMark/>
          </w:tcPr>
          <w:p w14:paraId="1232E55F"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NN (L) Smart Connectivity</w:t>
            </w:r>
          </w:p>
        </w:tc>
        <w:tc>
          <w:tcPr>
            <w:tcW w:w="1560" w:type="dxa"/>
            <w:noWrap/>
            <w:vAlign w:val="bottom"/>
            <w:hideMark/>
          </w:tcPr>
          <w:p w14:paraId="45963525"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LU0119200128</w:t>
            </w:r>
          </w:p>
        </w:tc>
      </w:tr>
      <w:tr w:rsidR="00B44552" w:rsidRPr="00697F3B" w14:paraId="244D5683" w14:textId="77777777" w:rsidTr="00B44552">
        <w:trPr>
          <w:trHeight w:val="320"/>
        </w:trPr>
        <w:tc>
          <w:tcPr>
            <w:tcW w:w="5437" w:type="dxa"/>
            <w:noWrap/>
            <w:vAlign w:val="bottom"/>
            <w:hideMark/>
          </w:tcPr>
          <w:p w14:paraId="3CCF811B"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Corporate Green Bond</w:t>
            </w:r>
          </w:p>
        </w:tc>
        <w:tc>
          <w:tcPr>
            <w:tcW w:w="1560" w:type="dxa"/>
            <w:noWrap/>
            <w:vAlign w:val="bottom"/>
            <w:hideMark/>
          </w:tcPr>
          <w:p w14:paraId="7F98CF15"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LU2102358509</w:t>
            </w:r>
          </w:p>
        </w:tc>
      </w:tr>
      <w:tr w:rsidR="00B44552" w:rsidRPr="00697F3B" w14:paraId="4667A979" w14:textId="77777777" w:rsidTr="00B44552">
        <w:trPr>
          <w:trHeight w:val="320"/>
        </w:trPr>
        <w:tc>
          <w:tcPr>
            <w:tcW w:w="5437" w:type="dxa"/>
            <w:noWrap/>
            <w:vAlign w:val="bottom"/>
            <w:hideMark/>
          </w:tcPr>
          <w:p w14:paraId="45FC990F"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Sovereign Green Bond R Cap EUR</w:t>
            </w:r>
          </w:p>
        </w:tc>
        <w:tc>
          <w:tcPr>
            <w:tcW w:w="1560" w:type="dxa"/>
            <w:noWrap/>
            <w:vAlign w:val="bottom"/>
            <w:hideMark/>
          </w:tcPr>
          <w:p w14:paraId="0688BA81"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LU2280235669</w:t>
            </w:r>
          </w:p>
        </w:tc>
      </w:tr>
      <w:tr w:rsidR="00B44552" w:rsidRPr="00697F3B" w14:paraId="0AB38043" w14:textId="77777777" w:rsidTr="00B44552">
        <w:trPr>
          <w:trHeight w:val="320"/>
        </w:trPr>
        <w:tc>
          <w:tcPr>
            <w:tcW w:w="5437" w:type="dxa"/>
            <w:noWrap/>
            <w:vAlign w:val="bottom"/>
            <w:hideMark/>
          </w:tcPr>
          <w:p w14:paraId="11DD7328"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European Enhanced Index Sustainable Equity</w:t>
            </w:r>
          </w:p>
        </w:tc>
        <w:tc>
          <w:tcPr>
            <w:tcW w:w="1560" w:type="dxa"/>
            <w:noWrap/>
            <w:vAlign w:val="bottom"/>
            <w:hideMark/>
          </w:tcPr>
          <w:p w14:paraId="77978418"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LU2037300550</w:t>
            </w:r>
          </w:p>
        </w:tc>
      </w:tr>
      <w:tr w:rsidR="00B44552" w:rsidRPr="00697F3B" w14:paraId="5AEA69F1" w14:textId="77777777" w:rsidTr="00B44552">
        <w:trPr>
          <w:trHeight w:val="320"/>
        </w:trPr>
        <w:tc>
          <w:tcPr>
            <w:tcW w:w="5437" w:type="dxa"/>
            <w:noWrap/>
            <w:vAlign w:val="bottom"/>
            <w:hideMark/>
          </w:tcPr>
          <w:p w14:paraId="234C4144"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Global Enhanced Index Sustainable Equity</w:t>
            </w:r>
          </w:p>
        </w:tc>
        <w:tc>
          <w:tcPr>
            <w:tcW w:w="1560" w:type="dxa"/>
            <w:noWrap/>
            <w:vAlign w:val="bottom"/>
            <w:hideMark/>
          </w:tcPr>
          <w:p w14:paraId="3F7086A6" w14:textId="77777777" w:rsidR="00B44552" w:rsidRPr="00697F3B" w:rsidRDefault="00B44552">
            <w:pPr>
              <w:rPr>
                <w:rFonts w:ascii="Helvetica" w:hAnsi="Helvetica"/>
                <w:color w:val="000000"/>
                <w:sz w:val="16"/>
                <w:szCs w:val="16"/>
              </w:rPr>
            </w:pPr>
            <w:r w:rsidRPr="00697F3B">
              <w:rPr>
                <w:rFonts w:ascii="Helvetica" w:hAnsi="Helvetica"/>
                <w:color w:val="000000"/>
                <w:sz w:val="16"/>
                <w:szCs w:val="16"/>
              </w:rPr>
              <w:t>LU2037300980</w:t>
            </w:r>
          </w:p>
        </w:tc>
      </w:tr>
      <w:tr w:rsidR="00B44552" w14:paraId="1FC4B144" w14:textId="77777777" w:rsidTr="00B44552">
        <w:trPr>
          <w:trHeight w:val="320"/>
        </w:trPr>
        <w:tc>
          <w:tcPr>
            <w:tcW w:w="5437" w:type="dxa"/>
            <w:noWrap/>
            <w:vAlign w:val="bottom"/>
            <w:hideMark/>
          </w:tcPr>
          <w:p w14:paraId="6DEF2202" w14:textId="77777777" w:rsidR="00B44552" w:rsidRPr="00697F3B" w:rsidRDefault="00B44552">
            <w:pPr>
              <w:rPr>
                <w:rFonts w:ascii="Helvetica" w:hAnsi="Helvetica"/>
                <w:color w:val="000000"/>
                <w:sz w:val="16"/>
                <w:szCs w:val="16"/>
                <w:lang w:val="en-US"/>
              </w:rPr>
            </w:pPr>
            <w:r w:rsidRPr="00697F3B">
              <w:rPr>
                <w:rFonts w:ascii="Helvetica" w:hAnsi="Helvetica"/>
                <w:color w:val="000000"/>
                <w:sz w:val="16"/>
                <w:szCs w:val="16"/>
                <w:lang w:val="en-US"/>
              </w:rPr>
              <w:t>NN (L) North America Enhanced Index Sustainable Equity</w:t>
            </w:r>
          </w:p>
        </w:tc>
        <w:tc>
          <w:tcPr>
            <w:tcW w:w="1560" w:type="dxa"/>
            <w:noWrap/>
            <w:vAlign w:val="bottom"/>
            <w:hideMark/>
          </w:tcPr>
          <w:p w14:paraId="09F8904E" w14:textId="77777777" w:rsidR="00B44552" w:rsidRDefault="00B44552">
            <w:pPr>
              <w:rPr>
                <w:rFonts w:ascii="Helvetica" w:hAnsi="Helvetica"/>
                <w:color w:val="000000"/>
                <w:sz w:val="16"/>
                <w:szCs w:val="16"/>
              </w:rPr>
            </w:pPr>
            <w:r w:rsidRPr="00697F3B">
              <w:rPr>
                <w:rFonts w:ascii="Helvetica" w:hAnsi="Helvetica"/>
                <w:color w:val="000000"/>
                <w:sz w:val="16"/>
                <w:szCs w:val="16"/>
              </w:rPr>
              <w:t>LU2037301368</w:t>
            </w:r>
          </w:p>
        </w:tc>
      </w:tr>
    </w:tbl>
    <w:p w14:paraId="19044388" w14:textId="77777777" w:rsidR="00B44552" w:rsidRPr="00B44552" w:rsidRDefault="00B44552" w:rsidP="00B44552">
      <w:pPr>
        <w:spacing w:after="240" w:line="360" w:lineRule="auto"/>
        <w:rPr>
          <w:b/>
          <w:bCs/>
          <w:smallCaps/>
          <w:sz w:val="28"/>
          <w:szCs w:val="28"/>
          <w:lang w:val="fr-FR"/>
        </w:rPr>
      </w:pPr>
    </w:p>
    <w:sectPr w:rsidR="00B44552" w:rsidRPr="00B44552" w:rsidSect="00CB4C7D">
      <w:footerReference w:type="even" r:id="rId36"/>
      <w:footerReference w:type="default" r:id="rId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21DC" w14:textId="77777777" w:rsidR="004B4AED" w:rsidRDefault="004B4AED" w:rsidP="00535590">
      <w:r>
        <w:separator/>
      </w:r>
    </w:p>
  </w:endnote>
  <w:endnote w:type="continuationSeparator" w:id="0">
    <w:p w14:paraId="02886A67" w14:textId="77777777" w:rsidR="004B4AED" w:rsidRDefault="004B4AED" w:rsidP="0053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62120051"/>
      <w:docPartObj>
        <w:docPartGallery w:val="Page Numbers (Bottom of Page)"/>
        <w:docPartUnique/>
      </w:docPartObj>
    </w:sdtPr>
    <w:sdtContent>
      <w:p w14:paraId="7B6FF2CF" w14:textId="1FFA12E7" w:rsidR="00FA4F32" w:rsidRDefault="00FA4F32" w:rsidP="00267EB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4BEA80" w14:textId="77777777" w:rsidR="00FA4F32" w:rsidRDefault="00FA4F32" w:rsidP="00FA4F3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90595192"/>
      <w:docPartObj>
        <w:docPartGallery w:val="Page Numbers (Bottom of Page)"/>
        <w:docPartUnique/>
      </w:docPartObj>
    </w:sdtPr>
    <w:sdtContent>
      <w:p w14:paraId="79DA199E" w14:textId="149B5043" w:rsidR="00FA4F32" w:rsidRDefault="00FA4F32" w:rsidP="00267EB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7F62AF0" w14:textId="77777777" w:rsidR="00FA4F32" w:rsidRDefault="00FA4F32" w:rsidP="00FA4F3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916B" w14:textId="77777777" w:rsidR="004B4AED" w:rsidRDefault="004B4AED" w:rsidP="00535590">
      <w:r>
        <w:separator/>
      </w:r>
    </w:p>
  </w:footnote>
  <w:footnote w:type="continuationSeparator" w:id="0">
    <w:p w14:paraId="6EA6EEBD" w14:textId="77777777" w:rsidR="004B4AED" w:rsidRDefault="004B4AED" w:rsidP="00535590">
      <w:r>
        <w:continuationSeparator/>
      </w:r>
    </w:p>
  </w:footnote>
  <w:footnote w:id="1">
    <w:p w14:paraId="2528E8D0" w14:textId="59487303" w:rsidR="00F004D0" w:rsidRPr="0084206C" w:rsidRDefault="00F004D0" w:rsidP="00161ABE">
      <w:pPr>
        <w:pStyle w:val="Notedebasdepage"/>
        <w:spacing w:before="0"/>
        <w:rPr>
          <w:rFonts w:ascii="Times New Roman" w:hAnsi="Times New Roman" w:cs="Times New Roman"/>
          <w:color w:val="000000" w:themeColor="text1"/>
        </w:rPr>
      </w:pPr>
      <w:r w:rsidRPr="008909B7">
        <w:rPr>
          <w:rStyle w:val="Appelnotedebasdep"/>
          <w:rFonts w:ascii="Times New Roman" w:hAnsi="Times New Roman" w:cs="Times New Roman"/>
        </w:rPr>
        <w:footnoteRef/>
      </w:r>
      <w:r w:rsidRPr="008909B7">
        <w:rPr>
          <w:rFonts w:ascii="Times New Roman" w:hAnsi="Times New Roman" w:cs="Times New Roman"/>
        </w:rPr>
        <w:t xml:space="preserve"> </w:t>
      </w:r>
      <w:r w:rsidRPr="008909B7">
        <w:rPr>
          <w:rFonts w:ascii="Times New Roman" w:hAnsi="Times New Roman" w:cs="Times New Roman"/>
          <w:color w:val="000000" w:themeColor="text1"/>
        </w:rPr>
        <w:t xml:space="preserve">telles que celle d’Arjaliès (2010) qui </w:t>
      </w:r>
      <w:r w:rsidRPr="008909B7">
        <w:rPr>
          <w:rFonts w:ascii="Times New Roman" w:hAnsi="Times New Roman" w:cs="Times New Roman"/>
        </w:rPr>
        <w:t xml:space="preserve">fait référence à l’intégration de critères extra-financiers dans les processus d’investissement et ce, pour divulguer les pratiques responsables des entreprises, ou celle de </w:t>
      </w:r>
      <w:r w:rsidRPr="0084206C">
        <w:rPr>
          <w:rFonts w:ascii="Times New Roman" w:hAnsi="Times New Roman" w:cs="Times New Roman"/>
        </w:rPr>
        <w:t>Renneboog</w:t>
      </w:r>
      <w:r w:rsidR="0084206C" w:rsidRPr="0084206C">
        <w:rPr>
          <w:rFonts w:ascii="Times New Roman" w:hAnsi="Times New Roman" w:cs="Times New Roman"/>
        </w:rPr>
        <w:t xml:space="preserve">, Ter-Horst et Zhang </w:t>
      </w:r>
      <w:r w:rsidRPr="0084206C">
        <w:rPr>
          <w:rFonts w:ascii="Times New Roman" w:hAnsi="Times New Roman" w:cs="Times New Roman"/>
        </w:rPr>
        <w:t>(</w:t>
      </w:r>
      <w:r w:rsidRPr="008909B7">
        <w:rPr>
          <w:rFonts w:ascii="Times New Roman" w:hAnsi="Times New Roman" w:cs="Times New Roman"/>
          <w:color w:val="000000" w:themeColor="text1"/>
        </w:rPr>
        <w:t>2008, in Revelli et Viviani, 2011</w:t>
      </w:r>
      <w:r w:rsidR="00346D88">
        <w:rPr>
          <w:rFonts w:ascii="Times New Roman" w:hAnsi="Times New Roman" w:cs="Times New Roman"/>
          <w:color w:val="000000" w:themeColor="text1"/>
        </w:rPr>
        <w:t> : 35 (</w:t>
      </w:r>
      <w:r w:rsidRPr="008909B7">
        <w:rPr>
          <w:rFonts w:ascii="Times New Roman" w:hAnsi="Times New Roman" w:cs="Times New Roman"/>
          <w:color w:val="000000" w:themeColor="text1"/>
        </w:rPr>
        <w:t>traduction</w:t>
      </w:r>
      <w:r w:rsidR="00346D88">
        <w:rPr>
          <w:rFonts w:ascii="Times New Roman" w:hAnsi="Times New Roman" w:cs="Times New Roman"/>
          <w:color w:val="000000" w:themeColor="text1"/>
        </w:rPr>
        <w:t>)</w:t>
      </w:r>
      <w:r w:rsidRPr="008909B7">
        <w:rPr>
          <w:rFonts w:ascii="Times New Roman" w:hAnsi="Times New Roman" w:cs="Times New Roman"/>
          <w:i/>
          <w:iCs/>
        </w:rPr>
        <w:t>) : « L’ISR applique, à la différence des investissements de type conventionnel, un jeu de filtres d’investissement pour sélectionner ou exclure des actifs basés sur des critères écologiques, sociaux, de gouvernance d’entreprise ou encore éthiques, et s’engage également dans la communauté locale et dans l’activisme actionnarial</w:t>
      </w:r>
      <w:r w:rsidR="00602D87">
        <w:rPr>
          <w:rFonts w:ascii="Times New Roman" w:hAnsi="Times New Roman" w:cs="Times New Roman"/>
          <w:i/>
          <w:iCs/>
        </w:rPr>
        <w:t>.</w:t>
      </w:r>
      <w:r w:rsidRPr="008909B7">
        <w:rPr>
          <w:rFonts w:ascii="Times New Roman" w:hAnsi="Times New Roman" w:cs="Times New Roman"/>
          <w:i/>
          <w:iCs/>
        </w:rPr>
        <w:t> »</w:t>
      </w:r>
      <w:r w:rsidR="00BB031E">
        <w:rPr>
          <w:rFonts w:ascii="Times New Roman" w:hAnsi="Times New Roman" w:cs="Times New Roman"/>
          <w:i/>
          <w:iCs/>
        </w:rPr>
        <w:t>.</w:t>
      </w:r>
    </w:p>
  </w:footnote>
  <w:footnote w:id="2">
    <w:p w14:paraId="2BC2ACB2" w14:textId="789AD456" w:rsidR="00470506" w:rsidRPr="00D34BA7" w:rsidRDefault="00470506" w:rsidP="00470506">
      <w:pPr>
        <w:pStyle w:val="Notedebasdepage"/>
        <w:spacing w:before="0"/>
        <w:rPr>
          <w:rFonts w:ascii="Times New Roman" w:hAnsi="Times New Roman" w:cs="Times New Roman"/>
          <w:color w:val="ED7D31" w:themeColor="accent2"/>
        </w:rPr>
      </w:pPr>
      <w:r w:rsidRPr="0073059A">
        <w:rPr>
          <w:rStyle w:val="Appelnotedebasdep"/>
          <w:color w:val="000000" w:themeColor="text1"/>
        </w:rPr>
        <w:footnoteRef/>
      </w:r>
      <w:r w:rsidRPr="0073059A">
        <w:rPr>
          <w:color w:val="000000" w:themeColor="text1"/>
        </w:rPr>
        <w:t xml:space="preserve"> </w:t>
      </w:r>
      <w:r w:rsidRPr="0073059A">
        <w:rPr>
          <w:rFonts w:ascii="Times New Roman" w:hAnsi="Times New Roman" w:cs="Times New Roman"/>
          <w:color w:val="000000" w:themeColor="text1"/>
        </w:rPr>
        <w:t>On a assisté à une forte baisse de l’encours entre 2021 et 2022 car le périmètre ISR a été réduit aux fonds durables de l’</w:t>
      </w:r>
      <w:r w:rsidR="00DA304F" w:rsidRPr="0073059A">
        <w:rPr>
          <w:rFonts w:ascii="Times New Roman" w:hAnsi="Times New Roman" w:cs="Times New Roman"/>
          <w:color w:val="000000" w:themeColor="text1"/>
        </w:rPr>
        <w:t>A</w:t>
      </w:r>
      <w:r w:rsidRPr="0073059A">
        <w:rPr>
          <w:rFonts w:ascii="Times New Roman" w:hAnsi="Times New Roman" w:cs="Times New Roman"/>
          <w:color w:val="000000" w:themeColor="text1"/>
        </w:rPr>
        <w:t xml:space="preserve">rticle 9 de la nouvelle règlementation SFDR. </w:t>
      </w:r>
      <w:r w:rsidR="00D85431" w:rsidRPr="0073059A">
        <w:rPr>
          <w:rFonts w:ascii="Times New Roman" w:hAnsi="Times New Roman" w:cs="Times New Roman"/>
          <w:color w:val="000000" w:themeColor="text1"/>
        </w:rPr>
        <w:t>Il y a donc eu de nombreux fonds sortants du périmètre ISR.</w:t>
      </w:r>
      <w:r w:rsidR="009C0D77" w:rsidRPr="0073059A">
        <w:rPr>
          <w:rFonts w:ascii="Times New Roman" w:hAnsi="Times New Roman" w:cs="Times New Roman"/>
          <w:color w:val="000000" w:themeColor="text1"/>
        </w:rPr>
        <w:t xml:space="preserve"> Malgré tout, le</w:t>
      </w:r>
      <w:r w:rsidRPr="0073059A">
        <w:rPr>
          <w:rFonts w:ascii="Times New Roman" w:hAnsi="Times New Roman" w:cs="Times New Roman"/>
          <w:color w:val="000000" w:themeColor="text1"/>
        </w:rPr>
        <w:t xml:space="preserve"> nombre de fonds </w:t>
      </w:r>
      <w:r w:rsidR="00DA304F" w:rsidRPr="0073059A">
        <w:rPr>
          <w:rFonts w:ascii="Times New Roman" w:hAnsi="Times New Roman" w:cs="Times New Roman"/>
          <w:color w:val="000000" w:themeColor="text1"/>
        </w:rPr>
        <w:t>A</w:t>
      </w:r>
      <w:r w:rsidRPr="0073059A">
        <w:rPr>
          <w:rFonts w:ascii="Times New Roman" w:hAnsi="Times New Roman" w:cs="Times New Roman"/>
          <w:color w:val="000000" w:themeColor="text1"/>
        </w:rPr>
        <w:t xml:space="preserve">rticle 9 a augmenté durant cette même période (332 fonds </w:t>
      </w:r>
      <w:r w:rsidR="00DA304F" w:rsidRPr="0073059A">
        <w:rPr>
          <w:rFonts w:ascii="Times New Roman" w:hAnsi="Times New Roman" w:cs="Times New Roman"/>
          <w:color w:val="000000" w:themeColor="text1"/>
        </w:rPr>
        <w:t>A</w:t>
      </w:r>
      <w:r w:rsidRPr="0073059A">
        <w:rPr>
          <w:rFonts w:ascii="Times New Roman" w:hAnsi="Times New Roman" w:cs="Times New Roman"/>
          <w:color w:val="000000" w:themeColor="text1"/>
        </w:rPr>
        <w:t xml:space="preserve">rticle 9 en 2021 vs 402 fonds en 2022). </w:t>
      </w:r>
    </w:p>
  </w:footnote>
  <w:footnote w:id="3">
    <w:p w14:paraId="28713D0F" w14:textId="77777777" w:rsidR="00586612" w:rsidRPr="00AD15BA" w:rsidRDefault="00586612" w:rsidP="00BB031E">
      <w:pPr>
        <w:pStyle w:val="Notedebasdepage"/>
        <w:spacing w:before="0"/>
        <w:rPr>
          <w:rFonts w:ascii="Times New Roman" w:hAnsi="Times New Roman" w:cs="Times New Roman"/>
          <w:lang w:val="fr-FR"/>
        </w:rPr>
      </w:pPr>
      <w:r w:rsidRPr="00AD15BA">
        <w:rPr>
          <w:rStyle w:val="Appelnotedebasdep"/>
          <w:rFonts w:ascii="Times New Roman" w:hAnsi="Times New Roman" w:cs="Times New Roman"/>
        </w:rPr>
        <w:footnoteRef/>
      </w:r>
      <w:r w:rsidRPr="00AD15BA">
        <w:rPr>
          <w:rFonts w:ascii="Times New Roman" w:hAnsi="Times New Roman" w:cs="Times New Roman"/>
        </w:rPr>
        <w:t xml:space="preserve"> </w:t>
      </w:r>
      <w:hyperlink r:id="rId1" w:history="1">
        <w:r w:rsidRPr="00AD15BA">
          <w:rPr>
            <w:rStyle w:val="Lienhypertexte"/>
            <w:rFonts w:ascii="Times New Roman" w:hAnsi="Times New Roman" w:cs="Times New Roman"/>
          </w:rPr>
          <w:t>https://trends.levif.be/economie/trends-information-services/l-esg-l-accelerateur-d-une-croissance-durable/article-publishingpartner-1440343.html?cookie_check=1643291392</w:t>
        </w:r>
      </w:hyperlink>
      <w:r w:rsidRPr="00AD15BA">
        <w:rPr>
          <w:rFonts w:ascii="Times New Roman" w:hAnsi="Times New Roman" w:cs="Times New Roman"/>
        </w:rPr>
        <w:t>, consulté le 27/01/2022.</w:t>
      </w:r>
    </w:p>
  </w:footnote>
  <w:footnote w:id="4">
    <w:p w14:paraId="1D5FD72F" w14:textId="6E6F51EC" w:rsidR="003B4336" w:rsidRPr="0073059A" w:rsidRDefault="003B4336" w:rsidP="0073059A">
      <w:pPr>
        <w:jc w:val="both"/>
        <w:rPr>
          <w:rFonts w:eastAsiaTheme="minorHAnsi"/>
          <w:lang w:val="fr-FR" w:eastAsia="en-US"/>
        </w:rPr>
      </w:pPr>
      <w:r w:rsidRPr="0073059A">
        <w:rPr>
          <w:rStyle w:val="Appelnotedebasdep"/>
          <w:rFonts w:eastAsiaTheme="minorHAnsi"/>
          <w:sz w:val="20"/>
          <w:szCs w:val="20"/>
          <w:lang w:eastAsia="en-US"/>
        </w:rPr>
        <w:footnoteRef/>
      </w:r>
      <w:r w:rsidRPr="0073059A">
        <w:rPr>
          <w:rFonts w:asciiTheme="minorHAnsi" w:eastAsiaTheme="minorHAnsi" w:hAnsiTheme="minorHAnsi" w:cstheme="minorBidi"/>
          <w:lang w:val="fr-FR" w:eastAsia="en-US"/>
        </w:rPr>
        <w:t xml:space="preserve"> </w:t>
      </w:r>
      <w:r>
        <w:rPr>
          <w:lang w:val="fr-FR"/>
        </w:rPr>
        <w:tab/>
      </w:r>
      <w:hyperlink r:id="rId2" w:anchor=":~:text=Règlement%20" w:history="1">
        <w:r w:rsidRPr="0073059A">
          <w:rPr>
            <w:rStyle w:val="Lienhypertexte"/>
            <w:sz w:val="20"/>
            <w:szCs w:val="20"/>
            <w:lang w:val="fr-FR"/>
          </w:rPr>
          <w:t>https://www.amf-france.org/fr/espace-epargnants/comprendre-les-produits-financiers/finance-durable/faire-un-placement-durable/finance-durable-bien-comprendre-la-taxonomie-et-le-reglement-sfdr-pour-exprimer-vos-preferences#:~:text=Règlement%20«%20SFDR%20»%20%3A%20une%20classification%20des%20fonds&amp;text=que%20les%20professionnels%20de%20la,la%20durabilité%20d'un%20placement</w:t>
        </w:r>
      </w:hyperlink>
      <w:r w:rsidRPr="0073059A">
        <w:rPr>
          <w:rStyle w:val="Lienhypertexte"/>
          <w:rFonts w:asciiTheme="minorHAnsi" w:eastAsiaTheme="minorHAnsi" w:hAnsiTheme="minorHAnsi" w:cstheme="minorBidi"/>
          <w:lang w:val="fr-FR" w:eastAsia="en-US"/>
        </w:rPr>
        <w:t>.</w:t>
      </w:r>
      <w:r w:rsidRPr="0039292C">
        <w:rPr>
          <w:sz w:val="20"/>
          <w:szCs w:val="20"/>
        </w:rPr>
        <w:t xml:space="preserve">, consulté le 29/02/2024. </w:t>
      </w:r>
    </w:p>
  </w:footnote>
  <w:footnote w:id="5">
    <w:p w14:paraId="1B40322E" w14:textId="77777777" w:rsidR="00586612" w:rsidRPr="00AD15BA" w:rsidRDefault="00586612" w:rsidP="00BB031E">
      <w:pPr>
        <w:pStyle w:val="Notedebasdepage"/>
        <w:spacing w:before="0"/>
        <w:rPr>
          <w:rFonts w:ascii="Times New Roman" w:hAnsi="Times New Roman" w:cs="Times New Roman"/>
          <w:lang w:val="fr-FR"/>
        </w:rPr>
      </w:pPr>
      <w:r w:rsidRPr="00AD15BA">
        <w:rPr>
          <w:rStyle w:val="Appelnotedebasdep"/>
          <w:rFonts w:ascii="Times New Roman" w:hAnsi="Times New Roman" w:cs="Times New Roman"/>
        </w:rPr>
        <w:footnoteRef/>
      </w:r>
      <w:r w:rsidRPr="00AD15BA">
        <w:rPr>
          <w:rFonts w:ascii="Times New Roman" w:hAnsi="Times New Roman" w:cs="Times New Roman"/>
        </w:rPr>
        <w:t xml:space="preserve"> </w:t>
      </w:r>
      <w:hyperlink r:id="rId3" w:history="1">
        <w:r w:rsidRPr="00AD15BA">
          <w:rPr>
            <w:rStyle w:val="Lienhypertexte"/>
            <w:rFonts w:ascii="Times New Roman" w:hAnsi="Times New Roman" w:cs="Times New Roman"/>
          </w:rPr>
          <w:t>https://trends.levif.be/economie/trends-information-services/l-esg-l-accelerateur-d-une-croissance-durable/article-publishingpartner-1440343.html?cookie_check=1643291392</w:t>
        </w:r>
      </w:hyperlink>
      <w:r w:rsidRPr="00AD15BA">
        <w:rPr>
          <w:rFonts w:ascii="Times New Roman" w:hAnsi="Times New Roman" w:cs="Times New Roman"/>
        </w:rPr>
        <w:t>, consulté le 27/01/2022.</w:t>
      </w:r>
    </w:p>
  </w:footnote>
  <w:footnote w:id="6">
    <w:p w14:paraId="6471F581" w14:textId="77777777" w:rsidR="00D46F4A" w:rsidRPr="00A33C52" w:rsidRDefault="00D46F4A" w:rsidP="00D46F4A">
      <w:pPr>
        <w:pStyle w:val="Notedebasdepage"/>
        <w:spacing w:before="0"/>
        <w:rPr>
          <w:lang w:val="fr-FR"/>
        </w:rPr>
      </w:pPr>
      <w:r w:rsidRPr="00AD15BA">
        <w:rPr>
          <w:rStyle w:val="Appelnotedebasdep"/>
          <w:rFonts w:ascii="Times New Roman" w:hAnsi="Times New Roman" w:cs="Times New Roman"/>
        </w:rPr>
        <w:footnoteRef/>
      </w:r>
      <w:r w:rsidRPr="00AD15BA">
        <w:rPr>
          <w:rFonts w:ascii="Times New Roman" w:hAnsi="Times New Roman" w:cs="Times New Roman"/>
        </w:rPr>
        <w:t xml:space="preserve"> </w:t>
      </w:r>
      <w:hyperlink r:id="rId4" w:history="1">
        <w:r w:rsidRPr="00AD15BA">
          <w:rPr>
            <w:rStyle w:val="Lienhypertexte"/>
            <w:rFonts w:ascii="Times New Roman" w:hAnsi="Times New Roman" w:cs="Times New Roman"/>
          </w:rPr>
          <w:t>https://www.ifrs.org/groups/international-sustainability-standards-board/</w:t>
        </w:r>
      </w:hyperlink>
      <w:r w:rsidRPr="00AD15BA">
        <w:rPr>
          <w:rFonts w:ascii="Times New Roman" w:hAnsi="Times New Roman" w:cs="Times New Roman"/>
        </w:rPr>
        <w:t>, consulté le 27/01/2022.</w:t>
      </w:r>
      <w:r>
        <w:t xml:space="preserve"> </w:t>
      </w:r>
    </w:p>
  </w:footnote>
  <w:footnote w:id="7">
    <w:p w14:paraId="6073967C" w14:textId="5F882A3E" w:rsidR="00FA3E8B" w:rsidRPr="00697F3B" w:rsidRDefault="00FA3E8B" w:rsidP="00FA3E8B">
      <w:pPr>
        <w:pStyle w:val="Notedebasdepage"/>
        <w:spacing w:before="0"/>
        <w:rPr>
          <w:rFonts w:ascii="Times New Roman" w:hAnsi="Times New Roman" w:cs="Times New Roman"/>
        </w:rPr>
      </w:pPr>
      <w:r w:rsidRPr="00AD15BA">
        <w:rPr>
          <w:rStyle w:val="Appelnotedebasdep"/>
          <w:rFonts w:ascii="Times New Roman" w:hAnsi="Times New Roman" w:cs="Times New Roman"/>
        </w:rPr>
        <w:footnoteRef/>
      </w:r>
      <w:r w:rsidRPr="00AD15BA">
        <w:rPr>
          <w:rFonts w:ascii="Times New Roman" w:hAnsi="Times New Roman" w:cs="Times New Roman"/>
        </w:rPr>
        <w:t xml:space="preserve"> </w:t>
      </w:r>
      <w:hyperlink r:id="rId5" w:history="1">
        <w:r w:rsidRPr="00697F3B">
          <w:rPr>
            <w:rStyle w:val="Lienhypertexte"/>
            <w:rFonts w:ascii="Times New Roman" w:hAnsi="Times New Roman" w:cs="Times New Roman"/>
          </w:rPr>
          <w:t>https://www.lecho.be/les-marches/fonds/rechercher.html?Extended=true</w:t>
        </w:r>
      </w:hyperlink>
      <w:r w:rsidR="00AF144B" w:rsidRPr="00697F3B">
        <w:rPr>
          <w:rFonts w:ascii="Times New Roman" w:hAnsi="Times New Roman" w:cs="Times New Roman"/>
        </w:rPr>
        <w:t>, en février 2024.</w:t>
      </w:r>
    </w:p>
  </w:footnote>
  <w:footnote w:id="8">
    <w:p w14:paraId="05F0D7A8" w14:textId="0035D0BE" w:rsidR="00AF144B" w:rsidRPr="00697F3B" w:rsidRDefault="00AF144B" w:rsidP="0073059A">
      <w:pPr>
        <w:pStyle w:val="Notedebasdepage"/>
        <w:spacing w:before="0"/>
        <w:rPr>
          <w:rFonts w:ascii="Times New Roman" w:hAnsi="Times New Roman" w:cs="Times New Roman"/>
          <w:lang w:val="fr-FR"/>
        </w:rPr>
      </w:pPr>
      <w:r w:rsidRPr="00697F3B">
        <w:rPr>
          <w:rStyle w:val="Appelnotedebasdep"/>
          <w:rFonts w:ascii="Times New Roman" w:hAnsi="Times New Roman" w:cs="Times New Roman"/>
        </w:rPr>
        <w:footnoteRef/>
      </w:r>
      <w:r w:rsidRPr="00697F3B">
        <w:rPr>
          <w:rFonts w:ascii="Times New Roman" w:hAnsi="Times New Roman" w:cs="Times New Roman"/>
        </w:rPr>
        <w:t xml:space="preserve"> </w:t>
      </w:r>
      <w:hyperlink r:id="rId6" w:history="1">
        <w:r w:rsidRPr="00697F3B">
          <w:rPr>
            <w:rStyle w:val="Lienhypertexte"/>
            <w:rFonts w:ascii="Times New Roman" w:hAnsi="Times New Roman" w:cs="Times New Roman"/>
          </w:rPr>
          <w:t>https://www.morningstar.fr/fr/screener/esg</w:t>
        </w:r>
      </w:hyperlink>
      <w:r w:rsidRPr="00697F3B">
        <w:rPr>
          <w:rFonts w:ascii="Times New Roman" w:hAnsi="Times New Roman" w:cs="Times New Roman"/>
        </w:rPr>
        <w:t>, en février 2024 également</w:t>
      </w:r>
      <w:r w:rsidR="00C62488" w:rsidRPr="00697F3B">
        <w:rPr>
          <w:rFonts w:ascii="Times New Roman" w:hAnsi="Times New Roman" w:cs="Times New Roman"/>
        </w:rPr>
        <w:t xml:space="preserve"> sauf pour les risques environnementaux, sociaux et de gouvernance qui </w:t>
      </w:r>
      <w:r w:rsidR="00AE5C35" w:rsidRPr="00697F3B">
        <w:rPr>
          <w:rFonts w:ascii="Times New Roman" w:hAnsi="Times New Roman" w:cs="Times New Roman"/>
        </w:rPr>
        <w:t>ont</w:t>
      </w:r>
      <w:r w:rsidR="00C62488" w:rsidRPr="00697F3B">
        <w:rPr>
          <w:rFonts w:ascii="Times New Roman" w:hAnsi="Times New Roman" w:cs="Times New Roman"/>
        </w:rPr>
        <w:t xml:space="preserve"> été </w:t>
      </w:r>
      <w:r w:rsidR="00AE5C35" w:rsidRPr="00697F3B">
        <w:rPr>
          <w:rFonts w:ascii="Times New Roman" w:hAnsi="Times New Roman" w:cs="Times New Roman"/>
        </w:rPr>
        <w:t xml:space="preserve">collectés </w:t>
      </w:r>
      <w:r w:rsidR="00C62488" w:rsidRPr="00697F3B">
        <w:rPr>
          <w:rFonts w:ascii="Times New Roman" w:hAnsi="Times New Roman" w:cs="Times New Roman"/>
        </w:rPr>
        <w:t>en mai 2024.</w:t>
      </w:r>
      <w:r w:rsidRPr="00697F3B">
        <w:rPr>
          <w:rFonts w:ascii="Times New Roman" w:hAnsi="Times New Roman" w:cs="Times New Roman"/>
        </w:rPr>
        <w:t xml:space="preserve"> Il est crucial de souligner que tous les indicateurs</w:t>
      </w:r>
      <w:r w:rsidR="00C62488" w:rsidRPr="00697F3B">
        <w:rPr>
          <w:rFonts w:ascii="Times New Roman" w:hAnsi="Times New Roman" w:cs="Times New Roman"/>
        </w:rPr>
        <w:t xml:space="preserve"> comparés ensemble</w:t>
      </w:r>
      <w:r w:rsidRPr="00697F3B">
        <w:rPr>
          <w:rFonts w:ascii="Times New Roman" w:hAnsi="Times New Roman" w:cs="Times New Roman"/>
        </w:rPr>
        <w:t>, peu importe la source, ont été collectés le même jour</w:t>
      </w:r>
      <w:r w:rsidR="00C62488" w:rsidRPr="00697F3B">
        <w:rPr>
          <w:rFonts w:ascii="Times New Roman" w:hAnsi="Times New Roman" w:cs="Times New Roman"/>
        </w:rPr>
        <w:t xml:space="preserve">. </w:t>
      </w:r>
    </w:p>
  </w:footnote>
  <w:footnote w:id="9">
    <w:p w14:paraId="493BDD80" w14:textId="29B46FE0" w:rsidR="00C62488" w:rsidRPr="00C62488" w:rsidRDefault="00C62488" w:rsidP="00C62488">
      <w:pPr>
        <w:pStyle w:val="Notedebasdepage"/>
        <w:spacing w:before="0"/>
        <w:rPr>
          <w:lang w:val="fr-FR"/>
        </w:rPr>
      </w:pPr>
      <w:r w:rsidRPr="00697F3B">
        <w:rPr>
          <w:rStyle w:val="Appelnotedebasdep"/>
          <w:rFonts w:ascii="Times New Roman" w:hAnsi="Times New Roman" w:cs="Times New Roman"/>
        </w:rPr>
        <w:footnoteRef/>
      </w:r>
      <w:r w:rsidRPr="00697F3B">
        <w:rPr>
          <w:rFonts w:ascii="Times New Roman" w:hAnsi="Times New Roman" w:cs="Times New Roman"/>
        </w:rPr>
        <w:t xml:space="preserve"> Il s’agit du score de durabilité d'une entreprise à une date donnée, divisé en trois composantes ESG, avec une partie qui peut ne pas être attribuée à l'une des trois dimensions.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441"/>
    <w:multiLevelType w:val="hybridMultilevel"/>
    <w:tmpl w:val="017A035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644"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F64F87"/>
    <w:multiLevelType w:val="multilevel"/>
    <w:tmpl w:val="8DE87E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4A04C0"/>
    <w:multiLevelType w:val="hybridMultilevel"/>
    <w:tmpl w:val="F6D25F7E"/>
    <w:lvl w:ilvl="0" w:tplc="6ED414A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5051C9"/>
    <w:multiLevelType w:val="hybridMultilevel"/>
    <w:tmpl w:val="CBECA5DC"/>
    <w:lvl w:ilvl="0" w:tplc="65DAD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184D79"/>
    <w:multiLevelType w:val="hybridMultilevel"/>
    <w:tmpl w:val="056C674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C4091E"/>
    <w:multiLevelType w:val="hybridMultilevel"/>
    <w:tmpl w:val="9F5879C6"/>
    <w:lvl w:ilvl="0" w:tplc="5972E5A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BA1652"/>
    <w:multiLevelType w:val="multilevel"/>
    <w:tmpl w:val="8DE87E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5A3DB8"/>
    <w:multiLevelType w:val="hybridMultilevel"/>
    <w:tmpl w:val="017A0358"/>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AF68C042">
      <w:start w:val="1"/>
      <w:numFmt w:val="decimal"/>
      <w:pStyle w:val="Titre5"/>
      <w:lvlText w:val="%4."/>
      <w:lvlJc w:val="left"/>
      <w:pPr>
        <w:ind w:left="644"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FB5CA6"/>
    <w:multiLevelType w:val="hybridMultilevel"/>
    <w:tmpl w:val="FA2895A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B3245D"/>
    <w:multiLevelType w:val="multilevel"/>
    <w:tmpl w:val="8DE87E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4D7C2B"/>
    <w:multiLevelType w:val="hybridMultilevel"/>
    <w:tmpl w:val="7D50DC8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E71652"/>
    <w:multiLevelType w:val="hybridMultilevel"/>
    <w:tmpl w:val="6F707C4E"/>
    <w:lvl w:ilvl="0" w:tplc="6ED414A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8E1DA1"/>
    <w:multiLevelType w:val="multilevel"/>
    <w:tmpl w:val="AE88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B533C"/>
    <w:multiLevelType w:val="hybridMultilevel"/>
    <w:tmpl w:val="806061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6253344">
    <w:abstractNumId w:val="13"/>
  </w:num>
  <w:num w:numId="2" w16cid:durableId="1258558168">
    <w:abstractNumId w:val="11"/>
  </w:num>
  <w:num w:numId="3" w16cid:durableId="287977892">
    <w:abstractNumId w:val="7"/>
  </w:num>
  <w:num w:numId="4" w16cid:durableId="319424917">
    <w:abstractNumId w:val="3"/>
  </w:num>
  <w:num w:numId="5" w16cid:durableId="380249385">
    <w:abstractNumId w:val="0"/>
  </w:num>
  <w:num w:numId="6" w16cid:durableId="1215190887">
    <w:abstractNumId w:val="2"/>
  </w:num>
  <w:num w:numId="7" w16cid:durableId="307133672">
    <w:abstractNumId w:val="5"/>
  </w:num>
  <w:num w:numId="8" w16cid:durableId="261232312">
    <w:abstractNumId w:val="9"/>
  </w:num>
  <w:num w:numId="9" w16cid:durableId="609513279">
    <w:abstractNumId w:val="12"/>
  </w:num>
  <w:num w:numId="10" w16cid:durableId="1813598736">
    <w:abstractNumId w:val="6"/>
  </w:num>
  <w:num w:numId="11" w16cid:durableId="273244804">
    <w:abstractNumId w:val="10"/>
  </w:num>
  <w:num w:numId="12" w16cid:durableId="1021510652">
    <w:abstractNumId w:val="4"/>
  </w:num>
  <w:num w:numId="13" w16cid:durableId="100226099">
    <w:abstractNumId w:val="8"/>
  </w:num>
  <w:num w:numId="14" w16cid:durableId="856694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71"/>
    <w:rsid w:val="00001B99"/>
    <w:rsid w:val="000044D9"/>
    <w:rsid w:val="00007816"/>
    <w:rsid w:val="0001043B"/>
    <w:rsid w:val="00011B0F"/>
    <w:rsid w:val="00023063"/>
    <w:rsid w:val="000243B8"/>
    <w:rsid w:val="00025285"/>
    <w:rsid w:val="00025AD1"/>
    <w:rsid w:val="0002732C"/>
    <w:rsid w:val="00037680"/>
    <w:rsid w:val="0004110E"/>
    <w:rsid w:val="00043758"/>
    <w:rsid w:val="0005005D"/>
    <w:rsid w:val="0005147F"/>
    <w:rsid w:val="000518CB"/>
    <w:rsid w:val="000520A6"/>
    <w:rsid w:val="000537F5"/>
    <w:rsid w:val="000538EB"/>
    <w:rsid w:val="00054B4D"/>
    <w:rsid w:val="00055320"/>
    <w:rsid w:val="000559B8"/>
    <w:rsid w:val="00060C9B"/>
    <w:rsid w:val="0006177B"/>
    <w:rsid w:val="00065F7B"/>
    <w:rsid w:val="00066245"/>
    <w:rsid w:val="00066EE0"/>
    <w:rsid w:val="0007550D"/>
    <w:rsid w:val="0008245E"/>
    <w:rsid w:val="00086498"/>
    <w:rsid w:val="0009047A"/>
    <w:rsid w:val="00090AD9"/>
    <w:rsid w:val="000934BF"/>
    <w:rsid w:val="000964CD"/>
    <w:rsid w:val="00097C27"/>
    <w:rsid w:val="000A343B"/>
    <w:rsid w:val="000A7BAC"/>
    <w:rsid w:val="000A7FBF"/>
    <w:rsid w:val="000B099B"/>
    <w:rsid w:val="000B484C"/>
    <w:rsid w:val="000B5A35"/>
    <w:rsid w:val="000B61AD"/>
    <w:rsid w:val="000B6CF9"/>
    <w:rsid w:val="000C1351"/>
    <w:rsid w:val="000C151C"/>
    <w:rsid w:val="000C2EE9"/>
    <w:rsid w:val="000C6207"/>
    <w:rsid w:val="000D1E83"/>
    <w:rsid w:val="000D2992"/>
    <w:rsid w:val="000D342B"/>
    <w:rsid w:val="000D3550"/>
    <w:rsid w:val="000D4151"/>
    <w:rsid w:val="000D7113"/>
    <w:rsid w:val="000D78C3"/>
    <w:rsid w:val="000E377E"/>
    <w:rsid w:val="000E4201"/>
    <w:rsid w:val="000E6C91"/>
    <w:rsid w:val="000F23E2"/>
    <w:rsid w:val="000F3E5B"/>
    <w:rsid w:val="000F3FC4"/>
    <w:rsid w:val="000F6E60"/>
    <w:rsid w:val="000F758B"/>
    <w:rsid w:val="00100DB9"/>
    <w:rsid w:val="001032A1"/>
    <w:rsid w:val="001050AC"/>
    <w:rsid w:val="0010522D"/>
    <w:rsid w:val="00106A71"/>
    <w:rsid w:val="00110B30"/>
    <w:rsid w:val="00111A67"/>
    <w:rsid w:val="00111E46"/>
    <w:rsid w:val="0011611B"/>
    <w:rsid w:val="0011672E"/>
    <w:rsid w:val="00117006"/>
    <w:rsid w:val="00121240"/>
    <w:rsid w:val="001218D2"/>
    <w:rsid w:val="001233DB"/>
    <w:rsid w:val="001243D7"/>
    <w:rsid w:val="00125463"/>
    <w:rsid w:val="00126627"/>
    <w:rsid w:val="0012772F"/>
    <w:rsid w:val="0013438C"/>
    <w:rsid w:val="00134EE7"/>
    <w:rsid w:val="0013546A"/>
    <w:rsid w:val="00136A95"/>
    <w:rsid w:val="00144B16"/>
    <w:rsid w:val="00147758"/>
    <w:rsid w:val="00147909"/>
    <w:rsid w:val="0014794C"/>
    <w:rsid w:val="00150087"/>
    <w:rsid w:val="00151C41"/>
    <w:rsid w:val="00152E57"/>
    <w:rsid w:val="0015347A"/>
    <w:rsid w:val="0015555A"/>
    <w:rsid w:val="001565AF"/>
    <w:rsid w:val="00160E7E"/>
    <w:rsid w:val="00161AAB"/>
    <w:rsid w:val="00161ABE"/>
    <w:rsid w:val="00165203"/>
    <w:rsid w:val="001653BB"/>
    <w:rsid w:val="001670CE"/>
    <w:rsid w:val="00170C3A"/>
    <w:rsid w:val="001712A4"/>
    <w:rsid w:val="0017199E"/>
    <w:rsid w:val="00173527"/>
    <w:rsid w:val="00173624"/>
    <w:rsid w:val="00177EF4"/>
    <w:rsid w:val="001808B8"/>
    <w:rsid w:val="00181F1F"/>
    <w:rsid w:val="00182C5F"/>
    <w:rsid w:val="00185C83"/>
    <w:rsid w:val="001908AF"/>
    <w:rsid w:val="001916D6"/>
    <w:rsid w:val="00192447"/>
    <w:rsid w:val="00192C80"/>
    <w:rsid w:val="00192CB2"/>
    <w:rsid w:val="001935E1"/>
    <w:rsid w:val="001937E1"/>
    <w:rsid w:val="00197089"/>
    <w:rsid w:val="001A2A62"/>
    <w:rsid w:val="001A2FB0"/>
    <w:rsid w:val="001A52F1"/>
    <w:rsid w:val="001A70F5"/>
    <w:rsid w:val="001B1108"/>
    <w:rsid w:val="001B2CC4"/>
    <w:rsid w:val="001B39CA"/>
    <w:rsid w:val="001B5F98"/>
    <w:rsid w:val="001B625E"/>
    <w:rsid w:val="001B6749"/>
    <w:rsid w:val="001B682A"/>
    <w:rsid w:val="001B779A"/>
    <w:rsid w:val="001C00AA"/>
    <w:rsid w:val="001C5252"/>
    <w:rsid w:val="001D4CD5"/>
    <w:rsid w:val="001D5DC6"/>
    <w:rsid w:val="001D73A2"/>
    <w:rsid w:val="001E0A12"/>
    <w:rsid w:val="001E183F"/>
    <w:rsid w:val="001E335F"/>
    <w:rsid w:val="001E3A56"/>
    <w:rsid w:val="001E40C2"/>
    <w:rsid w:val="001E4CF6"/>
    <w:rsid w:val="001F1035"/>
    <w:rsid w:val="001F232A"/>
    <w:rsid w:val="001F37EE"/>
    <w:rsid w:val="001F4E61"/>
    <w:rsid w:val="0020076F"/>
    <w:rsid w:val="00200EBE"/>
    <w:rsid w:val="0020158C"/>
    <w:rsid w:val="00201995"/>
    <w:rsid w:val="0020261A"/>
    <w:rsid w:val="002069E2"/>
    <w:rsid w:val="00210E92"/>
    <w:rsid w:val="00210F5F"/>
    <w:rsid w:val="00211F86"/>
    <w:rsid w:val="0021334B"/>
    <w:rsid w:val="00213C66"/>
    <w:rsid w:val="002152CC"/>
    <w:rsid w:val="002163E6"/>
    <w:rsid w:val="00217B4B"/>
    <w:rsid w:val="00222155"/>
    <w:rsid w:val="002223CA"/>
    <w:rsid w:val="00223F22"/>
    <w:rsid w:val="002257D5"/>
    <w:rsid w:val="0023072D"/>
    <w:rsid w:val="00230D5B"/>
    <w:rsid w:val="002318EA"/>
    <w:rsid w:val="00231E11"/>
    <w:rsid w:val="00232F4C"/>
    <w:rsid w:val="002342E1"/>
    <w:rsid w:val="002405E1"/>
    <w:rsid w:val="00240C70"/>
    <w:rsid w:val="00242320"/>
    <w:rsid w:val="0024611A"/>
    <w:rsid w:val="00247496"/>
    <w:rsid w:val="00247CF8"/>
    <w:rsid w:val="00250A2F"/>
    <w:rsid w:val="0025209A"/>
    <w:rsid w:val="00253402"/>
    <w:rsid w:val="0025602D"/>
    <w:rsid w:val="00261119"/>
    <w:rsid w:val="00261A56"/>
    <w:rsid w:val="00264045"/>
    <w:rsid w:val="00265DEC"/>
    <w:rsid w:val="00270EBB"/>
    <w:rsid w:val="00275A3B"/>
    <w:rsid w:val="00282628"/>
    <w:rsid w:val="00285E5A"/>
    <w:rsid w:val="002907B9"/>
    <w:rsid w:val="002949B3"/>
    <w:rsid w:val="00294CA8"/>
    <w:rsid w:val="0029519F"/>
    <w:rsid w:val="002954A3"/>
    <w:rsid w:val="002962BD"/>
    <w:rsid w:val="00297BF8"/>
    <w:rsid w:val="002A0031"/>
    <w:rsid w:val="002A0B50"/>
    <w:rsid w:val="002A1113"/>
    <w:rsid w:val="002A4F77"/>
    <w:rsid w:val="002A7125"/>
    <w:rsid w:val="002B34B3"/>
    <w:rsid w:val="002B45E9"/>
    <w:rsid w:val="002B68A9"/>
    <w:rsid w:val="002B6FBD"/>
    <w:rsid w:val="002C1354"/>
    <w:rsid w:val="002C38C0"/>
    <w:rsid w:val="002C40BD"/>
    <w:rsid w:val="002C4BA7"/>
    <w:rsid w:val="002D01B4"/>
    <w:rsid w:val="002D01FE"/>
    <w:rsid w:val="002D43E1"/>
    <w:rsid w:val="002E1C08"/>
    <w:rsid w:val="002E44F3"/>
    <w:rsid w:val="002F36C8"/>
    <w:rsid w:val="002F40A6"/>
    <w:rsid w:val="002F4A4F"/>
    <w:rsid w:val="002F5AC1"/>
    <w:rsid w:val="00304A10"/>
    <w:rsid w:val="00311357"/>
    <w:rsid w:val="00311BF5"/>
    <w:rsid w:val="00314137"/>
    <w:rsid w:val="00315E6B"/>
    <w:rsid w:val="00322B45"/>
    <w:rsid w:val="00326F38"/>
    <w:rsid w:val="003278DD"/>
    <w:rsid w:val="00327D34"/>
    <w:rsid w:val="0033221F"/>
    <w:rsid w:val="003352D6"/>
    <w:rsid w:val="00335B7B"/>
    <w:rsid w:val="00336368"/>
    <w:rsid w:val="003373E7"/>
    <w:rsid w:val="00340302"/>
    <w:rsid w:val="00340D61"/>
    <w:rsid w:val="00344427"/>
    <w:rsid w:val="00345EAD"/>
    <w:rsid w:val="0034659B"/>
    <w:rsid w:val="003467A6"/>
    <w:rsid w:val="00346D88"/>
    <w:rsid w:val="003472E9"/>
    <w:rsid w:val="00347FE6"/>
    <w:rsid w:val="00352454"/>
    <w:rsid w:val="00353D76"/>
    <w:rsid w:val="00356B1B"/>
    <w:rsid w:val="00357F73"/>
    <w:rsid w:val="00362147"/>
    <w:rsid w:val="00366293"/>
    <w:rsid w:val="003675B2"/>
    <w:rsid w:val="00370D6B"/>
    <w:rsid w:val="003739A1"/>
    <w:rsid w:val="00375BF6"/>
    <w:rsid w:val="00376A75"/>
    <w:rsid w:val="00380A53"/>
    <w:rsid w:val="00380D79"/>
    <w:rsid w:val="0038189E"/>
    <w:rsid w:val="0038433A"/>
    <w:rsid w:val="00385790"/>
    <w:rsid w:val="00386696"/>
    <w:rsid w:val="00390100"/>
    <w:rsid w:val="0039160A"/>
    <w:rsid w:val="0039292C"/>
    <w:rsid w:val="003930E4"/>
    <w:rsid w:val="00394493"/>
    <w:rsid w:val="00394BEB"/>
    <w:rsid w:val="00395675"/>
    <w:rsid w:val="003A3BD4"/>
    <w:rsid w:val="003A4D54"/>
    <w:rsid w:val="003A4DA3"/>
    <w:rsid w:val="003A5764"/>
    <w:rsid w:val="003A77A1"/>
    <w:rsid w:val="003A786F"/>
    <w:rsid w:val="003A79A3"/>
    <w:rsid w:val="003B0C8B"/>
    <w:rsid w:val="003B4256"/>
    <w:rsid w:val="003B42DE"/>
    <w:rsid w:val="003B4336"/>
    <w:rsid w:val="003B664D"/>
    <w:rsid w:val="003C0062"/>
    <w:rsid w:val="003C107B"/>
    <w:rsid w:val="003C23E5"/>
    <w:rsid w:val="003C24B5"/>
    <w:rsid w:val="003C2DE1"/>
    <w:rsid w:val="003C3B5A"/>
    <w:rsid w:val="003C449B"/>
    <w:rsid w:val="003C780E"/>
    <w:rsid w:val="003D2CD4"/>
    <w:rsid w:val="003D3714"/>
    <w:rsid w:val="003D4C6C"/>
    <w:rsid w:val="003D67C3"/>
    <w:rsid w:val="003D69E7"/>
    <w:rsid w:val="003E1228"/>
    <w:rsid w:val="003E557F"/>
    <w:rsid w:val="003F1F89"/>
    <w:rsid w:val="003F49BB"/>
    <w:rsid w:val="003F4E7F"/>
    <w:rsid w:val="00405D70"/>
    <w:rsid w:val="00412DBC"/>
    <w:rsid w:val="00413A1C"/>
    <w:rsid w:val="00414DC8"/>
    <w:rsid w:val="00420723"/>
    <w:rsid w:val="00424AE9"/>
    <w:rsid w:val="00425249"/>
    <w:rsid w:val="00431C99"/>
    <w:rsid w:val="004329BB"/>
    <w:rsid w:val="00434321"/>
    <w:rsid w:val="00434E97"/>
    <w:rsid w:val="0043632C"/>
    <w:rsid w:val="00436BD4"/>
    <w:rsid w:val="004424FE"/>
    <w:rsid w:val="00442C51"/>
    <w:rsid w:val="00442CE9"/>
    <w:rsid w:val="00444BB0"/>
    <w:rsid w:val="00446CAA"/>
    <w:rsid w:val="004535E4"/>
    <w:rsid w:val="0045765B"/>
    <w:rsid w:val="00470506"/>
    <w:rsid w:val="00471226"/>
    <w:rsid w:val="0047125B"/>
    <w:rsid w:val="004713B5"/>
    <w:rsid w:val="004718A9"/>
    <w:rsid w:val="00472836"/>
    <w:rsid w:val="00475119"/>
    <w:rsid w:val="00477715"/>
    <w:rsid w:val="00477815"/>
    <w:rsid w:val="0048081C"/>
    <w:rsid w:val="00481DDB"/>
    <w:rsid w:val="00482048"/>
    <w:rsid w:val="00482389"/>
    <w:rsid w:val="00487400"/>
    <w:rsid w:val="004911F8"/>
    <w:rsid w:val="004962C5"/>
    <w:rsid w:val="004962CC"/>
    <w:rsid w:val="00496B4F"/>
    <w:rsid w:val="00497341"/>
    <w:rsid w:val="0049736A"/>
    <w:rsid w:val="004A1F98"/>
    <w:rsid w:val="004A2BE9"/>
    <w:rsid w:val="004A422C"/>
    <w:rsid w:val="004A4509"/>
    <w:rsid w:val="004B02DC"/>
    <w:rsid w:val="004B2C01"/>
    <w:rsid w:val="004B4AED"/>
    <w:rsid w:val="004B6C80"/>
    <w:rsid w:val="004C1CF0"/>
    <w:rsid w:val="004C4679"/>
    <w:rsid w:val="004C5BF9"/>
    <w:rsid w:val="004D159A"/>
    <w:rsid w:val="004D376C"/>
    <w:rsid w:val="004D5BA2"/>
    <w:rsid w:val="004E390D"/>
    <w:rsid w:val="004E3E3A"/>
    <w:rsid w:val="004E4548"/>
    <w:rsid w:val="004E5B6B"/>
    <w:rsid w:val="004E6ECC"/>
    <w:rsid w:val="004E7C85"/>
    <w:rsid w:val="004F0432"/>
    <w:rsid w:val="004F1C28"/>
    <w:rsid w:val="004F3890"/>
    <w:rsid w:val="004F3A5F"/>
    <w:rsid w:val="004F684B"/>
    <w:rsid w:val="005023D3"/>
    <w:rsid w:val="005034CA"/>
    <w:rsid w:val="00503575"/>
    <w:rsid w:val="00504D56"/>
    <w:rsid w:val="0050763E"/>
    <w:rsid w:val="00507B34"/>
    <w:rsid w:val="00510108"/>
    <w:rsid w:val="00511A5E"/>
    <w:rsid w:val="00511C0E"/>
    <w:rsid w:val="005132C8"/>
    <w:rsid w:val="0051736D"/>
    <w:rsid w:val="00531DC0"/>
    <w:rsid w:val="00532BF7"/>
    <w:rsid w:val="00535590"/>
    <w:rsid w:val="0053591B"/>
    <w:rsid w:val="00537B67"/>
    <w:rsid w:val="00540CA6"/>
    <w:rsid w:val="0054225F"/>
    <w:rsid w:val="0054360E"/>
    <w:rsid w:val="00547F95"/>
    <w:rsid w:val="00552450"/>
    <w:rsid w:val="005530DE"/>
    <w:rsid w:val="0055430C"/>
    <w:rsid w:val="005549FD"/>
    <w:rsid w:val="005577AF"/>
    <w:rsid w:val="005631C4"/>
    <w:rsid w:val="00566581"/>
    <w:rsid w:val="0057588A"/>
    <w:rsid w:val="005804EF"/>
    <w:rsid w:val="00583F88"/>
    <w:rsid w:val="005848DF"/>
    <w:rsid w:val="00586253"/>
    <w:rsid w:val="00586612"/>
    <w:rsid w:val="00587F68"/>
    <w:rsid w:val="0059130E"/>
    <w:rsid w:val="00595948"/>
    <w:rsid w:val="00597A0C"/>
    <w:rsid w:val="005A1443"/>
    <w:rsid w:val="005A2D2D"/>
    <w:rsid w:val="005A5B0B"/>
    <w:rsid w:val="005B10F9"/>
    <w:rsid w:val="005B2817"/>
    <w:rsid w:val="005B650B"/>
    <w:rsid w:val="005C0A6C"/>
    <w:rsid w:val="005C1F7E"/>
    <w:rsid w:val="005C312C"/>
    <w:rsid w:val="005C3765"/>
    <w:rsid w:val="005C3D75"/>
    <w:rsid w:val="005C7BC4"/>
    <w:rsid w:val="005D1161"/>
    <w:rsid w:val="005D3EB5"/>
    <w:rsid w:val="005E19BF"/>
    <w:rsid w:val="005E2E77"/>
    <w:rsid w:val="005E5ABD"/>
    <w:rsid w:val="005E7B73"/>
    <w:rsid w:val="005F219D"/>
    <w:rsid w:val="005F2285"/>
    <w:rsid w:val="005F2902"/>
    <w:rsid w:val="005F2D55"/>
    <w:rsid w:val="005F304D"/>
    <w:rsid w:val="005F69AC"/>
    <w:rsid w:val="00602D87"/>
    <w:rsid w:val="00605B02"/>
    <w:rsid w:val="00611947"/>
    <w:rsid w:val="00612B3B"/>
    <w:rsid w:val="00620A68"/>
    <w:rsid w:val="00620C39"/>
    <w:rsid w:val="00621F15"/>
    <w:rsid w:val="00625025"/>
    <w:rsid w:val="00627B18"/>
    <w:rsid w:val="00633A22"/>
    <w:rsid w:val="006348FB"/>
    <w:rsid w:val="00634ED8"/>
    <w:rsid w:val="00635B8F"/>
    <w:rsid w:val="0063642A"/>
    <w:rsid w:val="00636618"/>
    <w:rsid w:val="00640F39"/>
    <w:rsid w:val="006564FA"/>
    <w:rsid w:val="00656659"/>
    <w:rsid w:val="006724EB"/>
    <w:rsid w:val="006726ED"/>
    <w:rsid w:val="0067372B"/>
    <w:rsid w:val="00673C61"/>
    <w:rsid w:val="006756F0"/>
    <w:rsid w:val="0067581C"/>
    <w:rsid w:val="00677646"/>
    <w:rsid w:val="00680EFA"/>
    <w:rsid w:val="00685C0D"/>
    <w:rsid w:val="006866DD"/>
    <w:rsid w:val="00692739"/>
    <w:rsid w:val="00697F3B"/>
    <w:rsid w:val="006A11A1"/>
    <w:rsid w:val="006A1A71"/>
    <w:rsid w:val="006A49DD"/>
    <w:rsid w:val="006B11CC"/>
    <w:rsid w:val="006B1819"/>
    <w:rsid w:val="006B3CE6"/>
    <w:rsid w:val="006C2CB2"/>
    <w:rsid w:val="006C3CE4"/>
    <w:rsid w:val="006C49CE"/>
    <w:rsid w:val="006C50FA"/>
    <w:rsid w:val="006C681C"/>
    <w:rsid w:val="006D39B9"/>
    <w:rsid w:val="006D51C8"/>
    <w:rsid w:val="006E0010"/>
    <w:rsid w:val="006E1A30"/>
    <w:rsid w:val="006E2EBD"/>
    <w:rsid w:val="006E46E4"/>
    <w:rsid w:val="006E6086"/>
    <w:rsid w:val="006F239A"/>
    <w:rsid w:val="006F35D7"/>
    <w:rsid w:val="006F4B5B"/>
    <w:rsid w:val="00701B6A"/>
    <w:rsid w:val="007023D9"/>
    <w:rsid w:val="00704460"/>
    <w:rsid w:val="00704FF8"/>
    <w:rsid w:val="00707D3E"/>
    <w:rsid w:val="00711B6D"/>
    <w:rsid w:val="007131EE"/>
    <w:rsid w:val="007151DB"/>
    <w:rsid w:val="00721B33"/>
    <w:rsid w:val="00722182"/>
    <w:rsid w:val="00722F68"/>
    <w:rsid w:val="00727F54"/>
    <w:rsid w:val="0073059A"/>
    <w:rsid w:val="007318D7"/>
    <w:rsid w:val="00733375"/>
    <w:rsid w:val="00734318"/>
    <w:rsid w:val="0073553F"/>
    <w:rsid w:val="00736686"/>
    <w:rsid w:val="007408B4"/>
    <w:rsid w:val="00741940"/>
    <w:rsid w:val="00742873"/>
    <w:rsid w:val="00745935"/>
    <w:rsid w:val="00750F3D"/>
    <w:rsid w:val="00752799"/>
    <w:rsid w:val="00752EE5"/>
    <w:rsid w:val="00755BF2"/>
    <w:rsid w:val="007612E7"/>
    <w:rsid w:val="00761DD5"/>
    <w:rsid w:val="007646B2"/>
    <w:rsid w:val="00764F04"/>
    <w:rsid w:val="00765C39"/>
    <w:rsid w:val="0077006A"/>
    <w:rsid w:val="00770B90"/>
    <w:rsid w:val="00772120"/>
    <w:rsid w:val="00773D40"/>
    <w:rsid w:val="0077501C"/>
    <w:rsid w:val="00776FA4"/>
    <w:rsid w:val="00777616"/>
    <w:rsid w:val="0078125E"/>
    <w:rsid w:val="00781EB8"/>
    <w:rsid w:val="0078456F"/>
    <w:rsid w:val="00787CF8"/>
    <w:rsid w:val="00787EE9"/>
    <w:rsid w:val="00792946"/>
    <w:rsid w:val="0079475E"/>
    <w:rsid w:val="0079709E"/>
    <w:rsid w:val="007A0686"/>
    <w:rsid w:val="007A1530"/>
    <w:rsid w:val="007A5A0B"/>
    <w:rsid w:val="007B4072"/>
    <w:rsid w:val="007B4D8E"/>
    <w:rsid w:val="007B560B"/>
    <w:rsid w:val="007B78D2"/>
    <w:rsid w:val="007C182E"/>
    <w:rsid w:val="007C2D50"/>
    <w:rsid w:val="007C5D57"/>
    <w:rsid w:val="007C6D38"/>
    <w:rsid w:val="007D25F4"/>
    <w:rsid w:val="007D3F0C"/>
    <w:rsid w:val="007D649F"/>
    <w:rsid w:val="007D6AF9"/>
    <w:rsid w:val="007E4A23"/>
    <w:rsid w:val="007E4B04"/>
    <w:rsid w:val="007E56B1"/>
    <w:rsid w:val="007F1A26"/>
    <w:rsid w:val="007F48C9"/>
    <w:rsid w:val="007F5AA0"/>
    <w:rsid w:val="00800480"/>
    <w:rsid w:val="00804F08"/>
    <w:rsid w:val="008062F8"/>
    <w:rsid w:val="00807627"/>
    <w:rsid w:val="00815BAD"/>
    <w:rsid w:val="00815DD9"/>
    <w:rsid w:val="0082237F"/>
    <w:rsid w:val="0082429E"/>
    <w:rsid w:val="00824A34"/>
    <w:rsid w:val="00824F64"/>
    <w:rsid w:val="008250EB"/>
    <w:rsid w:val="00826DA5"/>
    <w:rsid w:val="00831E71"/>
    <w:rsid w:val="00831EB5"/>
    <w:rsid w:val="00832133"/>
    <w:rsid w:val="00833F32"/>
    <w:rsid w:val="00835E98"/>
    <w:rsid w:val="00840489"/>
    <w:rsid w:val="0084206C"/>
    <w:rsid w:val="0084303A"/>
    <w:rsid w:val="00846C4E"/>
    <w:rsid w:val="0085219F"/>
    <w:rsid w:val="00852E5E"/>
    <w:rsid w:val="00852F5C"/>
    <w:rsid w:val="0085654C"/>
    <w:rsid w:val="0085708E"/>
    <w:rsid w:val="0086274B"/>
    <w:rsid w:val="00865000"/>
    <w:rsid w:val="00870D23"/>
    <w:rsid w:val="00870D37"/>
    <w:rsid w:val="00873E30"/>
    <w:rsid w:val="008745DA"/>
    <w:rsid w:val="00874B43"/>
    <w:rsid w:val="008751EA"/>
    <w:rsid w:val="00876410"/>
    <w:rsid w:val="00882795"/>
    <w:rsid w:val="00882E6F"/>
    <w:rsid w:val="00884920"/>
    <w:rsid w:val="00885064"/>
    <w:rsid w:val="0088788B"/>
    <w:rsid w:val="00890318"/>
    <w:rsid w:val="008909B7"/>
    <w:rsid w:val="00890D23"/>
    <w:rsid w:val="00891034"/>
    <w:rsid w:val="00891888"/>
    <w:rsid w:val="00891959"/>
    <w:rsid w:val="008925A5"/>
    <w:rsid w:val="00892C34"/>
    <w:rsid w:val="0089407A"/>
    <w:rsid w:val="008942CA"/>
    <w:rsid w:val="00894388"/>
    <w:rsid w:val="008944ED"/>
    <w:rsid w:val="00896AE7"/>
    <w:rsid w:val="008A1F98"/>
    <w:rsid w:val="008A2BB1"/>
    <w:rsid w:val="008A36BE"/>
    <w:rsid w:val="008A5CFA"/>
    <w:rsid w:val="008B014E"/>
    <w:rsid w:val="008B482F"/>
    <w:rsid w:val="008B4FA1"/>
    <w:rsid w:val="008B7708"/>
    <w:rsid w:val="008C0F42"/>
    <w:rsid w:val="008C1B7E"/>
    <w:rsid w:val="008C3735"/>
    <w:rsid w:val="008C3E20"/>
    <w:rsid w:val="008C40CD"/>
    <w:rsid w:val="008C4BAF"/>
    <w:rsid w:val="008C646E"/>
    <w:rsid w:val="008D33D0"/>
    <w:rsid w:val="008D4AF8"/>
    <w:rsid w:val="008D5037"/>
    <w:rsid w:val="008D63BF"/>
    <w:rsid w:val="008D7B8C"/>
    <w:rsid w:val="008E2AF2"/>
    <w:rsid w:val="008E34C4"/>
    <w:rsid w:val="008E39F1"/>
    <w:rsid w:val="008E47B7"/>
    <w:rsid w:val="008E6798"/>
    <w:rsid w:val="008E6AAD"/>
    <w:rsid w:val="008F09A2"/>
    <w:rsid w:val="008F44BE"/>
    <w:rsid w:val="008F4A56"/>
    <w:rsid w:val="008F5110"/>
    <w:rsid w:val="008F5C92"/>
    <w:rsid w:val="00900044"/>
    <w:rsid w:val="00901E6C"/>
    <w:rsid w:val="009026B7"/>
    <w:rsid w:val="009047E0"/>
    <w:rsid w:val="00904D5A"/>
    <w:rsid w:val="00907B42"/>
    <w:rsid w:val="00910847"/>
    <w:rsid w:val="00912881"/>
    <w:rsid w:val="00913C98"/>
    <w:rsid w:val="00914D9B"/>
    <w:rsid w:val="00915F94"/>
    <w:rsid w:val="00916509"/>
    <w:rsid w:val="009170FD"/>
    <w:rsid w:val="00923ED7"/>
    <w:rsid w:val="00923FD3"/>
    <w:rsid w:val="009241ED"/>
    <w:rsid w:val="009246FE"/>
    <w:rsid w:val="00927103"/>
    <w:rsid w:val="009329AC"/>
    <w:rsid w:val="00932F9E"/>
    <w:rsid w:val="00933CB3"/>
    <w:rsid w:val="0093664D"/>
    <w:rsid w:val="0094152A"/>
    <w:rsid w:val="00941836"/>
    <w:rsid w:val="00954B2D"/>
    <w:rsid w:val="00954F6D"/>
    <w:rsid w:val="0095745A"/>
    <w:rsid w:val="00960379"/>
    <w:rsid w:val="00960901"/>
    <w:rsid w:val="0096436B"/>
    <w:rsid w:val="00967078"/>
    <w:rsid w:val="00971BFD"/>
    <w:rsid w:val="00972087"/>
    <w:rsid w:val="00973203"/>
    <w:rsid w:val="00973EAB"/>
    <w:rsid w:val="009804C7"/>
    <w:rsid w:val="00980F6A"/>
    <w:rsid w:val="00982483"/>
    <w:rsid w:val="00982DB7"/>
    <w:rsid w:val="00984D29"/>
    <w:rsid w:val="00993C6D"/>
    <w:rsid w:val="00994803"/>
    <w:rsid w:val="009950D5"/>
    <w:rsid w:val="00996287"/>
    <w:rsid w:val="009A0498"/>
    <w:rsid w:val="009A06DA"/>
    <w:rsid w:val="009A2771"/>
    <w:rsid w:val="009A37E7"/>
    <w:rsid w:val="009A428A"/>
    <w:rsid w:val="009B004B"/>
    <w:rsid w:val="009B108B"/>
    <w:rsid w:val="009B14F7"/>
    <w:rsid w:val="009B1F44"/>
    <w:rsid w:val="009B2838"/>
    <w:rsid w:val="009C07C5"/>
    <w:rsid w:val="009C0D77"/>
    <w:rsid w:val="009C4432"/>
    <w:rsid w:val="009C6522"/>
    <w:rsid w:val="009D16E8"/>
    <w:rsid w:val="009D2542"/>
    <w:rsid w:val="009D39BC"/>
    <w:rsid w:val="009D3E0B"/>
    <w:rsid w:val="009D5F4C"/>
    <w:rsid w:val="009D64C4"/>
    <w:rsid w:val="009E116B"/>
    <w:rsid w:val="009E2584"/>
    <w:rsid w:val="009F044C"/>
    <w:rsid w:val="009F10A1"/>
    <w:rsid w:val="009F31D5"/>
    <w:rsid w:val="009F46D4"/>
    <w:rsid w:val="009F5C35"/>
    <w:rsid w:val="009F5DEE"/>
    <w:rsid w:val="009F7CFD"/>
    <w:rsid w:val="00A03120"/>
    <w:rsid w:val="00A03475"/>
    <w:rsid w:val="00A03564"/>
    <w:rsid w:val="00A03B6D"/>
    <w:rsid w:val="00A10235"/>
    <w:rsid w:val="00A17274"/>
    <w:rsid w:val="00A1751E"/>
    <w:rsid w:val="00A219EF"/>
    <w:rsid w:val="00A21D4A"/>
    <w:rsid w:val="00A23C3C"/>
    <w:rsid w:val="00A23F9A"/>
    <w:rsid w:val="00A24B03"/>
    <w:rsid w:val="00A26523"/>
    <w:rsid w:val="00A2663C"/>
    <w:rsid w:val="00A27788"/>
    <w:rsid w:val="00A3341E"/>
    <w:rsid w:val="00A33909"/>
    <w:rsid w:val="00A33FF6"/>
    <w:rsid w:val="00A354D9"/>
    <w:rsid w:val="00A40705"/>
    <w:rsid w:val="00A555C1"/>
    <w:rsid w:val="00A62373"/>
    <w:rsid w:val="00A64796"/>
    <w:rsid w:val="00A66848"/>
    <w:rsid w:val="00A67661"/>
    <w:rsid w:val="00A67C2D"/>
    <w:rsid w:val="00A67CEA"/>
    <w:rsid w:val="00A67E04"/>
    <w:rsid w:val="00A7027F"/>
    <w:rsid w:val="00A70FAC"/>
    <w:rsid w:val="00A7110F"/>
    <w:rsid w:val="00A71BD6"/>
    <w:rsid w:val="00A7324A"/>
    <w:rsid w:val="00A7434D"/>
    <w:rsid w:val="00A81A90"/>
    <w:rsid w:val="00A86593"/>
    <w:rsid w:val="00A91557"/>
    <w:rsid w:val="00A9549E"/>
    <w:rsid w:val="00A95871"/>
    <w:rsid w:val="00A965E4"/>
    <w:rsid w:val="00A96900"/>
    <w:rsid w:val="00A97351"/>
    <w:rsid w:val="00A974CB"/>
    <w:rsid w:val="00AA0B3C"/>
    <w:rsid w:val="00AA1C37"/>
    <w:rsid w:val="00AA24D9"/>
    <w:rsid w:val="00AA7F04"/>
    <w:rsid w:val="00AB5FFA"/>
    <w:rsid w:val="00AB7014"/>
    <w:rsid w:val="00AC1CA3"/>
    <w:rsid w:val="00AC2237"/>
    <w:rsid w:val="00AC22A0"/>
    <w:rsid w:val="00AC2B80"/>
    <w:rsid w:val="00AC341A"/>
    <w:rsid w:val="00AC44F7"/>
    <w:rsid w:val="00AC6D75"/>
    <w:rsid w:val="00AD15BA"/>
    <w:rsid w:val="00AE0474"/>
    <w:rsid w:val="00AE14BF"/>
    <w:rsid w:val="00AE5C35"/>
    <w:rsid w:val="00AE6CB7"/>
    <w:rsid w:val="00AF144B"/>
    <w:rsid w:val="00AF1E42"/>
    <w:rsid w:val="00AF286B"/>
    <w:rsid w:val="00AF3297"/>
    <w:rsid w:val="00AF4004"/>
    <w:rsid w:val="00AF4030"/>
    <w:rsid w:val="00B023A9"/>
    <w:rsid w:val="00B04489"/>
    <w:rsid w:val="00B05525"/>
    <w:rsid w:val="00B06276"/>
    <w:rsid w:val="00B108BD"/>
    <w:rsid w:val="00B164F2"/>
    <w:rsid w:val="00B17FD8"/>
    <w:rsid w:val="00B23211"/>
    <w:rsid w:val="00B23994"/>
    <w:rsid w:val="00B26E04"/>
    <w:rsid w:val="00B275EF"/>
    <w:rsid w:val="00B2799F"/>
    <w:rsid w:val="00B34853"/>
    <w:rsid w:val="00B348F0"/>
    <w:rsid w:val="00B35814"/>
    <w:rsid w:val="00B4273B"/>
    <w:rsid w:val="00B4282B"/>
    <w:rsid w:val="00B44552"/>
    <w:rsid w:val="00B45EA5"/>
    <w:rsid w:val="00B47533"/>
    <w:rsid w:val="00B517C2"/>
    <w:rsid w:val="00B53B15"/>
    <w:rsid w:val="00B54746"/>
    <w:rsid w:val="00B60608"/>
    <w:rsid w:val="00B63591"/>
    <w:rsid w:val="00B64859"/>
    <w:rsid w:val="00B655C7"/>
    <w:rsid w:val="00B667AB"/>
    <w:rsid w:val="00B66F07"/>
    <w:rsid w:val="00B7014E"/>
    <w:rsid w:val="00B70452"/>
    <w:rsid w:val="00B753F0"/>
    <w:rsid w:val="00B81C9D"/>
    <w:rsid w:val="00B83630"/>
    <w:rsid w:val="00B83976"/>
    <w:rsid w:val="00B83F59"/>
    <w:rsid w:val="00B84C88"/>
    <w:rsid w:val="00B85212"/>
    <w:rsid w:val="00B875D6"/>
    <w:rsid w:val="00B92CEC"/>
    <w:rsid w:val="00B97C27"/>
    <w:rsid w:val="00BA363D"/>
    <w:rsid w:val="00BA46F8"/>
    <w:rsid w:val="00BA4D8C"/>
    <w:rsid w:val="00BA6305"/>
    <w:rsid w:val="00BB031E"/>
    <w:rsid w:val="00BB2167"/>
    <w:rsid w:val="00BB2417"/>
    <w:rsid w:val="00BB3408"/>
    <w:rsid w:val="00BB4D59"/>
    <w:rsid w:val="00BB66E8"/>
    <w:rsid w:val="00BC24FB"/>
    <w:rsid w:val="00BC701E"/>
    <w:rsid w:val="00BD098D"/>
    <w:rsid w:val="00BD0E5F"/>
    <w:rsid w:val="00BD4CF3"/>
    <w:rsid w:val="00BE2954"/>
    <w:rsid w:val="00BE2EB1"/>
    <w:rsid w:val="00BE2F30"/>
    <w:rsid w:val="00BE53C3"/>
    <w:rsid w:val="00BE594F"/>
    <w:rsid w:val="00BF1C11"/>
    <w:rsid w:val="00BF1C72"/>
    <w:rsid w:val="00BF74A5"/>
    <w:rsid w:val="00BF799B"/>
    <w:rsid w:val="00C0101D"/>
    <w:rsid w:val="00C139AA"/>
    <w:rsid w:val="00C15046"/>
    <w:rsid w:val="00C163BA"/>
    <w:rsid w:val="00C20758"/>
    <w:rsid w:val="00C22538"/>
    <w:rsid w:val="00C2449F"/>
    <w:rsid w:val="00C27E24"/>
    <w:rsid w:val="00C31015"/>
    <w:rsid w:val="00C326A4"/>
    <w:rsid w:val="00C32815"/>
    <w:rsid w:val="00C339E5"/>
    <w:rsid w:val="00C356B8"/>
    <w:rsid w:val="00C37F01"/>
    <w:rsid w:val="00C40F65"/>
    <w:rsid w:val="00C41FBB"/>
    <w:rsid w:val="00C42629"/>
    <w:rsid w:val="00C42970"/>
    <w:rsid w:val="00C4471D"/>
    <w:rsid w:val="00C45760"/>
    <w:rsid w:val="00C463DB"/>
    <w:rsid w:val="00C46B7D"/>
    <w:rsid w:val="00C47309"/>
    <w:rsid w:val="00C50B22"/>
    <w:rsid w:val="00C555B2"/>
    <w:rsid w:val="00C55AC6"/>
    <w:rsid w:val="00C56E62"/>
    <w:rsid w:val="00C57D7C"/>
    <w:rsid w:val="00C62488"/>
    <w:rsid w:val="00C62861"/>
    <w:rsid w:val="00C62A02"/>
    <w:rsid w:val="00C62D5C"/>
    <w:rsid w:val="00C651FF"/>
    <w:rsid w:val="00C67265"/>
    <w:rsid w:val="00C70509"/>
    <w:rsid w:val="00C74CE1"/>
    <w:rsid w:val="00C806EA"/>
    <w:rsid w:val="00C817A8"/>
    <w:rsid w:val="00C82070"/>
    <w:rsid w:val="00C847CD"/>
    <w:rsid w:val="00C84BEF"/>
    <w:rsid w:val="00C85496"/>
    <w:rsid w:val="00C871D7"/>
    <w:rsid w:val="00C9355C"/>
    <w:rsid w:val="00C947D0"/>
    <w:rsid w:val="00C9593A"/>
    <w:rsid w:val="00C971F2"/>
    <w:rsid w:val="00CA7720"/>
    <w:rsid w:val="00CB0332"/>
    <w:rsid w:val="00CB04D8"/>
    <w:rsid w:val="00CB4C7D"/>
    <w:rsid w:val="00CB5E97"/>
    <w:rsid w:val="00CC1B86"/>
    <w:rsid w:val="00CC3171"/>
    <w:rsid w:val="00CC7A30"/>
    <w:rsid w:val="00CD1D85"/>
    <w:rsid w:val="00CD2543"/>
    <w:rsid w:val="00CD5797"/>
    <w:rsid w:val="00CE01D6"/>
    <w:rsid w:val="00CE11E6"/>
    <w:rsid w:val="00CE29C1"/>
    <w:rsid w:val="00CF34A9"/>
    <w:rsid w:val="00CF3DAB"/>
    <w:rsid w:val="00CF7E43"/>
    <w:rsid w:val="00D007E7"/>
    <w:rsid w:val="00D0188D"/>
    <w:rsid w:val="00D018A7"/>
    <w:rsid w:val="00D026E5"/>
    <w:rsid w:val="00D0378C"/>
    <w:rsid w:val="00D051AF"/>
    <w:rsid w:val="00D0526D"/>
    <w:rsid w:val="00D06454"/>
    <w:rsid w:val="00D07A96"/>
    <w:rsid w:val="00D104BC"/>
    <w:rsid w:val="00D1066C"/>
    <w:rsid w:val="00D116D6"/>
    <w:rsid w:val="00D1200B"/>
    <w:rsid w:val="00D122AE"/>
    <w:rsid w:val="00D1416B"/>
    <w:rsid w:val="00D15649"/>
    <w:rsid w:val="00D16C96"/>
    <w:rsid w:val="00D23C2B"/>
    <w:rsid w:val="00D2439E"/>
    <w:rsid w:val="00D25185"/>
    <w:rsid w:val="00D27CD5"/>
    <w:rsid w:val="00D27DD4"/>
    <w:rsid w:val="00D31A0B"/>
    <w:rsid w:val="00D34BA7"/>
    <w:rsid w:val="00D3548A"/>
    <w:rsid w:val="00D37190"/>
    <w:rsid w:val="00D37540"/>
    <w:rsid w:val="00D408C8"/>
    <w:rsid w:val="00D41EAA"/>
    <w:rsid w:val="00D43544"/>
    <w:rsid w:val="00D46F4A"/>
    <w:rsid w:val="00D50BE1"/>
    <w:rsid w:val="00D51BC5"/>
    <w:rsid w:val="00D62052"/>
    <w:rsid w:val="00D650B8"/>
    <w:rsid w:val="00D65E89"/>
    <w:rsid w:val="00D660DB"/>
    <w:rsid w:val="00D72992"/>
    <w:rsid w:val="00D72F4F"/>
    <w:rsid w:val="00D74F5B"/>
    <w:rsid w:val="00D82AA7"/>
    <w:rsid w:val="00D82F6E"/>
    <w:rsid w:val="00D83737"/>
    <w:rsid w:val="00D83D74"/>
    <w:rsid w:val="00D84E31"/>
    <w:rsid w:val="00D85431"/>
    <w:rsid w:val="00D866B8"/>
    <w:rsid w:val="00D90150"/>
    <w:rsid w:val="00D90AD4"/>
    <w:rsid w:val="00D910B8"/>
    <w:rsid w:val="00D92439"/>
    <w:rsid w:val="00D925D8"/>
    <w:rsid w:val="00D947AA"/>
    <w:rsid w:val="00D94E53"/>
    <w:rsid w:val="00D951E1"/>
    <w:rsid w:val="00D95776"/>
    <w:rsid w:val="00DA0078"/>
    <w:rsid w:val="00DA1DAA"/>
    <w:rsid w:val="00DA1DE1"/>
    <w:rsid w:val="00DA2670"/>
    <w:rsid w:val="00DA304F"/>
    <w:rsid w:val="00DA30A7"/>
    <w:rsid w:val="00DB08F2"/>
    <w:rsid w:val="00DB435C"/>
    <w:rsid w:val="00DB5BD4"/>
    <w:rsid w:val="00DC5707"/>
    <w:rsid w:val="00DC6313"/>
    <w:rsid w:val="00DC6A47"/>
    <w:rsid w:val="00DC6D21"/>
    <w:rsid w:val="00DD185A"/>
    <w:rsid w:val="00DD1C9E"/>
    <w:rsid w:val="00DD2A8E"/>
    <w:rsid w:val="00DD3EEF"/>
    <w:rsid w:val="00DE1E0B"/>
    <w:rsid w:val="00DE2BD9"/>
    <w:rsid w:val="00DE2E13"/>
    <w:rsid w:val="00DE3FE8"/>
    <w:rsid w:val="00DF040B"/>
    <w:rsid w:val="00DF505F"/>
    <w:rsid w:val="00DF5CB1"/>
    <w:rsid w:val="00DF6E07"/>
    <w:rsid w:val="00E00EA5"/>
    <w:rsid w:val="00E02478"/>
    <w:rsid w:val="00E039E7"/>
    <w:rsid w:val="00E03E9F"/>
    <w:rsid w:val="00E045F1"/>
    <w:rsid w:val="00E04DFD"/>
    <w:rsid w:val="00E07ABD"/>
    <w:rsid w:val="00E11E34"/>
    <w:rsid w:val="00E11F26"/>
    <w:rsid w:val="00E1598D"/>
    <w:rsid w:val="00E162E0"/>
    <w:rsid w:val="00E20E73"/>
    <w:rsid w:val="00E235BD"/>
    <w:rsid w:val="00E2383A"/>
    <w:rsid w:val="00E24EFB"/>
    <w:rsid w:val="00E260EE"/>
    <w:rsid w:val="00E26731"/>
    <w:rsid w:val="00E2697F"/>
    <w:rsid w:val="00E30842"/>
    <w:rsid w:val="00E327D4"/>
    <w:rsid w:val="00E33A18"/>
    <w:rsid w:val="00E355AC"/>
    <w:rsid w:val="00E35BA4"/>
    <w:rsid w:val="00E400EF"/>
    <w:rsid w:val="00E40C57"/>
    <w:rsid w:val="00E41EA7"/>
    <w:rsid w:val="00E434F0"/>
    <w:rsid w:val="00E436C9"/>
    <w:rsid w:val="00E4659A"/>
    <w:rsid w:val="00E46EE4"/>
    <w:rsid w:val="00E472DA"/>
    <w:rsid w:val="00E502F7"/>
    <w:rsid w:val="00E50CCA"/>
    <w:rsid w:val="00E515E1"/>
    <w:rsid w:val="00E5672B"/>
    <w:rsid w:val="00E57DBA"/>
    <w:rsid w:val="00E6021D"/>
    <w:rsid w:val="00E611E5"/>
    <w:rsid w:val="00E651B7"/>
    <w:rsid w:val="00E65E25"/>
    <w:rsid w:val="00E70984"/>
    <w:rsid w:val="00E7137C"/>
    <w:rsid w:val="00E71BF8"/>
    <w:rsid w:val="00E72E2C"/>
    <w:rsid w:val="00E7325C"/>
    <w:rsid w:val="00E73DCB"/>
    <w:rsid w:val="00E747DC"/>
    <w:rsid w:val="00E7601B"/>
    <w:rsid w:val="00E80497"/>
    <w:rsid w:val="00E82B7B"/>
    <w:rsid w:val="00E844B1"/>
    <w:rsid w:val="00E85D6E"/>
    <w:rsid w:val="00E87A20"/>
    <w:rsid w:val="00E87D59"/>
    <w:rsid w:val="00E94868"/>
    <w:rsid w:val="00E95AF0"/>
    <w:rsid w:val="00EA0107"/>
    <w:rsid w:val="00EA38AB"/>
    <w:rsid w:val="00EA4EDC"/>
    <w:rsid w:val="00EA7A87"/>
    <w:rsid w:val="00EB0F02"/>
    <w:rsid w:val="00EB13D0"/>
    <w:rsid w:val="00EB3730"/>
    <w:rsid w:val="00EB458A"/>
    <w:rsid w:val="00EB5B7F"/>
    <w:rsid w:val="00EB6362"/>
    <w:rsid w:val="00EC0779"/>
    <w:rsid w:val="00EC219C"/>
    <w:rsid w:val="00EC2389"/>
    <w:rsid w:val="00EC24D4"/>
    <w:rsid w:val="00EC24DC"/>
    <w:rsid w:val="00EC3268"/>
    <w:rsid w:val="00EC45A3"/>
    <w:rsid w:val="00EC5B8B"/>
    <w:rsid w:val="00EC6437"/>
    <w:rsid w:val="00ED09AC"/>
    <w:rsid w:val="00ED29B0"/>
    <w:rsid w:val="00ED3285"/>
    <w:rsid w:val="00ED6A7B"/>
    <w:rsid w:val="00EE2E2E"/>
    <w:rsid w:val="00EE3573"/>
    <w:rsid w:val="00EE3875"/>
    <w:rsid w:val="00EE5293"/>
    <w:rsid w:val="00EE5D26"/>
    <w:rsid w:val="00EE77E6"/>
    <w:rsid w:val="00EF3718"/>
    <w:rsid w:val="00EF4389"/>
    <w:rsid w:val="00EF7E0E"/>
    <w:rsid w:val="00F004D0"/>
    <w:rsid w:val="00F00FB9"/>
    <w:rsid w:val="00F03383"/>
    <w:rsid w:val="00F0355C"/>
    <w:rsid w:val="00F0362E"/>
    <w:rsid w:val="00F06322"/>
    <w:rsid w:val="00F150DB"/>
    <w:rsid w:val="00F16137"/>
    <w:rsid w:val="00F218C8"/>
    <w:rsid w:val="00F3019B"/>
    <w:rsid w:val="00F33C46"/>
    <w:rsid w:val="00F35BAD"/>
    <w:rsid w:val="00F40AB7"/>
    <w:rsid w:val="00F4182D"/>
    <w:rsid w:val="00F44E73"/>
    <w:rsid w:val="00F5373F"/>
    <w:rsid w:val="00F6168F"/>
    <w:rsid w:val="00F61FA6"/>
    <w:rsid w:val="00F63F25"/>
    <w:rsid w:val="00F653D7"/>
    <w:rsid w:val="00F65D27"/>
    <w:rsid w:val="00F674F7"/>
    <w:rsid w:val="00F71737"/>
    <w:rsid w:val="00F71EDA"/>
    <w:rsid w:val="00F72624"/>
    <w:rsid w:val="00F72787"/>
    <w:rsid w:val="00F730AC"/>
    <w:rsid w:val="00F7538D"/>
    <w:rsid w:val="00F762CD"/>
    <w:rsid w:val="00F77FA7"/>
    <w:rsid w:val="00F83BDD"/>
    <w:rsid w:val="00F845F1"/>
    <w:rsid w:val="00F86315"/>
    <w:rsid w:val="00F87580"/>
    <w:rsid w:val="00F92435"/>
    <w:rsid w:val="00F93024"/>
    <w:rsid w:val="00F93046"/>
    <w:rsid w:val="00F949D3"/>
    <w:rsid w:val="00F95C3D"/>
    <w:rsid w:val="00F96A5C"/>
    <w:rsid w:val="00F97224"/>
    <w:rsid w:val="00FA1553"/>
    <w:rsid w:val="00FA1C94"/>
    <w:rsid w:val="00FA3E8B"/>
    <w:rsid w:val="00FA45CC"/>
    <w:rsid w:val="00FA4625"/>
    <w:rsid w:val="00FA4D97"/>
    <w:rsid w:val="00FA4F32"/>
    <w:rsid w:val="00FB03FB"/>
    <w:rsid w:val="00FB2009"/>
    <w:rsid w:val="00FB5162"/>
    <w:rsid w:val="00FB6521"/>
    <w:rsid w:val="00FC03BD"/>
    <w:rsid w:val="00FC1035"/>
    <w:rsid w:val="00FC1F71"/>
    <w:rsid w:val="00FC2C68"/>
    <w:rsid w:val="00FC4AD3"/>
    <w:rsid w:val="00FC68ED"/>
    <w:rsid w:val="00FD1948"/>
    <w:rsid w:val="00FD202F"/>
    <w:rsid w:val="00FD659A"/>
    <w:rsid w:val="00FE0D09"/>
    <w:rsid w:val="00FE4431"/>
    <w:rsid w:val="00FE50F0"/>
    <w:rsid w:val="00FE547B"/>
    <w:rsid w:val="00FE655F"/>
    <w:rsid w:val="00FE6A27"/>
    <w:rsid w:val="00FE6AFD"/>
    <w:rsid w:val="00FE739C"/>
    <w:rsid w:val="00FF0502"/>
    <w:rsid w:val="00FF3597"/>
    <w:rsid w:val="00FF4C82"/>
    <w:rsid w:val="00FF5E2A"/>
    <w:rsid w:val="00FF6E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548B"/>
  <w15:chartTrackingRefBased/>
  <w15:docId w15:val="{679A11AC-8536-6540-AE82-47BCEE7B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00"/>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5E19BF"/>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itre3">
    <w:name w:val="heading 3"/>
    <w:basedOn w:val="Normal"/>
    <w:next w:val="Normal"/>
    <w:link w:val="Titre3Car"/>
    <w:uiPriority w:val="9"/>
    <w:semiHidden/>
    <w:unhideWhenUsed/>
    <w:qFormat/>
    <w:rsid w:val="0085219F"/>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Titre4">
    <w:name w:val="heading 4"/>
    <w:basedOn w:val="Normal"/>
    <w:next w:val="Normal"/>
    <w:link w:val="Titre4Car"/>
    <w:uiPriority w:val="9"/>
    <w:semiHidden/>
    <w:unhideWhenUsed/>
    <w:qFormat/>
    <w:rsid w:val="00586612"/>
    <w:pPr>
      <w:keepNext/>
      <w:keepLines/>
      <w:spacing w:before="40"/>
      <w:outlineLvl w:val="3"/>
    </w:pPr>
    <w:rPr>
      <w:rFonts w:asciiTheme="majorHAnsi" w:eastAsiaTheme="majorEastAsia" w:hAnsiTheme="majorHAnsi" w:cstheme="majorBidi"/>
      <w:i/>
      <w:iCs/>
      <w:color w:val="2F5496" w:themeColor="accent1" w:themeShade="BF"/>
      <w:lang w:eastAsia="en-US"/>
    </w:rPr>
  </w:style>
  <w:style w:type="paragraph" w:styleId="Titre5">
    <w:name w:val="heading 5"/>
    <w:basedOn w:val="Normal"/>
    <w:link w:val="Titre5Car"/>
    <w:uiPriority w:val="9"/>
    <w:unhideWhenUsed/>
    <w:qFormat/>
    <w:rsid w:val="0007550D"/>
    <w:pPr>
      <w:keepNext/>
      <w:keepLines/>
      <w:numPr>
        <w:ilvl w:val="3"/>
        <w:numId w:val="3"/>
      </w:numPr>
      <w:spacing w:before="160" w:after="120" w:line="360" w:lineRule="auto"/>
      <w:jc w:val="both"/>
      <w:outlineLvl w:val="4"/>
    </w:pPr>
    <w:rPr>
      <w:rFonts w:ascii="Calibri" w:eastAsiaTheme="majorEastAsia" w:hAnsi="Calibri" w:cstheme="majorBidi"/>
      <w:color w:val="2F5496"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439E"/>
    <w:pPr>
      <w:ind w:left="720"/>
      <w:contextualSpacing/>
    </w:pPr>
    <w:rPr>
      <w:rFonts w:asciiTheme="minorHAnsi" w:eastAsiaTheme="minorHAnsi" w:hAnsiTheme="minorHAnsi" w:cstheme="minorBidi"/>
      <w:lang w:eastAsia="en-US"/>
    </w:rPr>
  </w:style>
  <w:style w:type="character" w:styleId="Lienhypertexte">
    <w:name w:val="Hyperlink"/>
    <w:basedOn w:val="Policepardfaut"/>
    <w:uiPriority w:val="99"/>
    <w:unhideWhenUsed/>
    <w:rsid w:val="00535590"/>
    <w:rPr>
      <w:color w:val="0563C1" w:themeColor="hyperlink"/>
      <w:u w:val="single"/>
    </w:rPr>
  </w:style>
  <w:style w:type="paragraph" w:styleId="Notedebasdepage">
    <w:name w:val="footnote text"/>
    <w:basedOn w:val="Normal"/>
    <w:link w:val="NotedebasdepageCar"/>
    <w:uiPriority w:val="99"/>
    <w:unhideWhenUsed/>
    <w:rsid w:val="00535590"/>
    <w:pPr>
      <w:spacing w:before="240"/>
      <w:jc w:val="both"/>
    </w:pPr>
    <w:rPr>
      <w:rFonts w:ascii="Calibri" w:hAnsi="Calibri" w:cs="Calibri"/>
      <w:sz w:val="20"/>
      <w:szCs w:val="20"/>
    </w:rPr>
  </w:style>
  <w:style w:type="character" w:customStyle="1" w:styleId="NotedebasdepageCar">
    <w:name w:val="Note de bas de page Car"/>
    <w:basedOn w:val="Policepardfaut"/>
    <w:link w:val="Notedebasdepage"/>
    <w:uiPriority w:val="99"/>
    <w:rsid w:val="00535590"/>
    <w:rPr>
      <w:rFonts w:ascii="Calibri" w:eastAsia="Times New Roman" w:hAnsi="Calibri" w:cs="Calibri"/>
      <w:sz w:val="20"/>
      <w:szCs w:val="20"/>
      <w:lang w:eastAsia="fr-FR"/>
    </w:rPr>
  </w:style>
  <w:style w:type="character" w:styleId="Appelnotedebasdep">
    <w:name w:val="footnote reference"/>
    <w:basedOn w:val="Policepardfaut"/>
    <w:uiPriority w:val="99"/>
    <w:semiHidden/>
    <w:unhideWhenUsed/>
    <w:rsid w:val="00535590"/>
    <w:rPr>
      <w:vertAlign w:val="superscript"/>
    </w:rPr>
  </w:style>
  <w:style w:type="character" w:styleId="Lienhypertextesuivivisit">
    <w:name w:val="FollowedHyperlink"/>
    <w:basedOn w:val="Policepardfaut"/>
    <w:uiPriority w:val="99"/>
    <w:semiHidden/>
    <w:unhideWhenUsed/>
    <w:rsid w:val="00535590"/>
    <w:rPr>
      <w:color w:val="954F72" w:themeColor="followedHyperlink"/>
      <w:u w:val="single"/>
    </w:rPr>
  </w:style>
  <w:style w:type="character" w:styleId="Marquedecommentaire">
    <w:name w:val="annotation reference"/>
    <w:basedOn w:val="Policepardfaut"/>
    <w:uiPriority w:val="99"/>
    <w:semiHidden/>
    <w:unhideWhenUsed/>
    <w:rsid w:val="0079709E"/>
    <w:rPr>
      <w:sz w:val="16"/>
      <w:szCs w:val="16"/>
    </w:rPr>
  </w:style>
  <w:style w:type="paragraph" w:styleId="Commentaire">
    <w:name w:val="annotation text"/>
    <w:basedOn w:val="Normal"/>
    <w:link w:val="CommentaireCar"/>
    <w:uiPriority w:val="99"/>
    <w:unhideWhenUsed/>
    <w:rsid w:val="0079709E"/>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79709E"/>
    <w:rPr>
      <w:sz w:val="20"/>
      <w:szCs w:val="20"/>
    </w:rPr>
  </w:style>
  <w:style w:type="paragraph" w:styleId="Objetducommentaire">
    <w:name w:val="annotation subject"/>
    <w:basedOn w:val="Commentaire"/>
    <w:next w:val="Commentaire"/>
    <w:link w:val="ObjetducommentaireCar"/>
    <w:uiPriority w:val="99"/>
    <w:semiHidden/>
    <w:unhideWhenUsed/>
    <w:rsid w:val="0079709E"/>
    <w:rPr>
      <w:b/>
      <w:bCs/>
    </w:rPr>
  </w:style>
  <w:style w:type="character" w:customStyle="1" w:styleId="ObjetducommentaireCar">
    <w:name w:val="Objet du commentaire Car"/>
    <w:basedOn w:val="CommentaireCar"/>
    <w:link w:val="Objetducommentaire"/>
    <w:uiPriority w:val="99"/>
    <w:semiHidden/>
    <w:rsid w:val="0079709E"/>
    <w:rPr>
      <w:b/>
      <w:bCs/>
      <w:sz w:val="20"/>
      <w:szCs w:val="20"/>
    </w:rPr>
  </w:style>
  <w:style w:type="paragraph" w:styleId="Pieddepage">
    <w:name w:val="footer"/>
    <w:basedOn w:val="Normal"/>
    <w:link w:val="PieddepageCar"/>
    <w:uiPriority w:val="99"/>
    <w:unhideWhenUsed/>
    <w:rsid w:val="00FA4F32"/>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FA4F32"/>
  </w:style>
  <w:style w:type="character" w:styleId="Numrodepage">
    <w:name w:val="page number"/>
    <w:basedOn w:val="Policepardfaut"/>
    <w:uiPriority w:val="99"/>
    <w:semiHidden/>
    <w:unhideWhenUsed/>
    <w:rsid w:val="00FA4F32"/>
  </w:style>
  <w:style w:type="character" w:customStyle="1" w:styleId="Titre5Car">
    <w:name w:val="Titre 5 Car"/>
    <w:basedOn w:val="Policepardfaut"/>
    <w:link w:val="Titre5"/>
    <w:uiPriority w:val="9"/>
    <w:rsid w:val="0007550D"/>
    <w:rPr>
      <w:rFonts w:ascii="Calibri" w:eastAsiaTheme="majorEastAsia" w:hAnsi="Calibri" w:cstheme="majorBidi"/>
      <w:color w:val="2F5496" w:themeColor="accent1" w:themeShade="BF"/>
      <w:u w:val="single"/>
      <w:lang w:eastAsia="fr-FR"/>
    </w:rPr>
  </w:style>
  <w:style w:type="character" w:customStyle="1" w:styleId="Titre4Car">
    <w:name w:val="Titre 4 Car"/>
    <w:basedOn w:val="Policepardfaut"/>
    <w:link w:val="Titre4"/>
    <w:uiPriority w:val="9"/>
    <w:semiHidden/>
    <w:rsid w:val="00586612"/>
    <w:rPr>
      <w:rFonts w:asciiTheme="majorHAnsi" w:eastAsiaTheme="majorEastAsia" w:hAnsiTheme="majorHAnsi" w:cstheme="majorBidi"/>
      <w:i/>
      <w:iCs/>
      <w:color w:val="2F5496" w:themeColor="accent1" w:themeShade="BF"/>
    </w:rPr>
  </w:style>
  <w:style w:type="paragraph" w:customStyle="1" w:styleId="Figure">
    <w:name w:val="Figure"/>
    <w:basedOn w:val="Normal"/>
    <w:qFormat/>
    <w:rsid w:val="00FA3E8B"/>
    <w:pPr>
      <w:spacing w:before="240" w:after="240" w:line="360" w:lineRule="auto"/>
      <w:jc w:val="center"/>
    </w:pPr>
    <w:rPr>
      <w:rFonts w:ascii="Calibri" w:hAnsi="Calibri" w:cs="Calibri"/>
      <w:sz w:val="20"/>
    </w:rPr>
  </w:style>
  <w:style w:type="table" w:styleId="TableauGrille6Couleur-Accentuation1">
    <w:name w:val="Grid Table 6 Colorful Accent 1"/>
    <w:basedOn w:val="TableauNormal"/>
    <w:uiPriority w:val="51"/>
    <w:rsid w:val="00FA3E8B"/>
    <w:rPr>
      <w:rFonts w:ascii="Times New Roman" w:hAnsi="Times New Roman"/>
      <w:color w:val="2F5496" w:themeColor="accent1" w:themeShade="BF"/>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itre3Car">
    <w:name w:val="Titre 3 Car"/>
    <w:basedOn w:val="Policepardfaut"/>
    <w:link w:val="Titre3"/>
    <w:uiPriority w:val="9"/>
    <w:semiHidden/>
    <w:rsid w:val="0085219F"/>
    <w:rPr>
      <w:rFonts w:asciiTheme="majorHAnsi" w:eastAsiaTheme="majorEastAsia" w:hAnsiTheme="majorHAnsi" w:cstheme="majorBidi"/>
      <w:color w:val="1F3763" w:themeColor="accent1" w:themeShade="7F"/>
    </w:rPr>
  </w:style>
  <w:style w:type="paragraph" w:styleId="Rvision">
    <w:name w:val="Revision"/>
    <w:hidden/>
    <w:uiPriority w:val="99"/>
    <w:semiHidden/>
    <w:rsid w:val="00285E5A"/>
  </w:style>
  <w:style w:type="paragraph" w:styleId="NormalWeb">
    <w:name w:val="Normal (Web)"/>
    <w:basedOn w:val="Normal"/>
    <w:uiPriority w:val="99"/>
    <w:unhideWhenUsed/>
    <w:rsid w:val="00A27788"/>
    <w:pPr>
      <w:spacing w:before="100" w:beforeAutospacing="1" w:after="100" w:afterAutospacing="1"/>
    </w:pPr>
  </w:style>
  <w:style w:type="character" w:styleId="Mentionnonrsolue">
    <w:name w:val="Unresolved Mention"/>
    <w:basedOn w:val="Policepardfaut"/>
    <w:uiPriority w:val="99"/>
    <w:semiHidden/>
    <w:unhideWhenUsed/>
    <w:rsid w:val="007646B2"/>
    <w:rPr>
      <w:color w:val="605E5C"/>
      <w:shd w:val="clear" w:color="auto" w:fill="E1DFDD"/>
    </w:rPr>
  </w:style>
  <w:style w:type="character" w:customStyle="1" w:styleId="Titre1Car">
    <w:name w:val="Titre 1 Car"/>
    <w:basedOn w:val="Policepardfaut"/>
    <w:link w:val="Titre1"/>
    <w:uiPriority w:val="9"/>
    <w:rsid w:val="005E19BF"/>
    <w:rPr>
      <w:rFonts w:asciiTheme="majorHAnsi" w:eastAsiaTheme="majorEastAsia" w:hAnsiTheme="majorHAnsi" w:cstheme="majorBidi"/>
      <w:color w:val="2F5496" w:themeColor="accent1" w:themeShade="BF"/>
      <w:sz w:val="32"/>
      <w:szCs w:val="32"/>
    </w:rPr>
  </w:style>
  <w:style w:type="paragraph" w:customStyle="1" w:styleId="refbiblio">
    <w:name w:val="refbiblio"/>
    <w:basedOn w:val="Normal"/>
    <w:rsid w:val="00EA0107"/>
    <w:pPr>
      <w:spacing w:before="100" w:beforeAutospacing="1" w:after="100" w:afterAutospacing="1"/>
    </w:pPr>
  </w:style>
  <w:style w:type="character" w:customStyle="1" w:styleId="apple-converted-space">
    <w:name w:val="apple-converted-space"/>
    <w:basedOn w:val="Policepardfaut"/>
    <w:rsid w:val="00EA0107"/>
  </w:style>
  <w:style w:type="character" w:styleId="Accentuation">
    <w:name w:val="Emphasis"/>
    <w:basedOn w:val="Policepardfaut"/>
    <w:uiPriority w:val="20"/>
    <w:qFormat/>
    <w:rsid w:val="00EA0107"/>
    <w:rPr>
      <w:i/>
      <w:iCs/>
    </w:rPr>
  </w:style>
  <w:style w:type="table" w:styleId="TableauGrille7Couleur-Accentuation3">
    <w:name w:val="Grid Table 7 Colorful Accent 3"/>
    <w:basedOn w:val="TableauNormal"/>
    <w:uiPriority w:val="52"/>
    <w:rsid w:val="00E4659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Liste1Clair-Accentuation3">
    <w:name w:val="List Table 1 Light Accent 3"/>
    <w:basedOn w:val="TableauNormal"/>
    <w:uiPriority w:val="46"/>
    <w:rsid w:val="00E4659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3">
    <w:name w:val="List Table 3"/>
    <w:basedOn w:val="TableauNormal"/>
    <w:uiPriority w:val="48"/>
    <w:rsid w:val="00E465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4">
    <w:name w:val="List Table 4"/>
    <w:basedOn w:val="TableauNormal"/>
    <w:uiPriority w:val="49"/>
    <w:rsid w:val="00E465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3">
    <w:name w:val="List Table 4 Accent 3"/>
    <w:basedOn w:val="TableauNormal"/>
    <w:uiPriority w:val="49"/>
    <w:rsid w:val="00E4659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tte">
    <w:name w:val="header"/>
    <w:basedOn w:val="Normal"/>
    <w:link w:val="En-tteCar"/>
    <w:uiPriority w:val="99"/>
    <w:unhideWhenUsed/>
    <w:rsid w:val="00A67661"/>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67661"/>
  </w:style>
  <w:style w:type="paragraph" w:customStyle="1" w:styleId="Default">
    <w:name w:val="Default"/>
    <w:rsid w:val="00322B45"/>
    <w:pPr>
      <w:autoSpaceDE w:val="0"/>
      <w:autoSpaceDN w:val="0"/>
      <w:adjustRightInd w:val="0"/>
    </w:pPr>
    <w:rPr>
      <w:rFonts w:ascii="Times New Roman" w:hAnsi="Times New Roman" w:cs="Times New Roman"/>
      <w:color w:val="000000"/>
      <w:lang w:val="fr-FR"/>
    </w:rPr>
  </w:style>
  <w:style w:type="table" w:styleId="Grilledutableau">
    <w:name w:val="Table Grid"/>
    <w:basedOn w:val="TableauNormal"/>
    <w:uiPriority w:val="39"/>
    <w:rsid w:val="00DC5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345E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345E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3">
    <w:name w:val="Plain Table 3"/>
    <w:basedOn w:val="TableauNormal"/>
    <w:uiPriority w:val="43"/>
    <w:rsid w:val="00345EA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i-provider">
    <w:name w:val="ui-provider"/>
    <w:basedOn w:val="Policepardfaut"/>
    <w:rsid w:val="00311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0237">
      <w:bodyDiv w:val="1"/>
      <w:marLeft w:val="0"/>
      <w:marRight w:val="0"/>
      <w:marTop w:val="0"/>
      <w:marBottom w:val="0"/>
      <w:divBdr>
        <w:top w:val="none" w:sz="0" w:space="0" w:color="auto"/>
        <w:left w:val="none" w:sz="0" w:space="0" w:color="auto"/>
        <w:bottom w:val="none" w:sz="0" w:space="0" w:color="auto"/>
        <w:right w:val="none" w:sz="0" w:space="0" w:color="auto"/>
      </w:divBdr>
      <w:divsChild>
        <w:div w:id="2073308500">
          <w:marLeft w:val="0"/>
          <w:marRight w:val="0"/>
          <w:marTop w:val="0"/>
          <w:marBottom w:val="0"/>
          <w:divBdr>
            <w:top w:val="none" w:sz="0" w:space="0" w:color="auto"/>
            <w:left w:val="none" w:sz="0" w:space="0" w:color="auto"/>
            <w:bottom w:val="none" w:sz="0" w:space="0" w:color="auto"/>
            <w:right w:val="none" w:sz="0" w:space="0" w:color="auto"/>
          </w:divBdr>
          <w:divsChild>
            <w:div w:id="1689940453">
              <w:marLeft w:val="0"/>
              <w:marRight w:val="0"/>
              <w:marTop w:val="0"/>
              <w:marBottom w:val="0"/>
              <w:divBdr>
                <w:top w:val="none" w:sz="0" w:space="0" w:color="auto"/>
                <w:left w:val="none" w:sz="0" w:space="0" w:color="auto"/>
                <w:bottom w:val="none" w:sz="0" w:space="0" w:color="auto"/>
                <w:right w:val="none" w:sz="0" w:space="0" w:color="auto"/>
              </w:divBdr>
              <w:divsChild>
                <w:div w:id="685642866">
                  <w:marLeft w:val="0"/>
                  <w:marRight w:val="0"/>
                  <w:marTop w:val="0"/>
                  <w:marBottom w:val="0"/>
                  <w:divBdr>
                    <w:top w:val="none" w:sz="0" w:space="0" w:color="auto"/>
                    <w:left w:val="none" w:sz="0" w:space="0" w:color="auto"/>
                    <w:bottom w:val="none" w:sz="0" w:space="0" w:color="auto"/>
                    <w:right w:val="none" w:sz="0" w:space="0" w:color="auto"/>
                  </w:divBdr>
                  <w:divsChild>
                    <w:div w:id="6654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62454">
      <w:bodyDiv w:val="1"/>
      <w:marLeft w:val="0"/>
      <w:marRight w:val="0"/>
      <w:marTop w:val="0"/>
      <w:marBottom w:val="0"/>
      <w:divBdr>
        <w:top w:val="none" w:sz="0" w:space="0" w:color="auto"/>
        <w:left w:val="none" w:sz="0" w:space="0" w:color="auto"/>
        <w:bottom w:val="none" w:sz="0" w:space="0" w:color="auto"/>
        <w:right w:val="none" w:sz="0" w:space="0" w:color="auto"/>
      </w:divBdr>
      <w:divsChild>
        <w:div w:id="840972420">
          <w:marLeft w:val="0"/>
          <w:marRight w:val="0"/>
          <w:marTop w:val="135"/>
          <w:marBottom w:val="0"/>
          <w:divBdr>
            <w:top w:val="single" w:sz="6" w:space="4" w:color="auto"/>
            <w:left w:val="single" w:sz="6" w:space="9" w:color="auto"/>
            <w:bottom w:val="single" w:sz="6" w:space="2" w:color="auto"/>
            <w:right w:val="single" w:sz="6" w:space="18" w:color="auto"/>
          </w:divBdr>
        </w:div>
        <w:div w:id="1163667736">
          <w:marLeft w:val="0"/>
          <w:marRight w:val="0"/>
          <w:marTop w:val="135"/>
          <w:marBottom w:val="0"/>
          <w:divBdr>
            <w:top w:val="single" w:sz="6" w:space="4" w:color="auto"/>
            <w:left w:val="single" w:sz="6" w:space="9" w:color="auto"/>
            <w:bottom w:val="single" w:sz="6" w:space="2" w:color="auto"/>
            <w:right w:val="single" w:sz="6" w:space="18" w:color="auto"/>
          </w:divBdr>
        </w:div>
        <w:div w:id="46690844">
          <w:marLeft w:val="0"/>
          <w:marRight w:val="0"/>
          <w:marTop w:val="135"/>
          <w:marBottom w:val="0"/>
          <w:divBdr>
            <w:top w:val="single" w:sz="6" w:space="4" w:color="auto"/>
            <w:left w:val="single" w:sz="6" w:space="9" w:color="auto"/>
            <w:bottom w:val="single" w:sz="6" w:space="2" w:color="auto"/>
            <w:right w:val="single" w:sz="6" w:space="18" w:color="auto"/>
          </w:divBdr>
        </w:div>
        <w:div w:id="992564659">
          <w:marLeft w:val="0"/>
          <w:marRight w:val="0"/>
          <w:marTop w:val="135"/>
          <w:marBottom w:val="0"/>
          <w:divBdr>
            <w:top w:val="single" w:sz="6" w:space="4" w:color="auto"/>
            <w:left w:val="single" w:sz="6" w:space="9" w:color="auto"/>
            <w:bottom w:val="single" w:sz="6" w:space="2" w:color="auto"/>
            <w:right w:val="single" w:sz="6" w:space="18" w:color="auto"/>
          </w:divBdr>
        </w:div>
        <w:div w:id="1587878446">
          <w:marLeft w:val="0"/>
          <w:marRight w:val="0"/>
          <w:marTop w:val="135"/>
          <w:marBottom w:val="0"/>
          <w:divBdr>
            <w:top w:val="single" w:sz="6" w:space="4" w:color="auto"/>
            <w:left w:val="single" w:sz="6" w:space="9" w:color="auto"/>
            <w:bottom w:val="single" w:sz="6" w:space="2" w:color="auto"/>
            <w:right w:val="single" w:sz="6" w:space="18" w:color="auto"/>
          </w:divBdr>
        </w:div>
        <w:div w:id="1421676863">
          <w:marLeft w:val="0"/>
          <w:marRight w:val="0"/>
          <w:marTop w:val="135"/>
          <w:marBottom w:val="0"/>
          <w:divBdr>
            <w:top w:val="single" w:sz="6" w:space="4" w:color="auto"/>
            <w:left w:val="single" w:sz="6" w:space="9" w:color="auto"/>
            <w:bottom w:val="single" w:sz="6" w:space="2" w:color="auto"/>
            <w:right w:val="single" w:sz="6" w:space="18" w:color="auto"/>
          </w:divBdr>
        </w:div>
        <w:div w:id="449594842">
          <w:marLeft w:val="0"/>
          <w:marRight w:val="0"/>
          <w:marTop w:val="135"/>
          <w:marBottom w:val="0"/>
          <w:divBdr>
            <w:top w:val="single" w:sz="6" w:space="4" w:color="auto"/>
            <w:left w:val="single" w:sz="6" w:space="9" w:color="auto"/>
            <w:bottom w:val="single" w:sz="6" w:space="2" w:color="auto"/>
            <w:right w:val="single" w:sz="6" w:space="18" w:color="auto"/>
          </w:divBdr>
        </w:div>
        <w:div w:id="1641955142">
          <w:marLeft w:val="0"/>
          <w:marRight w:val="0"/>
          <w:marTop w:val="135"/>
          <w:marBottom w:val="0"/>
          <w:divBdr>
            <w:top w:val="single" w:sz="6" w:space="4" w:color="auto"/>
            <w:left w:val="single" w:sz="6" w:space="9" w:color="auto"/>
            <w:bottom w:val="single" w:sz="6" w:space="2" w:color="auto"/>
            <w:right w:val="single" w:sz="6" w:space="18" w:color="auto"/>
          </w:divBdr>
        </w:div>
        <w:div w:id="214435022">
          <w:marLeft w:val="0"/>
          <w:marRight w:val="0"/>
          <w:marTop w:val="135"/>
          <w:marBottom w:val="0"/>
          <w:divBdr>
            <w:top w:val="single" w:sz="6" w:space="4" w:color="auto"/>
            <w:left w:val="single" w:sz="6" w:space="9" w:color="auto"/>
            <w:bottom w:val="single" w:sz="6" w:space="2" w:color="auto"/>
            <w:right w:val="single" w:sz="6" w:space="18" w:color="auto"/>
          </w:divBdr>
        </w:div>
        <w:div w:id="1428767359">
          <w:marLeft w:val="0"/>
          <w:marRight w:val="0"/>
          <w:marTop w:val="135"/>
          <w:marBottom w:val="0"/>
          <w:divBdr>
            <w:top w:val="single" w:sz="6" w:space="4" w:color="auto"/>
            <w:left w:val="single" w:sz="6" w:space="9" w:color="auto"/>
            <w:bottom w:val="single" w:sz="6" w:space="2" w:color="auto"/>
            <w:right w:val="single" w:sz="6" w:space="18" w:color="auto"/>
          </w:divBdr>
        </w:div>
        <w:div w:id="186412267">
          <w:marLeft w:val="0"/>
          <w:marRight w:val="0"/>
          <w:marTop w:val="135"/>
          <w:marBottom w:val="0"/>
          <w:divBdr>
            <w:top w:val="single" w:sz="6" w:space="4" w:color="auto"/>
            <w:left w:val="single" w:sz="6" w:space="9" w:color="auto"/>
            <w:bottom w:val="single" w:sz="6" w:space="2" w:color="auto"/>
            <w:right w:val="single" w:sz="6" w:space="18" w:color="auto"/>
          </w:divBdr>
        </w:div>
        <w:div w:id="675153248">
          <w:marLeft w:val="0"/>
          <w:marRight w:val="0"/>
          <w:marTop w:val="135"/>
          <w:marBottom w:val="0"/>
          <w:divBdr>
            <w:top w:val="single" w:sz="6" w:space="4" w:color="auto"/>
            <w:left w:val="single" w:sz="6" w:space="9" w:color="auto"/>
            <w:bottom w:val="single" w:sz="6" w:space="2" w:color="auto"/>
            <w:right w:val="single" w:sz="6" w:space="18" w:color="auto"/>
          </w:divBdr>
        </w:div>
        <w:div w:id="737215880">
          <w:marLeft w:val="0"/>
          <w:marRight w:val="0"/>
          <w:marTop w:val="135"/>
          <w:marBottom w:val="0"/>
          <w:divBdr>
            <w:top w:val="single" w:sz="6" w:space="4" w:color="auto"/>
            <w:left w:val="single" w:sz="6" w:space="9" w:color="auto"/>
            <w:bottom w:val="single" w:sz="6" w:space="2" w:color="auto"/>
            <w:right w:val="single" w:sz="6" w:space="18" w:color="auto"/>
          </w:divBdr>
        </w:div>
        <w:div w:id="1097097369">
          <w:marLeft w:val="0"/>
          <w:marRight w:val="0"/>
          <w:marTop w:val="135"/>
          <w:marBottom w:val="0"/>
          <w:divBdr>
            <w:top w:val="single" w:sz="6" w:space="4" w:color="auto"/>
            <w:left w:val="single" w:sz="6" w:space="9" w:color="auto"/>
            <w:bottom w:val="single" w:sz="6" w:space="2" w:color="auto"/>
            <w:right w:val="single" w:sz="6" w:space="18" w:color="auto"/>
          </w:divBdr>
        </w:div>
        <w:div w:id="1818450473">
          <w:marLeft w:val="0"/>
          <w:marRight w:val="0"/>
          <w:marTop w:val="135"/>
          <w:marBottom w:val="0"/>
          <w:divBdr>
            <w:top w:val="single" w:sz="6" w:space="4" w:color="auto"/>
            <w:left w:val="single" w:sz="6" w:space="9" w:color="auto"/>
            <w:bottom w:val="single" w:sz="6" w:space="2" w:color="auto"/>
            <w:right w:val="single" w:sz="6" w:space="18" w:color="auto"/>
          </w:divBdr>
        </w:div>
      </w:divsChild>
    </w:div>
    <w:div w:id="119226344">
      <w:bodyDiv w:val="1"/>
      <w:marLeft w:val="0"/>
      <w:marRight w:val="0"/>
      <w:marTop w:val="0"/>
      <w:marBottom w:val="0"/>
      <w:divBdr>
        <w:top w:val="none" w:sz="0" w:space="0" w:color="auto"/>
        <w:left w:val="none" w:sz="0" w:space="0" w:color="auto"/>
        <w:bottom w:val="none" w:sz="0" w:space="0" w:color="auto"/>
        <w:right w:val="none" w:sz="0" w:space="0" w:color="auto"/>
      </w:divBdr>
      <w:divsChild>
        <w:div w:id="39133343">
          <w:marLeft w:val="0"/>
          <w:marRight w:val="0"/>
          <w:marTop w:val="0"/>
          <w:marBottom w:val="0"/>
          <w:divBdr>
            <w:top w:val="none" w:sz="0" w:space="0" w:color="auto"/>
            <w:left w:val="none" w:sz="0" w:space="0" w:color="auto"/>
            <w:bottom w:val="none" w:sz="0" w:space="0" w:color="auto"/>
            <w:right w:val="none" w:sz="0" w:space="0" w:color="auto"/>
          </w:divBdr>
          <w:divsChild>
            <w:div w:id="1813865125">
              <w:marLeft w:val="0"/>
              <w:marRight w:val="0"/>
              <w:marTop w:val="0"/>
              <w:marBottom w:val="0"/>
              <w:divBdr>
                <w:top w:val="none" w:sz="0" w:space="0" w:color="auto"/>
                <w:left w:val="none" w:sz="0" w:space="0" w:color="auto"/>
                <w:bottom w:val="none" w:sz="0" w:space="0" w:color="auto"/>
                <w:right w:val="none" w:sz="0" w:space="0" w:color="auto"/>
              </w:divBdr>
              <w:divsChild>
                <w:div w:id="2005158176">
                  <w:marLeft w:val="0"/>
                  <w:marRight w:val="0"/>
                  <w:marTop w:val="0"/>
                  <w:marBottom w:val="0"/>
                  <w:divBdr>
                    <w:top w:val="none" w:sz="0" w:space="0" w:color="auto"/>
                    <w:left w:val="none" w:sz="0" w:space="0" w:color="auto"/>
                    <w:bottom w:val="none" w:sz="0" w:space="0" w:color="auto"/>
                    <w:right w:val="none" w:sz="0" w:space="0" w:color="auto"/>
                  </w:divBdr>
                  <w:divsChild>
                    <w:div w:id="7193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8992">
      <w:bodyDiv w:val="1"/>
      <w:marLeft w:val="0"/>
      <w:marRight w:val="0"/>
      <w:marTop w:val="0"/>
      <w:marBottom w:val="0"/>
      <w:divBdr>
        <w:top w:val="none" w:sz="0" w:space="0" w:color="auto"/>
        <w:left w:val="none" w:sz="0" w:space="0" w:color="auto"/>
        <w:bottom w:val="none" w:sz="0" w:space="0" w:color="auto"/>
        <w:right w:val="none" w:sz="0" w:space="0" w:color="auto"/>
      </w:divBdr>
    </w:div>
    <w:div w:id="228544215">
      <w:bodyDiv w:val="1"/>
      <w:marLeft w:val="0"/>
      <w:marRight w:val="0"/>
      <w:marTop w:val="0"/>
      <w:marBottom w:val="0"/>
      <w:divBdr>
        <w:top w:val="none" w:sz="0" w:space="0" w:color="auto"/>
        <w:left w:val="none" w:sz="0" w:space="0" w:color="auto"/>
        <w:bottom w:val="none" w:sz="0" w:space="0" w:color="auto"/>
        <w:right w:val="none" w:sz="0" w:space="0" w:color="auto"/>
      </w:divBdr>
    </w:div>
    <w:div w:id="248079877">
      <w:bodyDiv w:val="1"/>
      <w:marLeft w:val="0"/>
      <w:marRight w:val="0"/>
      <w:marTop w:val="0"/>
      <w:marBottom w:val="0"/>
      <w:divBdr>
        <w:top w:val="none" w:sz="0" w:space="0" w:color="auto"/>
        <w:left w:val="none" w:sz="0" w:space="0" w:color="auto"/>
        <w:bottom w:val="none" w:sz="0" w:space="0" w:color="auto"/>
        <w:right w:val="none" w:sz="0" w:space="0" w:color="auto"/>
      </w:divBdr>
    </w:div>
    <w:div w:id="262421344">
      <w:bodyDiv w:val="1"/>
      <w:marLeft w:val="0"/>
      <w:marRight w:val="0"/>
      <w:marTop w:val="0"/>
      <w:marBottom w:val="0"/>
      <w:divBdr>
        <w:top w:val="none" w:sz="0" w:space="0" w:color="auto"/>
        <w:left w:val="none" w:sz="0" w:space="0" w:color="auto"/>
        <w:bottom w:val="none" w:sz="0" w:space="0" w:color="auto"/>
        <w:right w:val="none" w:sz="0" w:space="0" w:color="auto"/>
      </w:divBdr>
      <w:divsChild>
        <w:div w:id="1987010197">
          <w:marLeft w:val="0"/>
          <w:marRight w:val="0"/>
          <w:marTop w:val="0"/>
          <w:marBottom w:val="0"/>
          <w:divBdr>
            <w:top w:val="single" w:sz="2" w:space="0" w:color="E3E3E3"/>
            <w:left w:val="single" w:sz="2" w:space="0" w:color="E3E3E3"/>
            <w:bottom w:val="single" w:sz="2" w:space="0" w:color="E3E3E3"/>
            <w:right w:val="single" w:sz="2" w:space="0" w:color="E3E3E3"/>
          </w:divBdr>
          <w:divsChild>
            <w:div w:id="1212107684">
              <w:marLeft w:val="0"/>
              <w:marRight w:val="0"/>
              <w:marTop w:val="0"/>
              <w:marBottom w:val="0"/>
              <w:divBdr>
                <w:top w:val="single" w:sz="2" w:space="0" w:color="E3E3E3"/>
                <w:left w:val="single" w:sz="2" w:space="0" w:color="E3E3E3"/>
                <w:bottom w:val="single" w:sz="2" w:space="0" w:color="E3E3E3"/>
                <w:right w:val="single" w:sz="2" w:space="0" w:color="E3E3E3"/>
              </w:divBdr>
              <w:divsChild>
                <w:div w:id="1010835216">
                  <w:marLeft w:val="0"/>
                  <w:marRight w:val="0"/>
                  <w:marTop w:val="0"/>
                  <w:marBottom w:val="0"/>
                  <w:divBdr>
                    <w:top w:val="single" w:sz="2" w:space="0" w:color="E3E3E3"/>
                    <w:left w:val="single" w:sz="2" w:space="0" w:color="E3E3E3"/>
                    <w:bottom w:val="single" w:sz="2" w:space="0" w:color="E3E3E3"/>
                    <w:right w:val="single" w:sz="2" w:space="0" w:color="E3E3E3"/>
                  </w:divBdr>
                  <w:divsChild>
                    <w:div w:id="1268004843">
                      <w:marLeft w:val="0"/>
                      <w:marRight w:val="0"/>
                      <w:marTop w:val="0"/>
                      <w:marBottom w:val="0"/>
                      <w:divBdr>
                        <w:top w:val="single" w:sz="2" w:space="0" w:color="E3E3E3"/>
                        <w:left w:val="single" w:sz="2" w:space="0" w:color="E3E3E3"/>
                        <w:bottom w:val="single" w:sz="2" w:space="0" w:color="E3E3E3"/>
                        <w:right w:val="single" w:sz="2" w:space="0" w:color="E3E3E3"/>
                      </w:divBdr>
                      <w:divsChild>
                        <w:div w:id="2051949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0617661">
          <w:marLeft w:val="0"/>
          <w:marRight w:val="0"/>
          <w:marTop w:val="0"/>
          <w:marBottom w:val="0"/>
          <w:divBdr>
            <w:top w:val="single" w:sz="2" w:space="0" w:color="E3E3E3"/>
            <w:left w:val="single" w:sz="2" w:space="0" w:color="E3E3E3"/>
            <w:bottom w:val="single" w:sz="2" w:space="0" w:color="E3E3E3"/>
            <w:right w:val="single" w:sz="2" w:space="0" w:color="E3E3E3"/>
          </w:divBdr>
          <w:divsChild>
            <w:div w:id="231156467">
              <w:marLeft w:val="0"/>
              <w:marRight w:val="0"/>
              <w:marTop w:val="0"/>
              <w:marBottom w:val="0"/>
              <w:divBdr>
                <w:top w:val="single" w:sz="2" w:space="0" w:color="E3E3E3"/>
                <w:left w:val="single" w:sz="2" w:space="0" w:color="E3E3E3"/>
                <w:bottom w:val="single" w:sz="2" w:space="0" w:color="E3E3E3"/>
                <w:right w:val="single" w:sz="2" w:space="0" w:color="E3E3E3"/>
              </w:divBdr>
              <w:divsChild>
                <w:div w:id="643697385">
                  <w:marLeft w:val="0"/>
                  <w:marRight w:val="0"/>
                  <w:marTop w:val="0"/>
                  <w:marBottom w:val="0"/>
                  <w:divBdr>
                    <w:top w:val="single" w:sz="2" w:space="0" w:color="E3E3E3"/>
                    <w:left w:val="single" w:sz="2" w:space="0" w:color="E3E3E3"/>
                    <w:bottom w:val="single" w:sz="2" w:space="0" w:color="E3E3E3"/>
                    <w:right w:val="single" w:sz="2" w:space="0" w:color="E3E3E3"/>
                  </w:divBdr>
                  <w:divsChild>
                    <w:div w:id="312611041">
                      <w:marLeft w:val="0"/>
                      <w:marRight w:val="0"/>
                      <w:marTop w:val="0"/>
                      <w:marBottom w:val="0"/>
                      <w:divBdr>
                        <w:top w:val="single" w:sz="2" w:space="0" w:color="E3E3E3"/>
                        <w:left w:val="single" w:sz="2" w:space="0" w:color="E3E3E3"/>
                        <w:bottom w:val="single" w:sz="2" w:space="0" w:color="E3E3E3"/>
                        <w:right w:val="single" w:sz="2" w:space="0" w:color="E3E3E3"/>
                      </w:divBdr>
                      <w:divsChild>
                        <w:div w:id="481242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42842963">
      <w:bodyDiv w:val="1"/>
      <w:marLeft w:val="0"/>
      <w:marRight w:val="0"/>
      <w:marTop w:val="0"/>
      <w:marBottom w:val="0"/>
      <w:divBdr>
        <w:top w:val="none" w:sz="0" w:space="0" w:color="auto"/>
        <w:left w:val="none" w:sz="0" w:space="0" w:color="auto"/>
        <w:bottom w:val="none" w:sz="0" w:space="0" w:color="auto"/>
        <w:right w:val="none" w:sz="0" w:space="0" w:color="auto"/>
      </w:divBdr>
    </w:div>
    <w:div w:id="529143874">
      <w:bodyDiv w:val="1"/>
      <w:marLeft w:val="0"/>
      <w:marRight w:val="0"/>
      <w:marTop w:val="0"/>
      <w:marBottom w:val="0"/>
      <w:divBdr>
        <w:top w:val="none" w:sz="0" w:space="0" w:color="auto"/>
        <w:left w:val="none" w:sz="0" w:space="0" w:color="auto"/>
        <w:bottom w:val="none" w:sz="0" w:space="0" w:color="auto"/>
        <w:right w:val="none" w:sz="0" w:space="0" w:color="auto"/>
      </w:divBdr>
    </w:div>
    <w:div w:id="669599940">
      <w:bodyDiv w:val="1"/>
      <w:marLeft w:val="0"/>
      <w:marRight w:val="0"/>
      <w:marTop w:val="0"/>
      <w:marBottom w:val="0"/>
      <w:divBdr>
        <w:top w:val="none" w:sz="0" w:space="0" w:color="auto"/>
        <w:left w:val="none" w:sz="0" w:space="0" w:color="auto"/>
        <w:bottom w:val="none" w:sz="0" w:space="0" w:color="auto"/>
        <w:right w:val="none" w:sz="0" w:space="0" w:color="auto"/>
      </w:divBdr>
      <w:divsChild>
        <w:div w:id="1434014864">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sChild>
                <w:div w:id="8935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2989">
      <w:bodyDiv w:val="1"/>
      <w:marLeft w:val="0"/>
      <w:marRight w:val="0"/>
      <w:marTop w:val="0"/>
      <w:marBottom w:val="0"/>
      <w:divBdr>
        <w:top w:val="none" w:sz="0" w:space="0" w:color="auto"/>
        <w:left w:val="none" w:sz="0" w:space="0" w:color="auto"/>
        <w:bottom w:val="none" w:sz="0" w:space="0" w:color="auto"/>
        <w:right w:val="none" w:sz="0" w:space="0" w:color="auto"/>
      </w:divBdr>
    </w:div>
    <w:div w:id="727455549">
      <w:bodyDiv w:val="1"/>
      <w:marLeft w:val="0"/>
      <w:marRight w:val="0"/>
      <w:marTop w:val="0"/>
      <w:marBottom w:val="0"/>
      <w:divBdr>
        <w:top w:val="none" w:sz="0" w:space="0" w:color="auto"/>
        <w:left w:val="none" w:sz="0" w:space="0" w:color="auto"/>
        <w:bottom w:val="none" w:sz="0" w:space="0" w:color="auto"/>
        <w:right w:val="none" w:sz="0" w:space="0" w:color="auto"/>
      </w:divBdr>
      <w:divsChild>
        <w:div w:id="1965234316">
          <w:marLeft w:val="0"/>
          <w:marRight w:val="0"/>
          <w:marTop w:val="0"/>
          <w:marBottom w:val="0"/>
          <w:divBdr>
            <w:top w:val="single" w:sz="2" w:space="0" w:color="E3E3E3"/>
            <w:left w:val="single" w:sz="2" w:space="0" w:color="E3E3E3"/>
            <w:bottom w:val="single" w:sz="2" w:space="0" w:color="E3E3E3"/>
            <w:right w:val="single" w:sz="2" w:space="0" w:color="E3E3E3"/>
          </w:divBdr>
          <w:divsChild>
            <w:div w:id="2045977812">
              <w:marLeft w:val="0"/>
              <w:marRight w:val="0"/>
              <w:marTop w:val="0"/>
              <w:marBottom w:val="0"/>
              <w:divBdr>
                <w:top w:val="single" w:sz="2" w:space="0" w:color="E3E3E3"/>
                <w:left w:val="single" w:sz="2" w:space="0" w:color="E3E3E3"/>
                <w:bottom w:val="single" w:sz="2" w:space="0" w:color="E3E3E3"/>
                <w:right w:val="single" w:sz="2" w:space="0" w:color="E3E3E3"/>
              </w:divBdr>
              <w:divsChild>
                <w:div w:id="500194053">
                  <w:marLeft w:val="0"/>
                  <w:marRight w:val="0"/>
                  <w:marTop w:val="0"/>
                  <w:marBottom w:val="0"/>
                  <w:divBdr>
                    <w:top w:val="single" w:sz="2" w:space="0" w:color="E3E3E3"/>
                    <w:left w:val="single" w:sz="2" w:space="0" w:color="E3E3E3"/>
                    <w:bottom w:val="single" w:sz="2" w:space="0" w:color="E3E3E3"/>
                    <w:right w:val="single" w:sz="2" w:space="0" w:color="E3E3E3"/>
                  </w:divBdr>
                  <w:divsChild>
                    <w:div w:id="1282686287">
                      <w:marLeft w:val="0"/>
                      <w:marRight w:val="0"/>
                      <w:marTop w:val="0"/>
                      <w:marBottom w:val="0"/>
                      <w:divBdr>
                        <w:top w:val="single" w:sz="2" w:space="0" w:color="E3E3E3"/>
                        <w:left w:val="single" w:sz="2" w:space="0" w:color="E3E3E3"/>
                        <w:bottom w:val="single" w:sz="2" w:space="0" w:color="E3E3E3"/>
                        <w:right w:val="single" w:sz="2" w:space="0" w:color="E3E3E3"/>
                      </w:divBdr>
                      <w:divsChild>
                        <w:div w:id="2057897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5083908">
          <w:marLeft w:val="0"/>
          <w:marRight w:val="0"/>
          <w:marTop w:val="0"/>
          <w:marBottom w:val="0"/>
          <w:divBdr>
            <w:top w:val="single" w:sz="2" w:space="0" w:color="E3E3E3"/>
            <w:left w:val="single" w:sz="2" w:space="0" w:color="E3E3E3"/>
            <w:bottom w:val="single" w:sz="2" w:space="0" w:color="E3E3E3"/>
            <w:right w:val="single" w:sz="2" w:space="0" w:color="E3E3E3"/>
          </w:divBdr>
          <w:divsChild>
            <w:div w:id="1893420758">
              <w:marLeft w:val="0"/>
              <w:marRight w:val="0"/>
              <w:marTop w:val="0"/>
              <w:marBottom w:val="0"/>
              <w:divBdr>
                <w:top w:val="single" w:sz="2" w:space="0" w:color="E3E3E3"/>
                <w:left w:val="single" w:sz="2" w:space="0" w:color="E3E3E3"/>
                <w:bottom w:val="single" w:sz="2" w:space="0" w:color="E3E3E3"/>
                <w:right w:val="single" w:sz="2" w:space="0" w:color="E3E3E3"/>
              </w:divBdr>
              <w:divsChild>
                <w:div w:id="1944069629">
                  <w:marLeft w:val="0"/>
                  <w:marRight w:val="0"/>
                  <w:marTop w:val="0"/>
                  <w:marBottom w:val="0"/>
                  <w:divBdr>
                    <w:top w:val="single" w:sz="2" w:space="0" w:color="E3E3E3"/>
                    <w:left w:val="single" w:sz="2" w:space="0" w:color="E3E3E3"/>
                    <w:bottom w:val="single" w:sz="2" w:space="0" w:color="E3E3E3"/>
                    <w:right w:val="single" w:sz="2" w:space="0" w:color="E3E3E3"/>
                  </w:divBdr>
                  <w:divsChild>
                    <w:div w:id="575437262">
                      <w:marLeft w:val="0"/>
                      <w:marRight w:val="0"/>
                      <w:marTop w:val="0"/>
                      <w:marBottom w:val="0"/>
                      <w:divBdr>
                        <w:top w:val="single" w:sz="2" w:space="0" w:color="E3E3E3"/>
                        <w:left w:val="single" w:sz="2" w:space="0" w:color="E3E3E3"/>
                        <w:bottom w:val="single" w:sz="2" w:space="0" w:color="E3E3E3"/>
                        <w:right w:val="single" w:sz="2" w:space="0" w:color="E3E3E3"/>
                      </w:divBdr>
                      <w:divsChild>
                        <w:div w:id="12495374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65619067">
      <w:bodyDiv w:val="1"/>
      <w:marLeft w:val="0"/>
      <w:marRight w:val="0"/>
      <w:marTop w:val="0"/>
      <w:marBottom w:val="0"/>
      <w:divBdr>
        <w:top w:val="none" w:sz="0" w:space="0" w:color="auto"/>
        <w:left w:val="none" w:sz="0" w:space="0" w:color="auto"/>
        <w:bottom w:val="none" w:sz="0" w:space="0" w:color="auto"/>
        <w:right w:val="none" w:sz="0" w:space="0" w:color="auto"/>
      </w:divBdr>
      <w:divsChild>
        <w:div w:id="2107798928">
          <w:marLeft w:val="0"/>
          <w:marRight w:val="0"/>
          <w:marTop w:val="0"/>
          <w:marBottom w:val="0"/>
          <w:divBdr>
            <w:top w:val="none" w:sz="0" w:space="0" w:color="auto"/>
            <w:left w:val="none" w:sz="0" w:space="0" w:color="auto"/>
            <w:bottom w:val="none" w:sz="0" w:space="0" w:color="auto"/>
            <w:right w:val="none" w:sz="0" w:space="0" w:color="auto"/>
          </w:divBdr>
          <w:divsChild>
            <w:div w:id="1174682828">
              <w:marLeft w:val="0"/>
              <w:marRight w:val="0"/>
              <w:marTop w:val="0"/>
              <w:marBottom w:val="0"/>
              <w:divBdr>
                <w:top w:val="none" w:sz="0" w:space="0" w:color="auto"/>
                <w:left w:val="none" w:sz="0" w:space="0" w:color="auto"/>
                <w:bottom w:val="none" w:sz="0" w:space="0" w:color="auto"/>
                <w:right w:val="none" w:sz="0" w:space="0" w:color="auto"/>
              </w:divBdr>
              <w:divsChild>
                <w:div w:id="1916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2359">
      <w:bodyDiv w:val="1"/>
      <w:marLeft w:val="0"/>
      <w:marRight w:val="0"/>
      <w:marTop w:val="0"/>
      <w:marBottom w:val="0"/>
      <w:divBdr>
        <w:top w:val="none" w:sz="0" w:space="0" w:color="auto"/>
        <w:left w:val="none" w:sz="0" w:space="0" w:color="auto"/>
        <w:bottom w:val="none" w:sz="0" w:space="0" w:color="auto"/>
        <w:right w:val="none" w:sz="0" w:space="0" w:color="auto"/>
      </w:divBdr>
      <w:divsChild>
        <w:div w:id="1430351911">
          <w:marLeft w:val="0"/>
          <w:marRight w:val="0"/>
          <w:marTop w:val="0"/>
          <w:marBottom w:val="0"/>
          <w:divBdr>
            <w:top w:val="none" w:sz="0" w:space="0" w:color="auto"/>
            <w:left w:val="none" w:sz="0" w:space="0" w:color="auto"/>
            <w:bottom w:val="none" w:sz="0" w:space="0" w:color="auto"/>
            <w:right w:val="none" w:sz="0" w:space="0" w:color="auto"/>
          </w:divBdr>
          <w:divsChild>
            <w:div w:id="1268655833">
              <w:marLeft w:val="0"/>
              <w:marRight w:val="0"/>
              <w:marTop w:val="0"/>
              <w:marBottom w:val="0"/>
              <w:divBdr>
                <w:top w:val="none" w:sz="0" w:space="0" w:color="auto"/>
                <w:left w:val="none" w:sz="0" w:space="0" w:color="auto"/>
                <w:bottom w:val="none" w:sz="0" w:space="0" w:color="auto"/>
                <w:right w:val="none" w:sz="0" w:space="0" w:color="auto"/>
              </w:divBdr>
              <w:divsChild>
                <w:div w:id="12617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0204">
      <w:bodyDiv w:val="1"/>
      <w:marLeft w:val="0"/>
      <w:marRight w:val="0"/>
      <w:marTop w:val="0"/>
      <w:marBottom w:val="0"/>
      <w:divBdr>
        <w:top w:val="none" w:sz="0" w:space="0" w:color="auto"/>
        <w:left w:val="none" w:sz="0" w:space="0" w:color="auto"/>
        <w:bottom w:val="none" w:sz="0" w:space="0" w:color="auto"/>
        <w:right w:val="none" w:sz="0" w:space="0" w:color="auto"/>
      </w:divBdr>
    </w:div>
    <w:div w:id="951790970">
      <w:bodyDiv w:val="1"/>
      <w:marLeft w:val="0"/>
      <w:marRight w:val="0"/>
      <w:marTop w:val="0"/>
      <w:marBottom w:val="0"/>
      <w:divBdr>
        <w:top w:val="none" w:sz="0" w:space="0" w:color="auto"/>
        <w:left w:val="none" w:sz="0" w:space="0" w:color="auto"/>
        <w:bottom w:val="none" w:sz="0" w:space="0" w:color="auto"/>
        <w:right w:val="none" w:sz="0" w:space="0" w:color="auto"/>
      </w:divBdr>
      <w:divsChild>
        <w:div w:id="1849901129">
          <w:marLeft w:val="0"/>
          <w:marRight w:val="0"/>
          <w:marTop w:val="0"/>
          <w:marBottom w:val="0"/>
          <w:divBdr>
            <w:top w:val="single" w:sz="2" w:space="0" w:color="E3E3E3"/>
            <w:left w:val="single" w:sz="2" w:space="0" w:color="E3E3E3"/>
            <w:bottom w:val="single" w:sz="2" w:space="0" w:color="E3E3E3"/>
            <w:right w:val="single" w:sz="2" w:space="0" w:color="E3E3E3"/>
          </w:divBdr>
          <w:divsChild>
            <w:div w:id="616302822">
              <w:marLeft w:val="0"/>
              <w:marRight w:val="0"/>
              <w:marTop w:val="0"/>
              <w:marBottom w:val="0"/>
              <w:divBdr>
                <w:top w:val="single" w:sz="2" w:space="0" w:color="E3E3E3"/>
                <w:left w:val="single" w:sz="2" w:space="0" w:color="E3E3E3"/>
                <w:bottom w:val="single" w:sz="2" w:space="0" w:color="E3E3E3"/>
                <w:right w:val="single" w:sz="2" w:space="0" w:color="E3E3E3"/>
              </w:divBdr>
              <w:divsChild>
                <w:div w:id="1688560074">
                  <w:marLeft w:val="0"/>
                  <w:marRight w:val="0"/>
                  <w:marTop w:val="0"/>
                  <w:marBottom w:val="0"/>
                  <w:divBdr>
                    <w:top w:val="single" w:sz="2" w:space="0" w:color="E3E3E3"/>
                    <w:left w:val="single" w:sz="2" w:space="0" w:color="E3E3E3"/>
                    <w:bottom w:val="single" w:sz="2" w:space="0" w:color="E3E3E3"/>
                    <w:right w:val="single" w:sz="2" w:space="0" w:color="E3E3E3"/>
                  </w:divBdr>
                  <w:divsChild>
                    <w:div w:id="1539197746">
                      <w:marLeft w:val="0"/>
                      <w:marRight w:val="0"/>
                      <w:marTop w:val="0"/>
                      <w:marBottom w:val="0"/>
                      <w:divBdr>
                        <w:top w:val="single" w:sz="2" w:space="0" w:color="E3E3E3"/>
                        <w:left w:val="single" w:sz="2" w:space="0" w:color="E3E3E3"/>
                        <w:bottom w:val="single" w:sz="2" w:space="0" w:color="E3E3E3"/>
                        <w:right w:val="single" w:sz="2" w:space="0" w:color="E3E3E3"/>
                      </w:divBdr>
                      <w:divsChild>
                        <w:div w:id="20850301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6175971">
          <w:marLeft w:val="0"/>
          <w:marRight w:val="0"/>
          <w:marTop w:val="0"/>
          <w:marBottom w:val="0"/>
          <w:divBdr>
            <w:top w:val="single" w:sz="2" w:space="0" w:color="E3E3E3"/>
            <w:left w:val="single" w:sz="2" w:space="0" w:color="E3E3E3"/>
            <w:bottom w:val="single" w:sz="2" w:space="0" w:color="E3E3E3"/>
            <w:right w:val="single" w:sz="2" w:space="0" w:color="E3E3E3"/>
          </w:divBdr>
          <w:divsChild>
            <w:div w:id="1028144352">
              <w:marLeft w:val="0"/>
              <w:marRight w:val="0"/>
              <w:marTop w:val="0"/>
              <w:marBottom w:val="0"/>
              <w:divBdr>
                <w:top w:val="single" w:sz="2" w:space="0" w:color="E3E3E3"/>
                <w:left w:val="single" w:sz="2" w:space="0" w:color="E3E3E3"/>
                <w:bottom w:val="single" w:sz="2" w:space="0" w:color="E3E3E3"/>
                <w:right w:val="single" w:sz="2" w:space="0" w:color="E3E3E3"/>
              </w:divBdr>
              <w:divsChild>
                <w:div w:id="1599823446">
                  <w:marLeft w:val="0"/>
                  <w:marRight w:val="0"/>
                  <w:marTop w:val="0"/>
                  <w:marBottom w:val="0"/>
                  <w:divBdr>
                    <w:top w:val="single" w:sz="2" w:space="0" w:color="E3E3E3"/>
                    <w:left w:val="single" w:sz="2" w:space="0" w:color="E3E3E3"/>
                    <w:bottom w:val="single" w:sz="2" w:space="0" w:color="E3E3E3"/>
                    <w:right w:val="single" w:sz="2" w:space="0" w:color="E3E3E3"/>
                  </w:divBdr>
                  <w:divsChild>
                    <w:div w:id="2137676342">
                      <w:marLeft w:val="0"/>
                      <w:marRight w:val="0"/>
                      <w:marTop w:val="0"/>
                      <w:marBottom w:val="0"/>
                      <w:divBdr>
                        <w:top w:val="single" w:sz="2" w:space="0" w:color="E3E3E3"/>
                        <w:left w:val="single" w:sz="2" w:space="0" w:color="E3E3E3"/>
                        <w:bottom w:val="single" w:sz="2" w:space="0" w:color="E3E3E3"/>
                        <w:right w:val="single" w:sz="2" w:space="0" w:color="E3E3E3"/>
                      </w:divBdr>
                      <w:divsChild>
                        <w:div w:id="1170101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63266129">
      <w:bodyDiv w:val="1"/>
      <w:marLeft w:val="0"/>
      <w:marRight w:val="0"/>
      <w:marTop w:val="0"/>
      <w:marBottom w:val="0"/>
      <w:divBdr>
        <w:top w:val="none" w:sz="0" w:space="0" w:color="auto"/>
        <w:left w:val="none" w:sz="0" w:space="0" w:color="auto"/>
        <w:bottom w:val="none" w:sz="0" w:space="0" w:color="auto"/>
        <w:right w:val="none" w:sz="0" w:space="0" w:color="auto"/>
      </w:divBdr>
      <w:divsChild>
        <w:div w:id="329915312">
          <w:marLeft w:val="0"/>
          <w:marRight w:val="0"/>
          <w:marTop w:val="0"/>
          <w:marBottom w:val="0"/>
          <w:divBdr>
            <w:top w:val="single" w:sz="2" w:space="0" w:color="E3E3E3"/>
            <w:left w:val="single" w:sz="2" w:space="0" w:color="E3E3E3"/>
            <w:bottom w:val="single" w:sz="2" w:space="0" w:color="E3E3E3"/>
            <w:right w:val="single" w:sz="2" w:space="0" w:color="E3E3E3"/>
          </w:divBdr>
          <w:divsChild>
            <w:div w:id="146288477">
              <w:marLeft w:val="0"/>
              <w:marRight w:val="0"/>
              <w:marTop w:val="0"/>
              <w:marBottom w:val="0"/>
              <w:divBdr>
                <w:top w:val="single" w:sz="2" w:space="0" w:color="E3E3E3"/>
                <w:left w:val="single" w:sz="2" w:space="0" w:color="E3E3E3"/>
                <w:bottom w:val="single" w:sz="2" w:space="0" w:color="E3E3E3"/>
                <w:right w:val="single" w:sz="2" w:space="0" w:color="E3E3E3"/>
              </w:divBdr>
              <w:divsChild>
                <w:div w:id="144318763">
                  <w:marLeft w:val="0"/>
                  <w:marRight w:val="0"/>
                  <w:marTop w:val="0"/>
                  <w:marBottom w:val="0"/>
                  <w:divBdr>
                    <w:top w:val="single" w:sz="2" w:space="0" w:color="E3E3E3"/>
                    <w:left w:val="single" w:sz="2" w:space="0" w:color="E3E3E3"/>
                    <w:bottom w:val="single" w:sz="2" w:space="0" w:color="E3E3E3"/>
                    <w:right w:val="single" w:sz="2" w:space="0" w:color="E3E3E3"/>
                  </w:divBdr>
                  <w:divsChild>
                    <w:div w:id="506603489">
                      <w:marLeft w:val="0"/>
                      <w:marRight w:val="0"/>
                      <w:marTop w:val="0"/>
                      <w:marBottom w:val="0"/>
                      <w:divBdr>
                        <w:top w:val="single" w:sz="2" w:space="0" w:color="E3E3E3"/>
                        <w:left w:val="single" w:sz="2" w:space="0" w:color="E3E3E3"/>
                        <w:bottom w:val="single" w:sz="2" w:space="0" w:color="E3E3E3"/>
                        <w:right w:val="single" w:sz="2" w:space="0" w:color="E3E3E3"/>
                      </w:divBdr>
                      <w:divsChild>
                        <w:div w:id="1967421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78961836">
          <w:marLeft w:val="0"/>
          <w:marRight w:val="0"/>
          <w:marTop w:val="0"/>
          <w:marBottom w:val="0"/>
          <w:divBdr>
            <w:top w:val="single" w:sz="2" w:space="0" w:color="E3E3E3"/>
            <w:left w:val="single" w:sz="2" w:space="0" w:color="E3E3E3"/>
            <w:bottom w:val="single" w:sz="2" w:space="0" w:color="E3E3E3"/>
            <w:right w:val="single" w:sz="2" w:space="0" w:color="E3E3E3"/>
          </w:divBdr>
          <w:divsChild>
            <w:div w:id="799375086">
              <w:marLeft w:val="0"/>
              <w:marRight w:val="0"/>
              <w:marTop w:val="0"/>
              <w:marBottom w:val="0"/>
              <w:divBdr>
                <w:top w:val="single" w:sz="2" w:space="0" w:color="E3E3E3"/>
                <w:left w:val="single" w:sz="2" w:space="0" w:color="E3E3E3"/>
                <w:bottom w:val="single" w:sz="2" w:space="0" w:color="E3E3E3"/>
                <w:right w:val="single" w:sz="2" w:space="0" w:color="E3E3E3"/>
              </w:divBdr>
              <w:divsChild>
                <w:div w:id="726106012">
                  <w:marLeft w:val="0"/>
                  <w:marRight w:val="0"/>
                  <w:marTop w:val="0"/>
                  <w:marBottom w:val="0"/>
                  <w:divBdr>
                    <w:top w:val="single" w:sz="2" w:space="0" w:color="E3E3E3"/>
                    <w:left w:val="single" w:sz="2" w:space="0" w:color="E3E3E3"/>
                    <w:bottom w:val="single" w:sz="2" w:space="0" w:color="E3E3E3"/>
                    <w:right w:val="single" w:sz="2" w:space="0" w:color="E3E3E3"/>
                  </w:divBdr>
                  <w:divsChild>
                    <w:div w:id="674265204">
                      <w:marLeft w:val="0"/>
                      <w:marRight w:val="0"/>
                      <w:marTop w:val="0"/>
                      <w:marBottom w:val="0"/>
                      <w:divBdr>
                        <w:top w:val="single" w:sz="2" w:space="0" w:color="E3E3E3"/>
                        <w:left w:val="single" w:sz="2" w:space="0" w:color="E3E3E3"/>
                        <w:bottom w:val="single" w:sz="2" w:space="0" w:color="E3E3E3"/>
                        <w:right w:val="single" w:sz="2" w:space="0" w:color="E3E3E3"/>
                      </w:divBdr>
                      <w:divsChild>
                        <w:div w:id="948775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89554092">
      <w:bodyDiv w:val="1"/>
      <w:marLeft w:val="0"/>
      <w:marRight w:val="0"/>
      <w:marTop w:val="0"/>
      <w:marBottom w:val="0"/>
      <w:divBdr>
        <w:top w:val="none" w:sz="0" w:space="0" w:color="auto"/>
        <w:left w:val="none" w:sz="0" w:space="0" w:color="auto"/>
        <w:bottom w:val="none" w:sz="0" w:space="0" w:color="auto"/>
        <w:right w:val="none" w:sz="0" w:space="0" w:color="auto"/>
      </w:divBdr>
      <w:divsChild>
        <w:div w:id="209346668">
          <w:marLeft w:val="0"/>
          <w:marRight w:val="0"/>
          <w:marTop w:val="0"/>
          <w:marBottom w:val="0"/>
          <w:divBdr>
            <w:top w:val="none" w:sz="0" w:space="0" w:color="auto"/>
            <w:left w:val="none" w:sz="0" w:space="0" w:color="auto"/>
            <w:bottom w:val="none" w:sz="0" w:space="0" w:color="auto"/>
            <w:right w:val="none" w:sz="0" w:space="0" w:color="auto"/>
          </w:divBdr>
          <w:divsChild>
            <w:div w:id="1621647774">
              <w:marLeft w:val="0"/>
              <w:marRight w:val="0"/>
              <w:marTop w:val="0"/>
              <w:marBottom w:val="0"/>
              <w:divBdr>
                <w:top w:val="none" w:sz="0" w:space="0" w:color="auto"/>
                <w:left w:val="none" w:sz="0" w:space="0" w:color="auto"/>
                <w:bottom w:val="none" w:sz="0" w:space="0" w:color="auto"/>
                <w:right w:val="none" w:sz="0" w:space="0" w:color="auto"/>
              </w:divBdr>
              <w:divsChild>
                <w:div w:id="8771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750">
      <w:bodyDiv w:val="1"/>
      <w:marLeft w:val="0"/>
      <w:marRight w:val="0"/>
      <w:marTop w:val="0"/>
      <w:marBottom w:val="0"/>
      <w:divBdr>
        <w:top w:val="none" w:sz="0" w:space="0" w:color="auto"/>
        <w:left w:val="none" w:sz="0" w:space="0" w:color="auto"/>
        <w:bottom w:val="none" w:sz="0" w:space="0" w:color="auto"/>
        <w:right w:val="none" w:sz="0" w:space="0" w:color="auto"/>
      </w:divBdr>
      <w:divsChild>
        <w:div w:id="291601591">
          <w:marLeft w:val="0"/>
          <w:marRight w:val="0"/>
          <w:marTop w:val="0"/>
          <w:marBottom w:val="0"/>
          <w:divBdr>
            <w:top w:val="single" w:sz="2" w:space="0" w:color="E3E3E3"/>
            <w:left w:val="single" w:sz="2" w:space="0" w:color="E3E3E3"/>
            <w:bottom w:val="single" w:sz="2" w:space="0" w:color="E3E3E3"/>
            <w:right w:val="single" w:sz="2" w:space="0" w:color="E3E3E3"/>
          </w:divBdr>
          <w:divsChild>
            <w:div w:id="1437867090">
              <w:marLeft w:val="0"/>
              <w:marRight w:val="0"/>
              <w:marTop w:val="0"/>
              <w:marBottom w:val="0"/>
              <w:divBdr>
                <w:top w:val="single" w:sz="2" w:space="0" w:color="E3E3E3"/>
                <w:left w:val="single" w:sz="2" w:space="0" w:color="E3E3E3"/>
                <w:bottom w:val="single" w:sz="2" w:space="0" w:color="E3E3E3"/>
                <w:right w:val="single" w:sz="2" w:space="0" w:color="E3E3E3"/>
              </w:divBdr>
              <w:divsChild>
                <w:div w:id="1441024821">
                  <w:marLeft w:val="0"/>
                  <w:marRight w:val="0"/>
                  <w:marTop w:val="0"/>
                  <w:marBottom w:val="0"/>
                  <w:divBdr>
                    <w:top w:val="single" w:sz="2" w:space="0" w:color="E3E3E3"/>
                    <w:left w:val="single" w:sz="2" w:space="0" w:color="E3E3E3"/>
                    <w:bottom w:val="single" w:sz="2" w:space="0" w:color="E3E3E3"/>
                    <w:right w:val="single" w:sz="2" w:space="0" w:color="E3E3E3"/>
                  </w:divBdr>
                  <w:divsChild>
                    <w:div w:id="1094399462">
                      <w:marLeft w:val="0"/>
                      <w:marRight w:val="0"/>
                      <w:marTop w:val="0"/>
                      <w:marBottom w:val="0"/>
                      <w:divBdr>
                        <w:top w:val="single" w:sz="2" w:space="0" w:color="E3E3E3"/>
                        <w:left w:val="single" w:sz="2" w:space="0" w:color="E3E3E3"/>
                        <w:bottom w:val="single" w:sz="2" w:space="0" w:color="E3E3E3"/>
                        <w:right w:val="single" w:sz="2" w:space="0" w:color="E3E3E3"/>
                      </w:divBdr>
                      <w:divsChild>
                        <w:div w:id="1563519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0664329">
          <w:marLeft w:val="0"/>
          <w:marRight w:val="0"/>
          <w:marTop w:val="0"/>
          <w:marBottom w:val="0"/>
          <w:divBdr>
            <w:top w:val="single" w:sz="2" w:space="0" w:color="E3E3E3"/>
            <w:left w:val="single" w:sz="2" w:space="0" w:color="E3E3E3"/>
            <w:bottom w:val="single" w:sz="2" w:space="0" w:color="E3E3E3"/>
            <w:right w:val="single" w:sz="2" w:space="0" w:color="E3E3E3"/>
          </w:divBdr>
          <w:divsChild>
            <w:div w:id="96871135">
              <w:marLeft w:val="0"/>
              <w:marRight w:val="0"/>
              <w:marTop w:val="0"/>
              <w:marBottom w:val="0"/>
              <w:divBdr>
                <w:top w:val="single" w:sz="2" w:space="0" w:color="E3E3E3"/>
                <w:left w:val="single" w:sz="2" w:space="0" w:color="E3E3E3"/>
                <w:bottom w:val="single" w:sz="2" w:space="0" w:color="E3E3E3"/>
                <w:right w:val="single" w:sz="2" w:space="0" w:color="E3E3E3"/>
              </w:divBdr>
              <w:divsChild>
                <w:div w:id="1178546286">
                  <w:marLeft w:val="0"/>
                  <w:marRight w:val="0"/>
                  <w:marTop w:val="0"/>
                  <w:marBottom w:val="0"/>
                  <w:divBdr>
                    <w:top w:val="single" w:sz="2" w:space="0" w:color="E3E3E3"/>
                    <w:left w:val="single" w:sz="2" w:space="0" w:color="E3E3E3"/>
                    <w:bottom w:val="single" w:sz="2" w:space="0" w:color="E3E3E3"/>
                    <w:right w:val="single" w:sz="2" w:space="0" w:color="E3E3E3"/>
                  </w:divBdr>
                  <w:divsChild>
                    <w:div w:id="756562720">
                      <w:marLeft w:val="0"/>
                      <w:marRight w:val="0"/>
                      <w:marTop w:val="0"/>
                      <w:marBottom w:val="0"/>
                      <w:divBdr>
                        <w:top w:val="single" w:sz="2" w:space="0" w:color="E3E3E3"/>
                        <w:left w:val="single" w:sz="2" w:space="0" w:color="E3E3E3"/>
                        <w:bottom w:val="single" w:sz="2" w:space="0" w:color="E3E3E3"/>
                        <w:right w:val="single" w:sz="2" w:space="0" w:color="E3E3E3"/>
                      </w:divBdr>
                      <w:divsChild>
                        <w:div w:id="952981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53431607">
      <w:bodyDiv w:val="1"/>
      <w:marLeft w:val="0"/>
      <w:marRight w:val="0"/>
      <w:marTop w:val="0"/>
      <w:marBottom w:val="0"/>
      <w:divBdr>
        <w:top w:val="none" w:sz="0" w:space="0" w:color="auto"/>
        <w:left w:val="none" w:sz="0" w:space="0" w:color="auto"/>
        <w:bottom w:val="none" w:sz="0" w:space="0" w:color="auto"/>
        <w:right w:val="none" w:sz="0" w:space="0" w:color="auto"/>
      </w:divBdr>
      <w:divsChild>
        <w:div w:id="1461873546">
          <w:marLeft w:val="0"/>
          <w:marRight w:val="0"/>
          <w:marTop w:val="0"/>
          <w:marBottom w:val="0"/>
          <w:divBdr>
            <w:top w:val="none" w:sz="0" w:space="0" w:color="auto"/>
            <w:left w:val="none" w:sz="0" w:space="0" w:color="auto"/>
            <w:bottom w:val="none" w:sz="0" w:space="0" w:color="auto"/>
            <w:right w:val="none" w:sz="0" w:space="0" w:color="auto"/>
          </w:divBdr>
        </w:div>
      </w:divsChild>
    </w:div>
    <w:div w:id="1064646540">
      <w:bodyDiv w:val="1"/>
      <w:marLeft w:val="0"/>
      <w:marRight w:val="0"/>
      <w:marTop w:val="0"/>
      <w:marBottom w:val="0"/>
      <w:divBdr>
        <w:top w:val="none" w:sz="0" w:space="0" w:color="auto"/>
        <w:left w:val="none" w:sz="0" w:space="0" w:color="auto"/>
        <w:bottom w:val="none" w:sz="0" w:space="0" w:color="auto"/>
        <w:right w:val="none" w:sz="0" w:space="0" w:color="auto"/>
      </w:divBdr>
      <w:divsChild>
        <w:div w:id="1665545008">
          <w:marLeft w:val="0"/>
          <w:marRight w:val="0"/>
          <w:marTop w:val="0"/>
          <w:marBottom w:val="0"/>
          <w:divBdr>
            <w:top w:val="none" w:sz="0" w:space="0" w:color="auto"/>
            <w:left w:val="none" w:sz="0" w:space="0" w:color="auto"/>
            <w:bottom w:val="none" w:sz="0" w:space="0" w:color="auto"/>
            <w:right w:val="none" w:sz="0" w:space="0" w:color="auto"/>
          </w:divBdr>
          <w:divsChild>
            <w:div w:id="1526089317">
              <w:marLeft w:val="0"/>
              <w:marRight w:val="0"/>
              <w:marTop w:val="0"/>
              <w:marBottom w:val="0"/>
              <w:divBdr>
                <w:top w:val="none" w:sz="0" w:space="0" w:color="auto"/>
                <w:left w:val="none" w:sz="0" w:space="0" w:color="auto"/>
                <w:bottom w:val="none" w:sz="0" w:space="0" w:color="auto"/>
                <w:right w:val="none" w:sz="0" w:space="0" w:color="auto"/>
              </w:divBdr>
              <w:divsChild>
                <w:div w:id="1433625593">
                  <w:marLeft w:val="0"/>
                  <w:marRight w:val="0"/>
                  <w:marTop w:val="0"/>
                  <w:marBottom w:val="0"/>
                  <w:divBdr>
                    <w:top w:val="none" w:sz="0" w:space="0" w:color="auto"/>
                    <w:left w:val="none" w:sz="0" w:space="0" w:color="auto"/>
                    <w:bottom w:val="none" w:sz="0" w:space="0" w:color="auto"/>
                    <w:right w:val="none" w:sz="0" w:space="0" w:color="auto"/>
                  </w:divBdr>
                </w:div>
              </w:divsChild>
            </w:div>
            <w:div w:id="932783005">
              <w:marLeft w:val="0"/>
              <w:marRight w:val="0"/>
              <w:marTop w:val="0"/>
              <w:marBottom w:val="0"/>
              <w:divBdr>
                <w:top w:val="none" w:sz="0" w:space="0" w:color="auto"/>
                <w:left w:val="none" w:sz="0" w:space="0" w:color="auto"/>
                <w:bottom w:val="none" w:sz="0" w:space="0" w:color="auto"/>
                <w:right w:val="none" w:sz="0" w:space="0" w:color="auto"/>
              </w:divBdr>
              <w:divsChild>
                <w:div w:id="6386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4394">
          <w:marLeft w:val="0"/>
          <w:marRight w:val="0"/>
          <w:marTop w:val="0"/>
          <w:marBottom w:val="0"/>
          <w:divBdr>
            <w:top w:val="none" w:sz="0" w:space="0" w:color="auto"/>
            <w:left w:val="none" w:sz="0" w:space="0" w:color="auto"/>
            <w:bottom w:val="none" w:sz="0" w:space="0" w:color="auto"/>
            <w:right w:val="none" w:sz="0" w:space="0" w:color="auto"/>
          </w:divBdr>
          <w:divsChild>
            <w:div w:id="821628692">
              <w:marLeft w:val="0"/>
              <w:marRight w:val="0"/>
              <w:marTop w:val="0"/>
              <w:marBottom w:val="0"/>
              <w:divBdr>
                <w:top w:val="none" w:sz="0" w:space="0" w:color="auto"/>
                <w:left w:val="none" w:sz="0" w:space="0" w:color="auto"/>
                <w:bottom w:val="none" w:sz="0" w:space="0" w:color="auto"/>
                <w:right w:val="none" w:sz="0" w:space="0" w:color="auto"/>
              </w:divBdr>
              <w:divsChild>
                <w:div w:id="12305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22424">
      <w:bodyDiv w:val="1"/>
      <w:marLeft w:val="0"/>
      <w:marRight w:val="0"/>
      <w:marTop w:val="0"/>
      <w:marBottom w:val="0"/>
      <w:divBdr>
        <w:top w:val="none" w:sz="0" w:space="0" w:color="auto"/>
        <w:left w:val="none" w:sz="0" w:space="0" w:color="auto"/>
        <w:bottom w:val="none" w:sz="0" w:space="0" w:color="auto"/>
        <w:right w:val="none" w:sz="0" w:space="0" w:color="auto"/>
      </w:divBdr>
      <w:divsChild>
        <w:div w:id="1664039734">
          <w:marLeft w:val="0"/>
          <w:marRight w:val="0"/>
          <w:marTop w:val="0"/>
          <w:marBottom w:val="0"/>
          <w:divBdr>
            <w:top w:val="single" w:sz="2" w:space="0" w:color="E3E3E3"/>
            <w:left w:val="single" w:sz="2" w:space="0" w:color="E3E3E3"/>
            <w:bottom w:val="single" w:sz="2" w:space="0" w:color="E3E3E3"/>
            <w:right w:val="single" w:sz="2" w:space="0" w:color="E3E3E3"/>
          </w:divBdr>
          <w:divsChild>
            <w:div w:id="937255658">
              <w:marLeft w:val="0"/>
              <w:marRight w:val="0"/>
              <w:marTop w:val="0"/>
              <w:marBottom w:val="0"/>
              <w:divBdr>
                <w:top w:val="single" w:sz="2" w:space="0" w:color="E3E3E3"/>
                <w:left w:val="single" w:sz="2" w:space="0" w:color="E3E3E3"/>
                <w:bottom w:val="single" w:sz="2" w:space="0" w:color="E3E3E3"/>
                <w:right w:val="single" w:sz="2" w:space="0" w:color="E3E3E3"/>
              </w:divBdr>
              <w:divsChild>
                <w:div w:id="927420880">
                  <w:marLeft w:val="0"/>
                  <w:marRight w:val="0"/>
                  <w:marTop w:val="0"/>
                  <w:marBottom w:val="0"/>
                  <w:divBdr>
                    <w:top w:val="single" w:sz="2" w:space="0" w:color="E3E3E3"/>
                    <w:left w:val="single" w:sz="2" w:space="0" w:color="E3E3E3"/>
                    <w:bottom w:val="single" w:sz="2" w:space="0" w:color="E3E3E3"/>
                    <w:right w:val="single" w:sz="2" w:space="0" w:color="E3E3E3"/>
                  </w:divBdr>
                  <w:divsChild>
                    <w:div w:id="748580676">
                      <w:marLeft w:val="0"/>
                      <w:marRight w:val="0"/>
                      <w:marTop w:val="0"/>
                      <w:marBottom w:val="0"/>
                      <w:divBdr>
                        <w:top w:val="single" w:sz="2" w:space="0" w:color="E3E3E3"/>
                        <w:left w:val="single" w:sz="2" w:space="0" w:color="E3E3E3"/>
                        <w:bottom w:val="single" w:sz="2" w:space="0" w:color="E3E3E3"/>
                        <w:right w:val="single" w:sz="2" w:space="0" w:color="E3E3E3"/>
                      </w:divBdr>
                      <w:divsChild>
                        <w:div w:id="1141995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8472536">
          <w:marLeft w:val="0"/>
          <w:marRight w:val="0"/>
          <w:marTop w:val="0"/>
          <w:marBottom w:val="0"/>
          <w:divBdr>
            <w:top w:val="single" w:sz="2" w:space="0" w:color="E3E3E3"/>
            <w:left w:val="single" w:sz="2" w:space="0" w:color="E3E3E3"/>
            <w:bottom w:val="single" w:sz="2" w:space="0" w:color="E3E3E3"/>
            <w:right w:val="single" w:sz="2" w:space="0" w:color="E3E3E3"/>
          </w:divBdr>
          <w:divsChild>
            <w:div w:id="793400560">
              <w:marLeft w:val="0"/>
              <w:marRight w:val="0"/>
              <w:marTop w:val="0"/>
              <w:marBottom w:val="0"/>
              <w:divBdr>
                <w:top w:val="single" w:sz="2" w:space="0" w:color="E3E3E3"/>
                <w:left w:val="single" w:sz="2" w:space="0" w:color="E3E3E3"/>
                <w:bottom w:val="single" w:sz="2" w:space="0" w:color="E3E3E3"/>
                <w:right w:val="single" w:sz="2" w:space="0" w:color="E3E3E3"/>
              </w:divBdr>
              <w:divsChild>
                <w:div w:id="1066076799">
                  <w:marLeft w:val="0"/>
                  <w:marRight w:val="0"/>
                  <w:marTop w:val="0"/>
                  <w:marBottom w:val="0"/>
                  <w:divBdr>
                    <w:top w:val="single" w:sz="2" w:space="0" w:color="E3E3E3"/>
                    <w:left w:val="single" w:sz="2" w:space="0" w:color="E3E3E3"/>
                    <w:bottom w:val="single" w:sz="2" w:space="0" w:color="E3E3E3"/>
                    <w:right w:val="single" w:sz="2" w:space="0" w:color="E3E3E3"/>
                  </w:divBdr>
                  <w:divsChild>
                    <w:div w:id="1687554654">
                      <w:marLeft w:val="0"/>
                      <w:marRight w:val="0"/>
                      <w:marTop w:val="0"/>
                      <w:marBottom w:val="0"/>
                      <w:divBdr>
                        <w:top w:val="single" w:sz="2" w:space="0" w:color="E3E3E3"/>
                        <w:left w:val="single" w:sz="2" w:space="0" w:color="E3E3E3"/>
                        <w:bottom w:val="single" w:sz="2" w:space="0" w:color="E3E3E3"/>
                        <w:right w:val="single" w:sz="2" w:space="0" w:color="E3E3E3"/>
                      </w:divBdr>
                      <w:divsChild>
                        <w:div w:id="637686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42236702">
      <w:bodyDiv w:val="1"/>
      <w:marLeft w:val="0"/>
      <w:marRight w:val="0"/>
      <w:marTop w:val="0"/>
      <w:marBottom w:val="0"/>
      <w:divBdr>
        <w:top w:val="none" w:sz="0" w:space="0" w:color="auto"/>
        <w:left w:val="none" w:sz="0" w:space="0" w:color="auto"/>
        <w:bottom w:val="none" w:sz="0" w:space="0" w:color="auto"/>
        <w:right w:val="none" w:sz="0" w:space="0" w:color="auto"/>
      </w:divBdr>
      <w:divsChild>
        <w:div w:id="1987317229">
          <w:marLeft w:val="0"/>
          <w:marRight w:val="0"/>
          <w:marTop w:val="0"/>
          <w:marBottom w:val="0"/>
          <w:divBdr>
            <w:top w:val="none" w:sz="0" w:space="0" w:color="auto"/>
            <w:left w:val="none" w:sz="0" w:space="0" w:color="auto"/>
            <w:bottom w:val="none" w:sz="0" w:space="0" w:color="auto"/>
            <w:right w:val="none" w:sz="0" w:space="0" w:color="auto"/>
          </w:divBdr>
          <w:divsChild>
            <w:div w:id="808477229">
              <w:marLeft w:val="0"/>
              <w:marRight w:val="0"/>
              <w:marTop w:val="0"/>
              <w:marBottom w:val="0"/>
              <w:divBdr>
                <w:top w:val="none" w:sz="0" w:space="0" w:color="auto"/>
                <w:left w:val="none" w:sz="0" w:space="0" w:color="auto"/>
                <w:bottom w:val="none" w:sz="0" w:space="0" w:color="auto"/>
                <w:right w:val="none" w:sz="0" w:space="0" w:color="auto"/>
              </w:divBdr>
              <w:divsChild>
                <w:div w:id="1659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3191">
      <w:bodyDiv w:val="1"/>
      <w:marLeft w:val="0"/>
      <w:marRight w:val="0"/>
      <w:marTop w:val="0"/>
      <w:marBottom w:val="0"/>
      <w:divBdr>
        <w:top w:val="none" w:sz="0" w:space="0" w:color="auto"/>
        <w:left w:val="none" w:sz="0" w:space="0" w:color="auto"/>
        <w:bottom w:val="none" w:sz="0" w:space="0" w:color="auto"/>
        <w:right w:val="none" w:sz="0" w:space="0" w:color="auto"/>
      </w:divBdr>
      <w:divsChild>
        <w:div w:id="1652706848">
          <w:marLeft w:val="0"/>
          <w:marRight w:val="0"/>
          <w:marTop w:val="0"/>
          <w:marBottom w:val="0"/>
          <w:divBdr>
            <w:top w:val="none" w:sz="0" w:space="0" w:color="auto"/>
            <w:left w:val="none" w:sz="0" w:space="0" w:color="auto"/>
            <w:bottom w:val="none" w:sz="0" w:space="0" w:color="auto"/>
            <w:right w:val="none" w:sz="0" w:space="0" w:color="auto"/>
          </w:divBdr>
          <w:divsChild>
            <w:div w:id="1440177558">
              <w:marLeft w:val="0"/>
              <w:marRight w:val="0"/>
              <w:marTop w:val="0"/>
              <w:marBottom w:val="0"/>
              <w:divBdr>
                <w:top w:val="none" w:sz="0" w:space="0" w:color="auto"/>
                <w:left w:val="none" w:sz="0" w:space="0" w:color="auto"/>
                <w:bottom w:val="none" w:sz="0" w:space="0" w:color="auto"/>
                <w:right w:val="none" w:sz="0" w:space="0" w:color="auto"/>
              </w:divBdr>
              <w:divsChild>
                <w:div w:id="12385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2944">
      <w:bodyDiv w:val="1"/>
      <w:marLeft w:val="0"/>
      <w:marRight w:val="0"/>
      <w:marTop w:val="0"/>
      <w:marBottom w:val="0"/>
      <w:divBdr>
        <w:top w:val="none" w:sz="0" w:space="0" w:color="auto"/>
        <w:left w:val="none" w:sz="0" w:space="0" w:color="auto"/>
        <w:bottom w:val="none" w:sz="0" w:space="0" w:color="auto"/>
        <w:right w:val="none" w:sz="0" w:space="0" w:color="auto"/>
      </w:divBdr>
    </w:div>
    <w:div w:id="1464346898">
      <w:bodyDiv w:val="1"/>
      <w:marLeft w:val="0"/>
      <w:marRight w:val="0"/>
      <w:marTop w:val="0"/>
      <w:marBottom w:val="0"/>
      <w:divBdr>
        <w:top w:val="none" w:sz="0" w:space="0" w:color="auto"/>
        <w:left w:val="none" w:sz="0" w:space="0" w:color="auto"/>
        <w:bottom w:val="none" w:sz="0" w:space="0" w:color="auto"/>
        <w:right w:val="none" w:sz="0" w:space="0" w:color="auto"/>
      </w:divBdr>
      <w:divsChild>
        <w:div w:id="911424235">
          <w:marLeft w:val="0"/>
          <w:marRight w:val="0"/>
          <w:marTop w:val="0"/>
          <w:marBottom w:val="0"/>
          <w:divBdr>
            <w:top w:val="none" w:sz="0" w:space="0" w:color="auto"/>
            <w:left w:val="none" w:sz="0" w:space="0" w:color="auto"/>
            <w:bottom w:val="none" w:sz="0" w:space="0" w:color="auto"/>
            <w:right w:val="none" w:sz="0" w:space="0" w:color="auto"/>
          </w:divBdr>
          <w:divsChild>
            <w:div w:id="1972203069">
              <w:marLeft w:val="0"/>
              <w:marRight w:val="0"/>
              <w:marTop w:val="0"/>
              <w:marBottom w:val="0"/>
              <w:divBdr>
                <w:top w:val="none" w:sz="0" w:space="0" w:color="auto"/>
                <w:left w:val="none" w:sz="0" w:space="0" w:color="auto"/>
                <w:bottom w:val="none" w:sz="0" w:space="0" w:color="auto"/>
                <w:right w:val="none" w:sz="0" w:space="0" w:color="auto"/>
              </w:divBdr>
              <w:divsChild>
                <w:div w:id="7260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2861">
      <w:bodyDiv w:val="1"/>
      <w:marLeft w:val="0"/>
      <w:marRight w:val="0"/>
      <w:marTop w:val="0"/>
      <w:marBottom w:val="0"/>
      <w:divBdr>
        <w:top w:val="none" w:sz="0" w:space="0" w:color="auto"/>
        <w:left w:val="none" w:sz="0" w:space="0" w:color="auto"/>
        <w:bottom w:val="none" w:sz="0" w:space="0" w:color="auto"/>
        <w:right w:val="none" w:sz="0" w:space="0" w:color="auto"/>
      </w:divBdr>
      <w:divsChild>
        <w:div w:id="625889296">
          <w:marLeft w:val="0"/>
          <w:marRight w:val="0"/>
          <w:marTop w:val="0"/>
          <w:marBottom w:val="0"/>
          <w:divBdr>
            <w:top w:val="single" w:sz="2" w:space="0" w:color="E3E3E3"/>
            <w:left w:val="single" w:sz="2" w:space="0" w:color="E3E3E3"/>
            <w:bottom w:val="single" w:sz="2" w:space="0" w:color="E3E3E3"/>
            <w:right w:val="single" w:sz="2" w:space="0" w:color="E3E3E3"/>
          </w:divBdr>
          <w:divsChild>
            <w:div w:id="1818373297">
              <w:marLeft w:val="0"/>
              <w:marRight w:val="0"/>
              <w:marTop w:val="0"/>
              <w:marBottom w:val="0"/>
              <w:divBdr>
                <w:top w:val="single" w:sz="2" w:space="0" w:color="E3E3E3"/>
                <w:left w:val="single" w:sz="2" w:space="0" w:color="E3E3E3"/>
                <w:bottom w:val="single" w:sz="2" w:space="0" w:color="E3E3E3"/>
                <w:right w:val="single" w:sz="2" w:space="0" w:color="E3E3E3"/>
              </w:divBdr>
              <w:divsChild>
                <w:div w:id="630745218">
                  <w:marLeft w:val="0"/>
                  <w:marRight w:val="0"/>
                  <w:marTop w:val="0"/>
                  <w:marBottom w:val="0"/>
                  <w:divBdr>
                    <w:top w:val="single" w:sz="2" w:space="0" w:color="E3E3E3"/>
                    <w:left w:val="single" w:sz="2" w:space="0" w:color="E3E3E3"/>
                    <w:bottom w:val="single" w:sz="2" w:space="0" w:color="E3E3E3"/>
                    <w:right w:val="single" w:sz="2" w:space="0" w:color="E3E3E3"/>
                  </w:divBdr>
                  <w:divsChild>
                    <w:div w:id="873227252">
                      <w:marLeft w:val="0"/>
                      <w:marRight w:val="0"/>
                      <w:marTop w:val="0"/>
                      <w:marBottom w:val="0"/>
                      <w:divBdr>
                        <w:top w:val="single" w:sz="2" w:space="0" w:color="E3E3E3"/>
                        <w:left w:val="single" w:sz="2" w:space="0" w:color="E3E3E3"/>
                        <w:bottom w:val="single" w:sz="2" w:space="0" w:color="E3E3E3"/>
                        <w:right w:val="single" w:sz="2" w:space="0" w:color="E3E3E3"/>
                      </w:divBdr>
                      <w:divsChild>
                        <w:div w:id="10870764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2027799">
          <w:marLeft w:val="0"/>
          <w:marRight w:val="0"/>
          <w:marTop w:val="0"/>
          <w:marBottom w:val="0"/>
          <w:divBdr>
            <w:top w:val="single" w:sz="2" w:space="0" w:color="E3E3E3"/>
            <w:left w:val="single" w:sz="2" w:space="0" w:color="E3E3E3"/>
            <w:bottom w:val="single" w:sz="2" w:space="0" w:color="E3E3E3"/>
            <w:right w:val="single" w:sz="2" w:space="0" w:color="E3E3E3"/>
          </w:divBdr>
          <w:divsChild>
            <w:div w:id="1130048321">
              <w:marLeft w:val="0"/>
              <w:marRight w:val="0"/>
              <w:marTop w:val="0"/>
              <w:marBottom w:val="0"/>
              <w:divBdr>
                <w:top w:val="single" w:sz="2" w:space="0" w:color="E3E3E3"/>
                <w:left w:val="single" w:sz="2" w:space="0" w:color="E3E3E3"/>
                <w:bottom w:val="single" w:sz="2" w:space="0" w:color="E3E3E3"/>
                <w:right w:val="single" w:sz="2" w:space="0" w:color="E3E3E3"/>
              </w:divBdr>
              <w:divsChild>
                <w:div w:id="1602255909">
                  <w:marLeft w:val="0"/>
                  <w:marRight w:val="0"/>
                  <w:marTop w:val="0"/>
                  <w:marBottom w:val="0"/>
                  <w:divBdr>
                    <w:top w:val="single" w:sz="2" w:space="0" w:color="E3E3E3"/>
                    <w:left w:val="single" w:sz="2" w:space="0" w:color="E3E3E3"/>
                    <w:bottom w:val="single" w:sz="2" w:space="0" w:color="E3E3E3"/>
                    <w:right w:val="single" w:sz="2" w:space="0" w:color="E3E3E3"/>
                  </w:divBdr>
                  <w:divsChild>
                    <w:div w:id="882207751">
                      <w:marLeft w:val="0"/>
                      <w:marRight w:val="0"/>
                      <w:marTop w:val="0"/>
                      <w:marBottom w:val="0"/>
                      <w:divBdr>
                        <w:top w:val="single" w:sz="2" w:space="0" w:color="E3E3E3"/>
                        <w:left w:val="single" w:sz="2" w:space="0" w:color="E3E3E3"/>
                        <w:bottom w:val="single" w:sz="2" w:space="0" w:color="E3E3E3"/>
                        <w:right w:val="single" w:sz="2" w:space="0" w:color="E3E3E3"/>
                      </w:divBdr>
                      <w:divsChild>
                        <w:div w:id="348025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7563650">
      <w:bodyDiv w:val="1"/>
      <w:marLeft w:val="0"/>
      <w:marRight w:val="0"/>
      <w:marTop w:val="0"/>
      <w:marBottom w:val="0"/>
      <w:divBdr>
        <w:top w:val="none" w:sz="0" w:space="0" w:color="auto"/>
        <w:left w:val="none" w:sz="0" w:space="0" w:color="auto"/>
        <w:bottom w:val="none" w:sz="0" w:space="0" w:color="auto"/>
        <w:right w:val="none" w:sz="0" w:space="0" w:color="auto"/>
      </w:divBdr>
      <w:divsChild>
        <w:div w:id="2043359615">
          <w:marLeft w:val="0"/>
          <w:marRight w:val="0"/>
          <w:marTop w:val="0"/>
          <w:marBottom w:val="0"/>
          <w:divBdr>
            <w:top w:val="none" w:sz="0" w:space="0" w:color="auto"/>
            <w:left w:val="none" w:sz="0" w:space="0" w:color="auto"/>
            <w:bottom w:val="none" w:sz="0" w:space="0" w:color="auto"/>
            <w:right w:val="none" w:sz="0" w:space="0" w:color="auto"/>
          </w:divBdr>
          <w:divsChild>
            <w:div w:id="292637371">
              <w:marLeft w:val="0"/>
              <w:marRight w:val="0"/>
              <w:marTop w:val="0"/>
              <w:marBottom w:val="0"/>
              <w:divBdr>
                <w:top w:val="none" w:sz="0" w:space="0" w:color="auto"/>
                <w:left w:val="none" w:sz="0" w:space="0" w:color="auto"/>
                <w:bottom w:val="none" w:sz="0" w:space="0" w:color="auto"/>
                <w:right w:val="none" w:sz="0" w:space="0" w:color="auto"/>
              </w:divBdr>
              <w:divsChild>
                <w:div w:id="4674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2250">
      <w:bodyDiv w:val="1"/>
      <w:marLeft w:val="0"/>
      <w:marRight w:val="0"/>
      <w:marTop w:val="0"/>
      <w:marBottom w:val="0"/>
      <w:divBdr>
        <w:top w:val="none" w:sz="0" w:space="0" w:color="auto"/>
        <w:left w:val="none" w:sz="0" w:space="0" w:color="auto"/>
        <w:bottom w:val="none" w:sz="0" w:space="0" w:color="auto"/>
        <w:right w:val="none" w:sz="0" w:space="0" w:color="auto"/>
      </w:divBdr>
      <w:divsChild>
        <w:div w:id="658775804">
          <w:marLeft w:val="0"/>
          <w:marRight w:val="0"/>
          <w:marTop w:val="0"/>
          <w:marBottom w:val="0"/>
          <w:divBdr>
            <w:top w:val="single" w:sz="2" w:space="0" w:color="E3E3E3"/>
            <w:left w:val="single" w:sz="2" w:space="0" w:color="E3E3E3"/>
            <w:bottom w:val="single" w:sz="2" w:space="0" w:color="E3E3E3"/>
            <w:right w:val="single" w:sz="2" w:space="0" w:color="E3E3E3"/>
          </w:divBdr>
          <w:divsChild>
            <w:div w:id="1656454460">
              <w:marLeft w:val="0"/>
              <w:marRight w:val="0"/>
              <w:marTop w:val="0"/>
              <w:marBottom w:val="0"/>
              <w:divBdr>
                <w:top w:val="single" w:sz="2" w:space="0" w:color="E3E3E3"/>
                <w:left w:val="single" w:sz="2" w:space="0" w:color="E3E3E3"/>
                <w:bottom w:val="single" w:sz="2" w:space="0" w:color="E3E3E3"/>
                <w:right w:val="single" w:sz="2" w:space="0" w:color="E3E3E3"/>
              </w:divBdr>
              <w:divsChild>
                <w:div w:id="1070269686">
                  <w:marLeft w:val="0"/>
                  <w:marRight w:val="0"/>
                  <w:marTop w:val="0"/>
                  <w:marBottom w:val="0"/>
                  <w:divBdr>
                    <w:top w:val="single" w:sz="2" w:space="0" w:color="E3E3E3"/>
                    <w:left w:val="single" w:sz="2" w:space="0" w:color="E3E3E3"/>
                    <w:bottom w:val="single" w:sz="2" w:space="0" w:color="E3E3E3"/>
                    <w:right w:val="single" w:sz="2" w:space="0" w:color="E3E3E3"/>
                  </w:divBdr>
                  <w:divsChild>
                    <w:div w:id="444422195">
                      <w:marLeft w:val="0"/>
                      <w:marRight w:val="0"/>
                      <w:marTop w:val="0"/>
                      <w:marBottom w:val="0"/>
                      <w:divBdr>
                        <w:top w:val="single" w:sz="2" w:space="0" w:color="E3E3E3"/>
                        <w:left w:val="single" w:sz="2" w:space="0" w:color="E3E3E3"/>
                        <w:bottom w:val="single" w:sz="2" w:space="0" w:color="E3E3E3"/>
                        <w:right w:val="single" w:sz="2" w:space="0" w:color="E3E3E3"/>
                      </w:divBdr>
                      <w:divsChild>
                        <w:div w:id="1368141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3293814">
          <w:marLeft w:val="0"/>
          <w:marRight w:val="0"/>
          <w:marTop w:val="0"/>
          <w:marBottom w:val="0"/>
          <w:divBdr>
            <w:top w:val="single" w:sz="2" w:space="0" w:color="E3E3E3"/>
            <w:left w:val="single" w:sz="2" w:space="0" w:color="E3E3E3"/>
            <w:bottom w:val="single" w:sz="2" w:space="0" w:color="E3E3E3"/>
            <w:right w:val="single" w:sz="2" w:space="0" w:color="E3E3E3"/>
          </w:divBdr>
          <w:divsChild>
            <w:div w:id="1020471495">
              <w:marLeft w:val="0"/>
              <w:marRight w:val="0"/>
              <w:marTop w:val="0"/>
              <w:marBottom w:val="0"/>
              <w:divBdr>
                <w:top w:val="single" w:sz="2" w:space="0" w:color="E3E3E3"/>
                <w:left w:val="single" w:sz="2" w:space="0" w:color="E3E3E3"/>
                <w:bottom w:val="single" w:sz="2" w:space="0" w:color="E3E3E3"/>
                <w:right w:val="single" w:sz="2" w:space="0" w:color="E3E3E3"/>
              </w:divBdr>
              <w:divsChild>
                <w:div w:id="874389171">
                  <w:marLeft w:val="0"/>
                  <w:marRight w:val="0"/>
                  <w:marTop w:val="0"/>
                  <w:marBottom w:val="0"/>
                  <w:divBdr>
                    <w:top w:val="single" w:sz="2" w:space="0" w:color="E3E3E3"/>
                    <w:left w:val="single" w:sz="2" w:space="0" w:color="E3E3E3"/>
                    <w:bottom w:val="single" w:sz="2" w:space="0" w:color="E3E3E3"/>
                    <w:right w:val="single" w:sz="2" w:space="0" w:color="E3E3E3"/>
                  </w:divBdr>
                  <w:divsChild>
                    <w:div w:id="612244967">
                      <w:marLeft w:val="0"/>
                      <w:marRight w:val="0"/>
                      <w:marTop w:val="0"/>
                      <w:marBottom w:val="0"/>
                      <w:divBdr>
                        <w:top w:val="single" w:sz="2" w:space="0" w:color="E3E3E3"/>
                        <w:left w:val="single" w:sz="2" w:space="0" w:color="E3E3E3"/>
                        <w:bottom w:val="single" w:sz="2" w:space="0" w:color="E3E3E3"/>
                        <w:right w:val="single" w:sz="2" w:space="0" w:color="E3E3E3"/>
                      </w:divBdr>
                      <w:divsChild>
                        <w:div w:id="12272592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03240058">
      <w:bodyDiv w:val="1"/>
      <w:marLeft w:val="0"/>
      <w:marRight w:val="0"/>
      <w:marTop w:val="0"/>
      <w:marBottom w:val="0"/>
      <w:divBdr>
        <w:top w:val="none" w:sz="0" w:space="0" w:color="auto"/>
        <w:left w:val="none" w:sz="0" w:space="0" w:color="auto"/>
        <w:bottom w:val="none" w:sz="0" w:space="0" w:color="auto"/>
        <w:right w:val="none" w:sz="0" w:space="0" w:color="auto"/>
      </w:divBdr>
      <w:divsChild>
        <w:div w:id="558367129">
          <w:marLeft w:val="0"/>
          <w:marRight w:val="0"/>
          <w:marTop w:val="0"/>
          <w:marBottom w:val="0"/>
          <w:divBdr>
            <w:top w:val="none" w:sz="0" w:space="0" w:color="auto"/>
            <w:left w:val="none" w:sz="0" w:space="0" w:color="auto"/>
            <w:bottom w:val="none" w:sz="0" w:space="0" w:color="auto"/>
            <w:right w:val="none" w:sz="0" w:space="0" w:color="auto"/>
          </w:divBdr>
          <w:divsChild>
            <w:div w:id="413865359">
              <w:marLeft w:val="0"/>
              <w:marRight w:val="0"/>
              <w:marTop w:val="0"/>
              <w:marBottom w:val="0"/>
              <w:divBdr>
                <w:top w:val="none" w:sz="0" w:space="0" w:color="auto"/>
                <w:left w:val="none" w:sz="0" w:space="0" w:color="auto"/>
                <w:bottom w:val="none" w:sz="0" w:space="0" w:color="auto"/>
                <w:right w:val="none" w:sz="0" w:space="0" w:color="auto"/>
              </w:divBdr>
              <w:divsChild>
                <w:div w:id="1777599332">
                  <w:marLeft w:val="0"/>
                  <w:marRight w:val="0"/>
                  <w:marTop w:val="0"/>
                  <w:marBottom w:val="0"/>
                  <w:divBdr>
                    <w:top w:val="none" w:sz="0" w:space="0" w:color="auto"/>
                    <w:left w:val="none" w:sz="0" w:space="0" w:color="auto"/>
                    <w:bottom w:val="none" w:sz="0" w:space="0" w:color="auto"/>
                    <w:right w:val="none" w:sz="0" w:space="0" w:color="auto"/>
                  </w:divBdr>
                  <w:divsChild>
                    <w:div w:id="14920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4913">
      <w:bodyDiv w:val="1"/>
      <w:marLeft w:val="0"/>
      <w:marRight w:val="0"/>
      <w:marTop w:val="0"/>
      <w:marBottom w:val="0"/>
      <w:divBdr>
        <w:top w:val="none" w:sz="0" w:space="0" w:color="auto"/>
        <w:left w:val="none" w:sz="0" w:space="0" w:color="auto"/>
        <w:bottom w:val="none" w:sz="0" w:space="0" w:color="auto"/>
        <w:right w:val="none" w:sz="0" w:space="0" w:color="auto"/>
      </w:divBdr>
      <w:divsChild>
        <w:div w:id="393889437">
          <w:marLeft w:val="0"/>
          <w:marRight w:val="0"/>
          <w:marTop w:val="0"/>
          <w:marBottom w:val="0"/>
          <w:divBdr>
            <w:top w:val="single" w:sz="2" w:space="0" w:color="E3E3E3"/>
            <w:left w:val="single" w:sz="2" w:space="0" w:color="E3E3E3"/>
            <w:bottom w:val="single" w:sz="2" w:space="0" w:color="E3E3E3"/>
            <w:right w:val="single" w:sz="2" w:space="0" w:color="E3E3E3"/>
          </w:divBdr>
          <w:divsChild>
            <w:div w:id="1488940310">
              <w:marLeft w:val="0"/>
              <w:marRight w:val="0"/>
              <w:marTop w:val="0"/>
              <w:marBottom w:val="0"/>
              <w:divBdr>
                <w:top w:val="single" w:sz="2" w:space="0" w:color="E3E3E3"/>
                <w:left w:val="single" w:sz="2" w:space="0" w:color="E3E3E3"/>
                <w:bottom w:val="single" w:sz="2" w:space="0" w:color="E3E3E3"/>
                <w:right w:val="single" w:sz="2" w:space="0" w:color="E3E3E3"/>
              </w:divBdr>
              <w:divsChild>
                <w:div w:id="1227573802">
                  <w:marLeft w:val="0"/>
                  <w:marRight w:val="0"/>
                  <w:marTop w:val="0"/>
                  <w:marBottom w:val="0"/>
                  <w:divBdr>
                    <w:top w:val="single" w:sz="2" w:space="0" w:color="E3E3E3"/>
                    <w:left w:val="single" w:sz="2" w:space="0" w:color="E3E3E3"/>
                    <w:bottom w:val="single" w:sz="2" w:space="0" w:color="E3E3E3"/>
                    <w:right w:val="single" w:sz="2" w:space="0" w:color="E3E3E3"/>
                  </w:divBdr>
                  <w:divsChild>
                    <w:div w:id="2117627920">
                      <w:marLeft w:val="0"/>
                      <w:marRight w:val="0"/>
                      <w:marTop w:val="0"/>
                      <w:marBottom w:val="0"/>
                      <w:divBdr>
                        <w:top w:val="single" w:sz="2" w:space="0" w:color="E3E3E3"/>
                        <w:left w:val="single" w:sz="2" w:space="0" w:color="E3E3E3"/>
                        <w:bottom w:val="single" w:sz="2" w:space="0" w:color="E3E3E3"/>
                        <w:right w:val="single" w:sz="2" w:space="0" w:color="E3E3E3"/>
                      </w:divBdr>
                      <w:divsChild>
                        <w:div w:id="914825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2254187">
          <w:marLeft w:val="0"/>
          <w:marRight w:val="0"/>
          <w:marTop w:val="0"/>
          <w:marBottom w:val="0"/>
          <w:divBdr>
            <w:top w:val="single" w:sz="2" w:space="0" w:color="E3E3E3"/>
            <w:left w:val="single" w:sz="2" w:space="0" w:color="E3E3E3"/>
            <w:bottom w:val="single" w:sz="2" w:space="0" w:color="E3E3E3"/>
            <w:right w:val="single" w:sz="2" w:space="0" w:color="E3E3E3"/>
          </w:divBdr>
          <w:divsChild>
            <w:div w:id="329062206">
              <w:marLeft w:val="0"/>
              <w:marRight w:val="0"/>
              <w:marTop w:val="0"/>
              <w:marBottom w:val="0"/>
              <w:divBdr>
                <w:top w:val="single" w:sz="2" w:space="0" w:color="E3E3E3"/>
                <w:left w:val="single" w:sz="2" w:space="0" w:color="E3E3E3"/>
                <w:bottom w:val="single" w:sz="2" w:space="0" w:color="E3E3E3"/>
                <w:right w:val="single" w:sz="2" w:space="0" w:color="E3E3E3"/>
              </w:divBdr>
              <w:divsChild>
                <w:div w:id="714503997">
                  <w:marLeft w:val="0"/>
                  <w:marRight w:val="0"/>
                  <w:marTop w:val="0"/>
                  <w:marBottom w:val="0"/>
                  <w:divBdr>
                    <w:top w:val="single" w:sz="2" w:space="0" w:color="E3E3E3"/>
                    <w:left w:val="single" w:sz="2" w:space="0" w:color="E3E3E3"/>
                    <w:bottom w:val="single" w:sz="2" w:space="0" w:color="E3E3E3"/>
                    <w:right w:val="single" w:sz="2" w:space="0" w:color="E3E3E3"/>
                  </w:divBdr>
                  <w:divsChild>
                    <w:div w:id="7097584">
                      <w:marLeft w:val="0"/>
                      <w:marRight w:val="0"/>
                      <w:marTop w:val="0"/>
                      <w:marBottom w:val="0"/>
                      <w:divBdr>
                        <w:top w:val="single" w:sz="2" w:space="0" w:color="E3E3E3"/>
                        <w:left w:val="single" w:sz="2" w:space="0" w:color="E3E3E3"/>
                        <w:bottom w:val="single" w:sz="2" w:space="0" w:color="E3E3E3"/>
                        <w:right w:val="single" w:sz="2" w:space="0" w:color="E3E3E3"/>
                      </w:divBdr>
                      <w:divsChild>
                        <w:div w:id="50871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33448297">
      <w:bodyDiv w:val="1"/>
      <w:marLeft w:val="0"/>
      <w:marRight w:val="0"/>
      <w:marTop w:val="0"/>
      <w:marBottom w:val="0"/>
      <w:divBdr>
        <w:top w:val="none" w:sz="0" w:space="0" w:color="auto"/>
        <w:left w:val="none" w:sz="0" w:space="0" w:color="auto"/>
        <w:bottom w:val="none" w:sz="0" w:space="0" w:color="auto"/>
        <w:right w:val="none" w:sz="0" w:space="0" w:color="auto"/>
      </w:divBdr>
    </w:div>
    <w:div w:id="1904287841">
      <w:bodyDiv w:val="1"/>
      <w:marLeft w:val="0"/>
      <w:marRight w:val="0"/>
      <w:marTop w:val="0"/>
      <w:marBottom w:val="0"/>
      <w:divBdr>
        <w:top w:val="none" w:sz="0" w:space="0" w:color="auto"/>
        <w:left w:val="none" w:sz="0" w:space="0" w:color="auto"/>
        <w:bottom w:val="none" w:sz="0" w:space="0" w:color="auto"/>
        <w:right w:val="none" w:sz="0" w:space="0" w:color="auto"/>
      </w:divBdr>
      <w:divsChild>
        <w:div w:id="928806612">
          <w:marLeft w:val="0"/>
          <w:marRight w:val="0"/>
          <w:marTop w:val="0"/>
          <w:marBottom w:val="0"/>
          <w:divBdr>
            <w:top w:val="single" w:sz="2" w:space="0" w:color="E3E3E3"/>
            <w:left w:val="single" w:sz="2" w:space="0" w:color="E3E3E3"/>
            <w:bottom w:val="single" w:sz="2" w:space="0" w:color="E3E3E3"/>
            <w:right w:val="single" w:sz="2" w:space="0" w:color="E3E3E3"/>
          </w:divBdr>
          <w:divsChild>
            <w:div w:id="1160275029">
              <w:marLeft w:val="0"/>
              <w:marRight w:val="0"/>
              <w:marTop w:val="0"/>
              <w:marBottom w:val="0"/>
              <w:divBdr>
                <w:top w:val="single" w:sz="2" w:space="0" w:color="E3E3E3"/>
                <w:left w:val="single" w:sz="2" w:space="0" w:color="E3E3E3"/>
                <w:bottom w:val="single" w:sz="2" w:space="0" w:color="E3E3E3"/>
                <w:right w:val="single" w:sz="2" w:space="0" w:color="E3E3E3"/>
              </w:divBdr>
              <w:divsChild>
                <w:div w:id="1481729256">
                  <w:marLeft w:val="0"/>
                  <w:marRight w:val="0"/>
                  <w:marTop w:val="0"/>
                  <w:marBottom w:val="0"/>
                  <w:divBdr>
                    <w:top w:val="single" w:sz="2" w:space="0" w:color="E3E3E3"/>
                    <w:left w:val="single" w:sz="2" w:space="0" w:color="E3E3E3"/>
                    <w:bottom w:val="single" w:sz="2" w:space="0" w:color="E3E3E3"/>
                    <w:right w:val="single" w:sz="2" w:space="0" w:color="E3E3E3"/>
                  </w:divBdr>
                  <w:divsChild>
                    <w:div w:id="1183935094">
                      <w:marLeft w:val="0"/>
                      <w:marRight w:val="0"/>
                      <w:marTop w:val="0"/>
                      <w:marBottom w:val="0"/>
                      <w:divBdr>
                        <w:top w:val="single" w:sz="2" w:space="0" w:color="E3E3E3"/>
                        <w:left w:val="single" w:sz="2" w:space="0" w:color="E3E3E3"/>
                        <w:bottom w:val="single" w:sz="2" w:space="0" w:color="E3E3E3"/>
                        <w:right w:val="single" w:sz="2" w:space="0" w:color="E3E3E3"/>
                      </w:divBdr>
                      <w:divsChild>
                        <w:div w:id="7628441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8386210">
          <w:marLeft w:val="0"/>
          <w:marRight w:val="0"/>
          <w:marTop w:val="0"/>
          <w:marBottom w:val="0"/>
          <w:divBdr>
            <w:top w:val="single" w:sz="2" w:space="0" w:color="E3E3E3"/>
            <w:left w:val="single" w:sz="2" w:space="0" w:color="E3E3E3"/>
            <w:bottom w:val="single" w:sz="2" w:space="0" w:color="E3E3E3"/>
            <w:right w:val="single" w:sz="2" w:space="0" w:color="E3E3E3"/>
          </w:divBdr>
          <w:divsChild>
            <w:div w:id="721369111">
              <w:marLeft w:val="0"/>
              <w:marRight w:val="0"/>
              <w:marTop w:val="0"/>
              <w:marBottom w:val="0"/>
              <w:divBdr>
                <w:top w:val="single" w:sz="2" w:space="0" w:color="E3E3E3"/>
                <w:left w:val="single" w:sz="2" w:space="0" w:color="E3E3E3"/>
                <w:bottom w:val="single" w:sz="2" w:space="0" w:color="E3E3E3"/>
                <w:right w:val="single" w:sz="2" w:space="0" w:color="E3E3E3"/>
              </w:divBdr>
              <w:divsChild>
                <w:div w:id="1878733428">
                  <w:marLeft w:val="0"/>
                  <w:marRight w:val="0"/>
                  <w:marTop w:val="0"/>
                  <w:marBottom w:val="0"/>
                  <w:divBdr>
                    <w:top w:val="single" w:sz="2" w:space="0" w:color="E3E3E3"/>
                    <w:left w:val="single" w:sz="2" w:space="0" w:color="E3E3E3"/>
                    <w:bottom w:val="single" w:sz="2" w:space="0" w:color="E3E3E3"/>
                    <w:right w:val="single" w:sz="2" w:space="0" w:color="E3E3E3"/>
                  </w:divBdr>
                  <w:divsChild>
                    <w:div w:id="370033431">
                      <w:marLeft w:val="0"/>
                      <w:marRight w:val="0"/>
                      <w:marTop w:val="0"/>
                      <w:marBottom w:val="0"/>
                      <w:divBdr>
                        <w:top w:val="single" w:sz="2" w:space="0" w:color="E3E3E3"/>
                        <w:left w:val="single" w:sz="2" w:space="0" w:color="E3E3E3"/>
                        <w:bottom w:val="single" w:sz="2" w:space="0" w:color="E3E3E3"/>
                        <w:right w:val="single" w:sz="2" w:space="0" w:color="E3E3E3"/>
                      </w:divBdr>
                      <w:divsChild>
                        <w:div w:id="1073314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27614020">
      <w:bodyDiv w:val="1"/>
      <w:marLeft w:val="0"/>
      <w:marRight w:val="0"/>
      <w:marTop w:val="0"/>
      <w:marBottom w:val="0"/>
      <w:divBdr>
        <w:top w:val="none" w:sz="0" w:space="0" w:color="auto"/>
        <w:left w:val="none" w:sz="0" w:space="0" w:color="auto"/>
        <w:bottom w:val="none" w:sz="0" w:space="0" w:color="auto"/>
        <w:right w:val="none" w:sz="0" w:space="0" w:color="auto"/>
      </w:divBdr>
      <w:divsChild>
        <w:div w:id="900600936">
          <w:marLeft w:val="0"/>
          <w:marRight w:val="0"/>
          <w:marTop w:val="0"/>
          <w:marBottom w:val="0"/>
          <w:divBdr>
            <w:top w:val="none" w:sz="0" w:space="0" w:color="auto"/>
            <w:left w:val="none" w:sz="0" w:space="0" w:color="auto"/>
            <w:bottom w:val="none" w:sz="0" w:space="0" w:color="auto"/>
            <w:right w:val="none" w:sz="0" w:space="0" w:color="auto"/>
          </w:divBdr>
          <w:divsChild>
            <w:div w:id="1374620958">
              <w:marLeft w:val="0"/>
              <w:marRight w:val="0"/>
              <w:marTop w:val="0"/>
              <w:marBottom w:val="0"/>
              <w:divBdr>
                <w:top w:val="none" w:sz="0" w:space="0" w:color="auto"/>
                <w:left w:val="none" w:sz="0" w:space="0" w:color="auto"/>
                <w:bottom w:val="none" w:sz="0" w:space="0" w:color="auto"/>
                <w:right w:val="none" w:sz="0" w:space="0" w:color="auto"/>
              </w:divBdr>
              <w:divsChild>
                <w:div w:id="1223443276">
                  <w:marLeft w:val="0"/>
                  <w:marRight w:val="0"/>
                  <w:marTop w:val="0"/>
                  <w:marBottom w:val="0"/>
                  <w:divBdr>
                    <w:top w:val="none" w:sz="0" w:space="0" w:color="auto"/>
                    <w:left w:val="none" w:sz="0" w:space="0" w:color="auto"/>
                    <w:bottom w:val="none" w:sz="0" w:space="0" w:color="auto"/>
                    <w:right w:val="none" w:sz="0" w:space="0" w:color="auto"/>
                  </w:divBdr>
                  <w:divsChild>
                    <w:div w:id="171248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61895">
      <w:bodyDiv w:val="1"/>
      <w:marLeft w:val="0"/>
      <w:marRight w:val="0"/>
      <w:marTop w:val="0"/>
      <w:marBottom w:val="0"/>
      <w:divBdr>
        <w:top w:val="none" w:sz="0" w:space="0" w:color="auto"/>
        <w:left w:val="none" w:sz="0" w:space="0" w:color="auto"/>
        <w:bottom w:val="none" w:sz="0" w:space="0" w:color="auto"/>
        <w:right w:val="none" w:sz="0" w:space="0" w:color="auto"/>
      </w:divBdr>
      <w:divsChild>
        <w:div w:id="1675453984">
          <w:marLeft w:val="0"/>
          <w:marRight w:val="0"/>
          <w:marTop w:val="0"/>
          <w:marBottom w:val="0"/>
          <w:divBdr>
            <w:top w:val="none" w:sz="0" w:space="0" w:color="auto"/>
            <w:left w:val="none" w:sz="0" w:space="0" w:color="auto"/>
            <w:bottom w:val="none" w:sz="0" w:space="0" w:color="auto"/>
            <w:right w:val="none" w:sz="0" w:space="0" w:color="auto"/>
          </w:divBdr>
          <w:divsChild>
            <w:div w:id="1998726506">
              <w:marLeft w:val="0"/>
              <w:marRight w:val="0"/>
              <w:marTop w:val="0"/>
              <w:marBottom w:val="0"/>
              <w:divBdr>
                <w:top w:val="none" w:sz="0" w:space="0" w:color="auto"/>
                <w:left w:val="none" w:sz="0" w:space="0" w:color="auto"/>
                <w:bottom w:val="none" w:sz="0" w:space="0" w:color="auto"/>
                <w:right w:val="none" w:sz="0" w:space="0" w:color="auto"/>
              </w:divBdr>
              <w:divsChild>
                <w:div w:id="15083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3746">
      <w:bodyDiv w:val="1"/>
      <w:marLeft w:val="0"/>
      <w:marRight w:val="0"/>
      <w:marTop w:val="0"/>
      <w:marBottom w:val="0"/>
      <w:divBdr>
        <w:top w:val="none" w:sz="0" w:space="0" w:color="auto"/>
        <w:left w:val="none" w:sz="0" w:space="0" w:color="auto"/>
        <w:bottom w:val="none" w:sz="0" w:space="0" w:color="auto"/>
        <w:right w:val="none" w:sz="0" w:space="0" w:color="auto"/>
      </w:divBdr>
      <w:divsChild>
        <w:div w:id="1393383084">
          <w:marLeft w:val="0"/>
          <w:marRight w:val="0"/>
          <w:marTop w:val="0"/>
          <w:marBottom w:val="0"/>
          <w:divBdr>
            <w:top w:val="single" w:sz="2" w:space="0" w:color="E3E3E3"/>
            <w:left w:val="single" w:sz="2" w:space="0" w:color="E3E3E3"/>
            <w:bottom w:val="single" w:sz="2" w:space="0" w:color="E3E3E3"/>
            <w:right w:val="single" w:sz="2" w:space="0" w:color="E3E3E3"/>
          </w:divBdr>
          <w:divsChild>
            <w:div w:id="865753727">
              <w:marLeft w:val="0"/>
              <w:marRight w:val="0"/>
              <w:marTop w:val="0"/>
              <w:marBottom w:val="0"/>
              <w:divBdr>
                <w:top w:val="single" w:sz="2" w:space="0" w:color="E3E3E3"/>
                <w:left w:val="single" w:sz="2" w:space="0" w:color="E3E3E3"/>
                <w:bottom w:val="single" w:sz="2" w:space="0" w:color="E3E3E3"/>
                <w:right w:val="single" w:sz="2" w:space="0" w:color="E3E3E3"/>
              </w:divBdr>
              <w:divsChild>
                <w:div w:id="1311791922">
                  <w:marLeft w:val="0"/>
                  <w:marRight w:val="0"/>
                  <w:marTop w:val="0"/>
                  <w:marBottom w:val="0"/>
                  <w:divBdr>
                    <w:top w:val="single" w:sz="2" w:space="0" w:color="E3E3E3"/>
                    <w:left w:val="single" w:sz="2" w:space="0" w:color="E3E3E3"/>
                    <w:bottom w:val="single" w:sz="2" w:space="0" w:color="E3E3E3"/>
                    <w:right w:val="single" w:sz="2" w:space="0" w:color="E3E3E3"/>
                  </w:divBdr>
                  <w:divsChild>
                    <w:div w:id="557670288">
                      <w:marLeft w:val="0"/>
                      <w:marRight w:val="0"/>
                      <w:marTop w:val="0"/>
                      <w:marBottom w:val="0"/>
                      <w:divBdr>
                        <w:top w:val="single" w:sz="2" w:space="0" w:color="E3E3E3"/>
                        <w:left w:val="single" w:sz="2" w:space="0" w:color="E3E3E3"/>
                        <w:bottom w:val="single" w:sz="2" w:space="0" w:color="E3E3E3"/>
                        <w:right w:val="single" w:sz="2" w:space="0" w:color="E3E3E3"/>
                      </w:divBdr>
                      <w:divsChild>
                        <w:div w:id="911040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312037">
          <w:marLeft w:val="0"/>
          <w:marRight w:val="0"/>
          <w:marTop w:val="0"/>
          <w:marBottom w:val="0"/>
          <w:divBdr>
            <w:top w:val="single" w:sz="2" w:space="0" w:color="E3E3E3"/>
            <w:left w:val="single" w:sz="2" w:space="0" w:color="E3E3E3"/>
            <w:bottom w:val="single" w:sz="2" w:space="0" w:color="E3E3E3"/>
            <w:right w:val="single" w:sz="2" w:space="0" w:color="E3E3E3"/>
          </w:divBdr>
          <w:divsChild>
            <w:div w:id="1074860540">
              <w:marLeft w:val="0"/>
              <w:marRight w:val="0"/>
              <w:marTop w:val="0"/>
              <w:marBottom w:val="0"/>
              <w:divBdr>
                <w:top w:val="single" w:sz="2" w:space="0" w:color="E3E3E3"/>
                <w:left w:val="single" w:sz="2" w:space="0" w:color="E3E3E3"/>
                <w:bottom w:val="single" w:sz="2" w:space="0" w:color="E3E3E3"/>
                <w:right w:val="single" w:sz="2" w:space="0" w:color="E3E3E3"/>
              </w:divBdr>
              <w:divsChild>
                <w:div w:id="1732538804">
                  <w:marLeft w:val="0"/>
                  <w:marRight w:val="0"/>
                  <w:marTop w:val="0"/>
                  <w:marBottom w:val="0"/>
                  <w:divBdr>
                    <w:top w:val="single" w:sz="2" w:space="0" w:color="E3E3E3"/>
                    <w:left w:val="single" w:sz="2" w:space="0" w:color="E3E3E3"/>
                    <w:bottom w:val="single" w:sz="2" w:space="0" w:color="E3E3E3"/>
                    <w:right w:val="single" w:sz="2" w:space="0" w:color="E3E3E3"/>
                  </w:divBdr>
                  <w:divsChild>
                    <w:div w:id="73210681">
                      <w:marLeft w:val="0"/>
                      <w:marRight w:val="0"/>
                      <w:marTop w:val="0"/>
                      <w:marBottom w:val="0"/>
                      <w:divBdr>
                        <w:top w:val="single" w:sz="2" w:space="0" w:color="E3E3E3"/>
                        <w:left w:val="single" w:sz="2" w:space="0" w:color="E3E3E3"/>
                        <w:bottom w:val="single" w:sz="2" w:space="0" w:color="E3E3E3"/>
                        <w:right w:val="single" w:sz="2" w:space="0" w:color="E3E3E3"/>
                      </w:divBdr>
                      <w:divsChild>
                        <w:div w:id="6623926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29404214">
      <w:bodyDiv w:val="1"/>
      <w:marLeft w:val="0"/>
      <w:marRight w:val="0"/>
      <w:marTop w:val="0"/>
      <w:marBottom w:val="0"/>
      <w:divBdr>
        <w:top w:val="none" w:sz="0" w:space="0" w:color="auto"/>
        <w:left w:val="none" w:sz="0" w:space="0" w:color="auto"/>
        <w:bottom w:val="none" w:sz="0" w:space="0" w:color="auto"/>
        <w:right w:val="none" w:sz="0" w:space="0" w:color="auto"/>
      </w:divBdr>
      <w:divsChild>
        <w:div w:id="1245263705">
          <w:marLeft w:val="0"/>
          <w:marRight w:val="0"/>
          <w:marTop w:val="0"/>
          <w:marBottom w:val="0"/>
          <w:divBdr>
            <w:top w:val="none" w:sz="0" w:space="0" w:color="auto"/>
            <w:left w:val="none" w:sz="0" w:space="0" w:color="auto"/>
            <w:bottom w:val="none" w:sz="0" w:space="0" w:color="auto"/>
            <w:right w:val="none" w:sz="0" w:space="0" w:color="auto"/>
          </w:divBdr>
          <w:divsChild>
            <w:div w:id="1561400280">
              <w:marLeft w:val="0"/>
              <w:marRight w:val="0"/>
              <w:marTop w:val="0"/>
              <w:marBottom w:val="0"/>
              <w:divBdr>
                <w:top w:val="none" w:sz="0" w:space="0" w:color="auto"/>
                <w:left w:val="none" w:sz="0" w:space="0" w:color="auto"/>
                <w:bottom w:val="none" w:sz="0" w:space="0" w:color="auto"/>
                <w:right w:val="none" w:sz="0" w:space="0" w:color="auto"/>
              </w:divBdr>
              <w:divsChild>
                <w:div w:id="1762027092">
                  <w:marLeft w:val="0"/>
                  <w:marRight w:val="0"/>
                  <w:marTop w:val="0"/>
                  <w:marBottom w:val="0"/>
                  <w:divBdr>
                    <w:top w:val="none" w:sz="0" w:space="0" w:color="auto"/>
                    <w:left w:val="none" w:sz="0" w:space="0" w:color="auto"/>
                    <w:bottom w:val="none" w:sz="0" w:space="0" w:color="auto"/>
                    <w:right w:val="none" w:sz="0" w:space="0" w:color="auto"/>
                  </w:divBdr>
                  <w:divsChild>
                    <w:div w:id="9951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02691">
      <w:bodyDiv w:val="1"/>
      <w:marLeft w:val="0"/>
      <w:marRight w:val="0"/>
      <w:marTop w:val="0"/>
      <w:marBottom w:val="0"/>
      <w:divBdr>
        <w:top w:val="none" w:sz="0" w:space="0" w:color="auto"/>
        <w:left w:val="none" w:sz="0" w:space="0" w:color="auto"/>
        <w:bottom w:val="none" w:sz="0" w:space="0" w:color="auto"/>
        <w:right w:val="none" w:sz="0" w:space="0" w:color="auto"/>
      </w:divBdr>
      <w:divsChild>
        <w:div w:id="1167866197">
          <w:marLeft w:val="0"/>
          <w:marRight w:val="0"/>
          <w:marTop w:val="0"/>
          <w:marBottom w:val="0"/>
          <w:divBdr>
            <w:top w:val="none" w:sz="0" w:space="0" w:color="auto"/>
            <w:left w:val="none" w:sz="0" w:space="0" w:color="auto"/>
            <w:bottom w:val="none" w:sz="0" w:space="0" w:color="auto"/>
            <w:right w:val="none" w:sz="0" w:space="0" w:color="auto"/>
          </w:divBdr>
          <w:divsChild>
            <w:div w:id="325742735">
              <w:marLeft w:val="0"/>
              <w:marRight w:val="0"/>
              <w:marTop w:val="0"/>
              <w:marBottom w:val="0"/>
              <w:divBdr>
                <w:top w:val="none" w:sz="0" w:space="0" w:color="auto"/>
                <w:left w:val="none" w:sz="0" w:space="0" w:color="auto"/>
                <w:bottom w:val="none" w:sz="0" w:space="0" w:color="auto"/>
                <w:right w:val="none" w:sz="0" w:space="0" w:color="auto"/>
              </w:divBdr>
              <w:divsChild>
                <w:div w:id="13924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cite.be/sites/default/files/references/files/rapport_isr_2023_0.pdf" TargetMode="External"/><Relationship Id="rId18" Type="http://schemas.openxmlformats.org/officeDocument/2006/relationships/hyperlink" Target="https://www.financite.be/fr/reference/linvestissement-socialement-responsable-0b" TargetMode="External"/><Relationship Id="rId26" Type="http://schemas.openxmlformats.org/officeDocument/2006/relationships/hyperlink" Target="https://trends.levif.be/economie/trends-information-%20services/l-esg-l-accelerateur-d-une-croissance-durable/article-publishingpartner-%201440343.html?cookie_check=1643291392" TargetMode="External"/><Relationship Id="rId39" Type="http://schemas.openxmlformats.org/officeDocument/2006/relationships/theme" Target="theme/theme1.xml"/><Relationship Id="rId21" Type="http://schemas.openxmlformats.org/officeDocument/2006/relationships/hyperlink" Target="https://eur-lex.europa.eu/legal-content/EN/ALL/?uri=COM%3A2021%3A189%3AFIN" TargetMode="External"/><Relationship Id="rId34" Type="http://schemas.openxmlformats.org/officeDocument/2006/relationships/hyperlink" Target="https://www.financite.be/sites/default/files/references/files/2177.pdf" TargetMode="External"/><Relationship Id="rId7" Type="http://schemas.openxmlformats.org/officeDocument/2006/relationships/endnotes" Target="endnotes.xml"/><Relationship Id="rId12" Type="http://schemas.openxmlformats.org/officeDocument/2006/relationships/hyperlink" Target="https://www.financite.be/sites/default/files/references/files/170512-rfa_rapport2016-web_0.pdf" TargetMode="External"/><Relationship Id="rId17" Type="http://schemas.openxmlformats.org/officeDocument/2006/relationships/hyperlink" Target="https://www.mdpi.com/2227-9091/9/11/199" TargetMode="External"/><Relationship Id="rId25" Type="http://schemas.openxmlformats.org/officeDocument/2006/relationships/hyperlink" Target="https://temis.documentation.developpement-durable.gouv.fr/document.html?id=Temis-0070401&amp;requestId=0&amp;number=48" TargetMode="External"/><Relationship Id="rId33" Type="http://schemas.openxmlformats.org/officeDocument/2006/relationships/hyperlink" Target="https://papers.ssrn.com/sol3/papers.cfm?abstract_id=214234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efr.eu/en/news/5408/garantir-la-pertinence-et-la-qualite-de-%09linformation-extra-financiere-des-entreprises-une-ambition-et-un-atout-pour-une-europe-durable" TargetMode="External"/><Relationship Id="rId20" Type="http://schemas.openxmlformats.org/officeDocument/2006/relationships/hyperlink" Target="https://www.financite.be/sites/default/files/references/files/synthese_du_rapport_isr_qualite_2021.pdf" TargetMode="External"/><Relationship Id="rId29" Type="http://schemas.openxmlformats.org/officeDocument/2006/relationships/hyperlink" Target="https://papers.ssrn.com/sol3/papers.cfm?abstract_id=34337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cite.be/sites/default/files/references/files/868_0.pdf" TargetMode="External"/><Relationship Id="rId24" Type="http://schemas.openxmlformats.org/officeDocument/2006/relationships/hyperlink" Target="https://papers.ssrn.com/sol3/papers.cfm?abstract_id=3593056" TargetMode="External"/><Relationship Id="rId32" Type="http://schemas.openxmlformats.org/officeDocument/2006/relationships/hyperlink" Target="https://www.wsj.com/articles/is-tesla-or-exxon-%20more-sustainable-it-depends-whom-you-ask-1537199931"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searchgate.net/publication/228461599_Y%27a-%09til_un_sacrifice_a_etre_ethique_Une_etude_de_performance_des_fonds_socialement%09responsables_americains" TargetMode="External"/><Relationship Id="rId23" Type="http://schemas.openxmlformats.org/officeDocument/2006/relationships/hyperlink" Target="https://accfcorpgov.org/wp-content/uploads/2018/07/ACCF_RatingsESGReport.pdf" TargetMode="External"/><Relationship Id="rId28" Type="http://schemas.openxmlformats.org/officeDocument/2006/relationships/hyperlink" Target="https://www.ifrs.org/groups/international-sustainability-standards-board/" TargetMode="External"/><Relationship Id="rId36" Type="http://schemas.openxmlformats.org/officeDocument/2006/relationships/footer" Target="footer1.xml"/><Relationship Id="rId10" Type="http://schemas.openxmlformats.org/officeDocument/2006/relationships/hyperlink" Target="https://www.amf-france.org/fr/espace-epargnants/comprendre-les-produits-financiers/finance-durable/faire-un-placement-durable/finance-durable-bien-comprendre-la-taxonomie-et-le-reglement-sfdr-pour-exprimer-vos-preferences" TargetMode="External"/><Relationship Id="rId19" Type="http://schemas.openxmlformats.org/officeDocument/2006/relationships/hyperlink" Target="https://www.financite.be/sites/default/files/references/files/rapport_isr_qualite_2021.%09pdf" TargetMode="External"/><Relationship Id="rId31" Type="http://schemas.openxmlformats.org/officeDocument/2006/relationships/hyperlink" Target="http://www.gsi-alliance.org/wp-content/uploads/2021/08/GSIR-%2020201.pdf" TargetMode="External"/><Relationship Id="rId4" Type="http://schemas.openxmlformats.org/officeDocument/2006/relationships/settings" Target="settings.xml"/><Relationship Id="rId9" Type="http://schemas.openxmlformats.org/officeDocument/2006/relationships/hyperlink" Target="https://hal.science/hal-00482436/document" TargetMode="External"/><Relationship Id="rId14" Type="http://schemas.openxmlformats.org/officeDocument/2006/relationships/hyperlink" Target="https://papers.ssrn.com/sol3/papers.cfm?abstract_id=3107182" TargetMode="External"/><Relationship Id="rId22" Type="http://schemas.openxmlformats.org/officeDocument/2006/relationships/hyperlink" Target="https://www.pwc.ch/fr/centre-de-presse/un-%20tiers-des-actifs-des-fonds-europeens-sont-deja-classes-comme-durables.html" TargetMode="External"/><Relationship Id="rId27" Type="http://schemas.openxmlformats.org/officeDocument/2006/relationships/hyperlink" Target="https://www.financite.be/sites/default/files/references/files/analyse_af_-_vocabulaire_finance_durable.pdf" TargetMode="External"/><Relationship Id="rId30" Type="http://schemas.openxmlformats.org/officeDocument/2006/relationships/hyperlink" Target="https://www.financite.be/fr/reference/les-performances-des-fonds-%20ethiques-et-vicieux-0" TargetMode="External"/><Relationship Id="rId35" Type="http://schemas.openxmlformats.org/officeDocument/2006/relationships/hyperlink" Target="https://www.wsj.com/articles/is-tesla-or-%20exxon-more-sustainable-it-depends-whom-you-ask-1537199931"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trends.levif.be/economie/trends-information-services/l-esg-l-accelerateur-d-une-croissance-durable/article-publishingpartner-1440343.html?cookie_check=1643291392" TargetMode="External"/><Relationship Id="rId2" Type="http://schemas.openxmlformats.org/officeDocument/2006/relationships/hyperlink" Target="https://www.amf-france.org/fr/espace-epargnants/comprendre-les-produits-financiers/finance-durable/faire-un-placement-durable/finance-durable-bien-comprendre-la-taxonomie-et-le-reglement-sfdr-pour-exprimer-vos-preferences" TargetMode="External"/><Relationship Id="rId1" Type="http://schemas.openxmlformats.org/officeDocument/2006/relationships/hyperlink" Target="https://trends.levif.be/economie/trends-information-services/l-esg-l-accelerateur-d-une-croissance-durable/article-publishingpartner-1440343.html?cookie_check=1643291392" TargetMode="External"/><Relationship Id="rId6" Type="http://schemas.openxmlformats.org/officeDocument/2006/relationships/hyperlink" Target="https://www.morningstar.fr/fr/screener/esg" TargetMode="External"/><Relationship Id="rId5" Type="http://schemas.openxmlformats.org/officeDocument/2006/relationships/hyperlink" Target="https://www.lecho.be/les-marches/fonds/rechercher.html?Extended=true" TargetMode="External"/><Relationship Id="rId4" Type="http://schemas.openxmlformats.org/officeDocument/2006/relationships/hyperlink" Target="https://www.ifrs.org/groups/international-sustainability-standards-boar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72BF-3DA6-B042-822F-7976717C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10639</Words>
  <Characters>58519</Characters>
  <Application>Microsoft Office Word</Application>
  <DocSecurity>0</DocSecurity>
  <Lines>487</Lines>
  <Paragraphs>138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69020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HEYMAN</dc:creator>
  <cp:keywords/>
  <dc:description/>
  <cp:lastModifiedBy>Margot HEYMAN</cp:lastModifiedBy>
  <cp:revision>20</cp:revision>
  <dcterms:created xsi:type="dcterms:W3CDTF">2024-05-21T09:32:00Z</dcterms:created>
  <dcterms:modified xsi:type="dcterms:W3CDTF">2026-03-09T12:36:00Z</dcterms:modified>
  <cp:category/>
</cp:coreProperties>
</file>