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7DC74" w14:textId="71BD4A5D" w:rsidR="00C26CA3" w:rsidRPr="00D533CC" w:rsidRDefault="00C26CA3" w:rsidP="00C26CA3">
      <w:pPr>
        <w:shd w:val="clear" w:color="auto" w:fill="FFFFFF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en-GB" w:eastAsia="fr-BE"/>
          <w14:ligatures w14:val="none"/>
        </w:rPr>
      </w:pPr>
      <w:r w:rsidRPr="00D533C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u w:val="single"/>
          <w:lang w:val="en-GB" w:eastAsia="fr-BE"/>
          <w14:ligatures w14:val="none"/>
        </w:rPr>
        <w:t>Dereplication strategy and purification of plant's active secondary metabolites through bio-guided fractionation, LC-(HR)MS and data mining</w:t>
      </w:r>
    </w:p>
    <w:p w14:paraId="724249DC" w14:textId="77777777" w:rsidR="00A366D7" w:rsidRDefault="00A366D7" w:rsidP="007A7699">
      <w:pPr>
        <w:pStyle w:val="TableParagraph"/>
        <w:spacing w:line="237" w:lineRule="auto"/>
        <w:ind w:left="136" w:right="153"/>
        <w:rPr>
          <w:rFonts w:asciiTheme="minorHAnsi" w:hAnsiTheme="minorHAnsi" w:cstheme="minorHAnsi"/>
          <w:lang w:val="en-GB"/>
        </w:rPr>
      </w:pPr>
    </w:p>
    <w:p w14:paraId="652BE932" w14:textId="0AFBB0A4" w:rsidR="0034083B" w:rsidRPr="0034083B" w:rsidRDefault="00CA4E7F" w:rsidP="00A65C3A">
      <w:pPr>
        <w:rPr>
          <w:rFonts w:ascii="Calibri" w:hAnsi="Calibri" w:cs="Calibri"/>
          <w:sz w:val="24"/>
          <w:szCs w:val="24"/>
          <w:vertAlign w:val="superscript"/>
          <w:lang w:val="en-US"/>
        </w:rPr>
      </w:pPr>
      <w:r w:rsidRPr="00E31743">
        <w:rPr>
          <w:rFonts w:ascii="Calibri" w:hAnsi="Calibri" w:cs="Calibri"/>
          <w:sz w:val="24"/>
          <w:szCs w:val="24"/>
          <w:lang w:val="en-US"/>
        </w:rPr>
        <w:t xml:space="preserve">Authors: </w:t>
      </w:r>
      <w:r w:rsidR="0034083B">
        <w:rPr>
          <w:rFonts w:ascii="Calibri" w:hAnsi="Calibri" w:cs="Calibri"/>
          <w:sz w:val="24"/>
          <w:szCs w:val="24"/>
          <w:lang w:val="en-US"/>
        </w:rPr>
        <w:br/>
      </w:r>
      <w:r w:rsidRPr="00E31743">
        <w:rPr>
          <w:rFonts w:ascii="Calibri" w:hAnsi="Calibri" w:cs="Calibri"/>
          <w:sz w:val="24"/>
          <w:szCs w:val="24"/>
          <w:lang w:val="en-US"/>
        </w:rPr>
        <w:t>Jason Fauquet</w:t>
      </w:r>
      <w:r w:rsidR="00681AE8" w:rsidRPr="00681AE8">
        <w:rPr>
          <w:rFonts w:ascii="Calibri" w:hAnsi="Calibri" w:cs="Calibri"/>
          <w:sz w:val="24"/>
          <w:szCs w:val="24"/>
          <w:vertAlign w:val="superscript"/>
          <w:lang w:val="en-US"/>
        </w:rPr>
        <w:t>1</w:t>
      </w:r>
      <w:r w:rsidRPr="00E31743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E31743" w:rsidRPr="00E31743">
        <w:rPr>
          <w:rFonts w:ascii="Calibri" w:hAnsi="Calibri" w:cs="Calibri"/>
          <w:sz w:val="24"/>
          <w:szCs w:val="24"/>
          <w:lang w:val="en-US"/>
        </w:rPr>
        <w:t>Mathilde Wells</w:t>
      </w:r>
      <w:r w:rsidR="00681AE8" w:rsidRPr="00681AE8">
        <w:rPr>
          <w:rFonts w:ascii="Calibri" w:hAnsi="Calibri" w:cs="Calibri"/>
          <w:sz w:val="24"/>
          <w:szCs w:val="24"/>
          <w:vertAlign w:val="superscript"/>
          <w:lang w:val="en-US"/>
        </w:rPr>
        <w:t>2</w:t>
      </w:r>
      <w:r w:rsidR="00E31743" w:rsidRPr="00E31743">
        <w:rPr>
          <w:rFonts w:ascii="Calibri" w:hAnsi="Calibri" w:cs="Calibri"/>
          <w:sz w:val="24"/>
          <w:szCs w:val="24"/>
          <w:lang w:val="en-US"/>
        </w:rPr>
        <w:t xml:space="preserve">, </w:t>
      </w:r>
      <w:r w:rsidRPr="00E31743">
        <w:rPr>
          <w:rFonts w:ascii="Calibri" w:hAnsi="Calibri" w:cs="Calibri"/>
          <w:sz w:val="24"/>
          <w:szCs w:val="24"/>
          <w:lang w:val="en-US"/>
        </w:rPr>
        <w:t>Pierre Duez</w:t>
      </w:r>
      <w:r w:rsidR="00681AE8" w:rsidRPr="00681AE8">
        <w:rPr>
          <w:rFonts w:ascii="Calibri" w:hAnsi="Calibri" w:cs="Calibri"/>
          <w:sz w:val="24"/>
          <w:szCs w:val="24"/>
          <w:vertAlign w:val="superscript"/>
          <w:lang w:val="en-US"/>
        </w:rPr>
        <w:t>1</w:t>
      </w:r>
      <w:r w:rsidRPr="00E31743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E31743" w:rsidRPr="00E31743">
        <w:rPr>
          <w:rFonts w:ascii="Calibri" w:hAnsi="Calibri" w:cs="Calibri"/>
          <w:sz w:val="24"/>
          <w:szCs w:val="24"/>
          <w:lang w:val="en-US"/>
        </w:rPr>
        <w:t>Bertrand Blankert</w:t>
      </w:r>
      <w:r w:rsidR="00681AE8" w:rsidRPr="00681AE8">
        <w:rPr>
          <w:rFonts w:ascii="Calibri" w:hAnsi="Calibri" w:cs="Calibri"/>
          <w:sz w:val="24"/>
          <w:szCs w:val="24"/>
          <w:vertAlign w:val="superscript"/>
          <w:lang w:val="en-US"/>
        </w:rPr>
        <w:t>2</w:t>
      </w:r>
      <w:r w:rsidR="00E31743" w:rsidRPr="00E31743">
        <w:rPr>
          <w:rFonts w:ascii="Calibri" w:hAnsi="Calibri" w:cs="Calibri"/>
          <w:sz w:val="24"/>
          <w:szCs w:val="24"/>
          <w:lang w:val="en-US"/>
        </w:rPr>
        <w:t xml:space="preserve"> and </w:t>
      </w:r>
      <w:r w:rsidRPr="00E31743">
        <w:rPr>
          <w:rFonts w:ascii="Calibri" w:hAnsi="Calibri" w:cs="Calibri"/>
          <w:sz w:val="24"/>
          <w:szCs w:val="24"/>
          <w:lang w:val="en-US"/>
        </w:rPr>
        <w:t>Amandine Nachtergael</w:t>
      </w:r>
      <w:r w:rsidR="00681AE8" w:rsidRPr="00681AE8">
        <w:rPr>
          <w:rFonts w:ascii="Calibri" w:hAnsi="Calibri" w:cs="Calibri"/>
          <w:sz w:val="24"/>
          <w:szCs w:val="24"/>
          <w:vertAlign w:val="superscript"/>
          <w:lang w:val="en-US"/>
        </w:rPr>
        <w:t>1</w:t>
      </w:r>
    </w:p>
    <w:p w14:paraId="39C8A82D" w14:textId="0F9D0154" w:rsidR="00882009" w:rsidRDefault="00CA4E7F" w:rsidP="00A65C3A">
      <w:pPr>
        <w:rPr>
          <w:rFonts w:ascii="Calibri" w:hAnsi="Calibri" w:cs="Calibri"/>
          <w:sz w:val="24"/>
          <w:szCs w:val="24"/>
          <w:lang w:val="en-GB"/>
        </w:rPr>
      </w:pPr>
      <w:r w:rsidRPr="00CA4E7F">
        <w:rPr>
          <w:rFonts w:ascii="Calibri" w:hAnsi="Calibri" w:cs="Calibri"/>
          <w:sz w:val="24"/>
          <w:szCs w:val="24"/>
          <w:lang w:val="en-GB"/>
        </w:rPr>
        <w:t>Affiliation:</w:t>
      </w:r>
      <w:r w:rsidR="0034083B">
        <w:rPr>
          <w:rFonts w:ascii="Calibri" w:hAnsi="Calibri" w:cs="Calibri"/>
          <w:sz w:val="24"/>
          <w:szCs w:val="24"/>
          <w:lang w:val="en-GB"/>
        </w:rPr>
        <w:br/>
      </w:r>
      <w:r w:rsidR="00DD65C5" w:rsidRPr="00681AE8">
        <w:rPr>
          <w:rFonts w:ascii="Calibri" w:hAnsi="Calibri" w:cs="Calibri"/>
          <w:sz w:val="24"/>
          <w:szCs w:val="24"/>
          <w:vertAlign w:val="superscript"/>
          <w:lang w:val="en-GB"/>
        </w:rPr>
        <w:t>1</w:t>
      </w:r>
      <w:r w:rsidR="00340F93">
        <w:rPr>
          <w:rFonts w:ascii="Calibri" w:hAnsi="Calibri" w:cs="Calibri"/>
          <w:sz w:val="24"/>
          <w:szCs w:val="24"/>
          <w:vertAlign w:val="superscript"/>
          <w:lang w:val="en-GB"/>
        </w:rPr>
        <w:t xml:space="preserve"> </w:t>
      </w:r>
      <w:r w:rsidRPr="00CA4E7F">
        <w:rPr>
          <w:rFonts w:ascii="Calibri" w:hAnsi="Calibri" w:cs="Calibri"/>
          <w:sz w:val="24"/>
          <w:szCs w:val="24"/>
          <w:lang w:val="en-GB"/>
        </w:rPr>
        <w:t>Unit of Therapeutic Chemistry and Pharmacognosy. University of Mons – UMONS, Belgium</w:t>
      </w:r>
      <w:r w:rsidR="00DD65C5">
        <w:rPr>
          <w:rFonts w:ascii="Calibri" w:hAnsi="Calibri" w:cs="Calibri"/>
          <w:sz w:val="24"/>
          <w:szCs w:val="24"/>
          <w:lang w:val="en-GB"/>
        </w:rPr>
        <w:br/>
      </w:r>
      <w:r w:rsidR="00681AE8" w:rsidRPr="00681AE8">
        <w:rPr>
          <w:rFonts w:ascii="Calibri" w:hAnsi="Calibri" w:cs="Calibri"/>
          <w:sz w:val="24"/>
          <w:szCs w:val="24"/>
          <w:vertAlign w:val="superscript"/>
          <w:lang w:val="en-GB"/>
        </w:rPr>
        <w:t>2</w:t>
      </w:r>
      <w:r w:rsidR="00340F93">
        <w:rPr>
          <w:rFonts w:ascii="Calibri" w:hAnsi="Calibri" w:cs="Calibri"/>
          <w:sz w:val="24"/>
          <w:szCs w:val="24"/>
          <w:lang w:val="en-GB"/>
        </w:rPr>
        <w:t xml:space="preserve"> </w:t>
      </w:r>
      <w:r w:rsidR="00882009">
        <w:rPr>
          <w:rFonts w:ascii="Calibri" w:hAnsi="Calibri" w:cs="Calibri"/>
          <w:sz w:val="24"/>
          <w:szCs w:val="24"/>
          <w:lang w:val="en-GB"/>
        </w:rPr>
        <w:t xml:space="preserve">Laboratory of </w:t>
      </w:r>
      <w:r w:rsidR="00DD65C5">
        <w:rPr>
          <w:rFonts w:ascii="Calibri" w:hAnsi="Calibri" w:cs="Calibri"/>
          <w:sz w:val="24"/>
          <w:szCs w:val="24"/>
          <w:lang w:val="en-GB"/>
        </w:rPr>
        <w:t xml:space="preserve">Pharmaceutical Analysis. </w:t>
      </w:r>
      <w:r w:rsidR="00DD65C5" w:rsidRPr="00CA4E7F">
        <w:rPr>
          <w:rFonts w:ascii="Calibri" w:hAnsi="Calibri" w:cs="Calibri"/>
          <w:sz w:val="24"/>
          <w:szCs w:val="24"/>
          <w:lang w:val="en-GB"/>
        </w:rPr>
        <w:t>University of Mons – UMONS, Belgium</w:t>
      </w:r>
    </w:p>
    <w:p w14:paraId="5F1C720E" w14:textId="77777777" w:rsidR="0034083B" w:rsidRPr="00CA4E7F" w:rsidRDefault="0034083B" w:rsidP="00A65C3A">
      <w:pPr>
        <w:rPr>
          <w:rFonts w:ascii="Calibri" w:hAnsi="Calibri" w:cs="Calibri"/>
          <w:sz w:val="24"/>
          <w:szCs w:val="24"/>
          <w:lang w:val="en-GB"/>
        </w:rPr>
      </w:pPr>
    </w:p>
    <w:p w14:paraId="53F6FA57" w14:textId="42696A92" w:rsidR="00733CB7" w:rsidRDefault="00733CB7" w:rsidP="00A65C3A">
      <w:pPr>
        <w:pStyle w:val="TableParagraph"/>
        <w:spacing w:line="237" w:lineRule="auto"/>
        <w:ind w:right="153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Abstract: </w:t>
      </w:r>
    </w:p>
    <w:p w14:paraId="6371CC9E" w14:textId="77777777" w:rsidR="001444B8" w:rsidRDefault="001444B8" w:rsidP="00087E0C">
      <w:pPr>
        <w:pStyle w:val="TableParagraph"/>
        <w:spacing w:line="237" w:lineRule="auto"/>
        <w:ind w:right="153"/>
        <w:jc w:val="both"/>
        <w:rPr>
          <w:sz w:val="24"/>
          <w:szCs w:val="24"/>
          <w:lang w:val="en-GB"/>
        </w:rPr>
      </w:pPr>
    </w:p>
    <w:p w14:paraId="6C2A0AF4" w14:textId="272DBCFD" w:rsidR="001444B8" w:rsidRPr="00B237E8" w:rsidRDefault="008C567A" w:rsidP="001444B8">
      <w:pPr>
        <w:pStyle w:val="TableParagraph"/>
        <w:spacing w:line="237" w:lineRule="auto"/>
        <w:ind w:right="153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Identifying bioactive secondary metabolites through bio-guided fractionation is a challenging and resource-intensive process that can take several years. Often, this involves identifying known compounds or those that ultimately prove to be Pan Assay </w:t>
      </w:r>
      <w:proofErr w:type="spellStart"/>
      <w:r>
        <w:rPr>
          <w:sz w:val="24"/>
          <w:szCs w:val="24"/>
          <w:lang w:val="en-GB"/>
        </w:rPr>
        <w:t>INterference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compoundS</w:t>
      </w:r>
      <w:proofErr w:type="spellEnd"/>
      <w:r>
        <w:rPr>
          <w:sz w:val="24"/>
          <w:szCs w:val="24"/>
          <w:lang w:val="en-GB"/>
        </w:rPr>
        <w:t xml:space="preserve"> (PAINS). To overcome this hurdle, our approach is to use a strategy of dereplication that involves</w:t>
      </w:r>
      <w:r w:rsidR="009B3258">
        <w:rPr>
          <w:sz w:val="24"/>
          <w:szCs w:val="24"/>
          <w:lang w:val="en-GB"/>
        </w:rPr>
        <w:t xml:space="preserve"> short</w:t>
      </w:r>
      <w:r>
        <w:rPr>
          <w:sz w:val="24"/>
          <w:szCs w:val="24"/>
          <w:lang w:val="en-GB"/>
        </w:rPr>
        <w:t xml:space="preserve"> bio-guided </w:t>
      </w:r>
      <w:r w:rsidR="009B3258">
        <w:rPr>
          <w:sz w:val="24"/>
          <w:szCs w:val="24"/>
          <w:lang w:val="en-GB"/>
        </w:rPr>
        <w:t>fractionation</w:t>
      </w:r>
      <w:r>
        <w:rPr>
          <w:sz w:val="24"/>
          <w:szCs w:val="24"/>
          <w:lang w:val="en-GB"/>
        </w:rPr>
        <w:t xml:space="preserve"> and LC-(HR)MS coupled with data mining (using databases and AI) to isolate only active and unknown compounds.</w:t>
      </w:r>
    </w:p>
    <w:p w14:paraId="23F32C40" w14:textId="77777777" w:rsidR="001444B8" w:rsidRPr="00B237E8" w:rsidRDefault="001444B8" w:rsidP="001444B8">
      <w:pPr>
        <w:pStyle w:val="TableParagraph"/>
        <w:spacing w:line="237" w:lineRule="auto"/>
        <w:ind w:left="136" w:right="153"/>
        <w:jc w:val="both"/>
        <w:rPr>
          <w:sz w:val="24"/>
          <w:szCs w:val="24"/>
          <w:lang w:val="en-GB"/>
        </w:rPr>
      </w:pPr>
    </w:p>
    <w:p w14:paraId="42F56599" w14:textId="4E5CB18D" w:rsidR="001444B8" w:rsidRPr="00B237E8" w:rsidRDefault="00ED5F03" w:rsidP="001444B8">
      <w:pPr>
        <w:pStyle w:val="TableParagraph"/>
        <w:spacing w:line="237" w:lineRule="auto"/>
        <w:ind w:right="153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</w:t>
      </w:r>
      <w:r w:rsidR="001444B8" w:rsidRPr="00B237E8">
        <w:rPr>
          <w:sz w:val="24"/>
          <w:szCs w:val="24"/>
          <w:lang w:val="en-GB"/>
        </w:rPr>
        <w:t>he dereplication strategy</w:t>
      </w:r>
      <w:r w:rsidR="00E31743">
        <w:rPr>
          <w:sz w:val="24"/>
          <w:szCs w:val="24"/>
          <w:lang w:val="en-GB"/>
        </w:rPr>
        <w:t xml:space="preserve"> will first involve the</w:t>
      </w:r>
      <w:r w:rsidR="001444B8" w:rsidRPr="00B237E8">
        <w:rPr>
          <w:sz w:val="24"/>
          <w:szCs w:val="24"/>
          <w:lang w:val="en-GB"/>
        </w:rPr>
        <w:t xml:space="preserve"> recovery of bioactive fractions through Flash-Chromatography and LC-HMRS analysis, </w:t>
      </w:r>
      <w:r w:rsidR="00E31743">
        <w:rPr>
          <w:sz w:val="24"/>
          <w:szCs w:val="24"/>
          <w:lang w:val="en-GB"/>
        </w:rPr>
        <w:t>pre-processing of the</w:t>
      </w:r>
      <w:r w:rsidR="001444B8" w:rsidRPr="00B237E8">
        <w:rPr>
          <w:sz w:val="24"/>
          <w:szCs w:val="24"/>
          <w:lang w:val="en-GB"/>
        </w:rPr>
        <w:t xml:space="preserve"> data using tools or platforms such as </w:t>
      </w:r>
      <w:proofErr w:type="spellStart"/>
      <w:r w:rsidR="001444B8" w:rsidRPr="00B237E8">
        <w:rPr>
          <w:sz w:val="24"/>
          <w:szCs w:val="24"/>
          <w:lang w:val="en-GB"/>
        </w:rPr>
        <w:t>MZmine</w:t>
      </w:r>
      <w:proofErr w:type="spellEnd"/>
      <w:r w:rsidR="001444B8" w:rsidRPr="00B237E8">
        <w:rPr>
          <w:sz w:val="24"/>
          <w:szCs w:val="24"/>
          <w:lang w:val="en-GB"/>
        </w:rPr>
        <w:t xml:space="preserve"> 4, </w:t>
      </w:r>
      <w:proofErr w:type="spellStart"/>
      <w:r w:rsidR="001444B8" w:rsidRPr="00B237E8">
        <w:rPr>
          <w:sz w:val="24"/>
          <w:szCs w:val="24"/>
          <w:lang w:val="en-GB"/>
        </w:rPr>
        <w:t>MetaboAnalyst</w:t>
      </w:r>
      <w:proofErr w:type="spellEnd"/>
      <w:r w:rsidR="001444B8" w:rsidRPr="00B237E8">
        <w:rPr>
          <w:sz w:val="24"/>
          <w:szCs w:val="24"/>
          <w:lang w:val="en-GB"/>
        </w:rPr>
        <w:t xml:space="preserve"> 6.0, Galaxy, Workflow4Metabolomics, etc... The data</w:t>
      </w:r>
      <w:r w:rsidR="00E31743">
        <w:rPr>
          <w:sz w:val="24"/>
          <w:szCs w:val="24"/>
          <w:lang w:val="en-GB"/>
        </w:rPr>
        <w:t>sets</w:t>
      </w:r>
      <w:r w:rsidR="001444B8" w:rsidRPr="00B237E8">
        <w:rPr>
          <w:sz w:val="24"/>
          <w:szCs w:val="24"/>
          <w:lang w:val="en-GB"/>
        </w:rPr>
        <w:t xml:space="preserve"> will then be submitted to databases, </w:t>
      </w:r>
      <w:r>
        <w:rPr>
          <w:sz w:val="24"/>
          <w:szCs w:val="24"/>
          <w:lang w:val="en-GB"/>
        </w:rPr>
        <w:t>such as</w:t>
      </w:r>
      <w:r w:rsidR="001444B8" w:rsidRPr="00B237E8">
        <w:rPr>
          <w:sz w:val="24"/>
          <w:szCs w:val="24"/>
          <w:lang w:val="en-GB"/>
        </w:rPr>
        <w:t xml:space="preserve"> GNPS, to match the spectra with those already known. </w:t>
      </w:r>
      <w:r w:rsidR="001444B8" w:rsidRPr="00B237E8">
        <w:rPr>
          <w:color w:val="0D0D0D"/>
          <w:sz w:val="24"/>
          <w:szCs w:val="24"/>
          <w:shd w:val="clear" w:color="auto" w:fill="FFFFFF"/>
          <w:lang w:val="en-GB"/>
        </w:rPr>
        <w:t xml:space="preserve">SIRIUS will be used to predict the structure of unknown compounds, and their </w:t>
      </w:r>
      <w:proofErr w:type="spellStart"/>
      <w:r w:rsidR="001444B8" w:rsidRPr="00B237E8">
        <w:rPr>
          <w:color w:val="0D0D0D"/>
          <w:sz w:val="24"/>
          <w:szCs w:val="24"/>
          <w:shd w:val="clear" w:color="auto" w:fill="FFFFFF"/>
          <w:lang w:val="en-GB"/>
        </w:rPr>
        <w:t>ADMETox</w:t>
      </w:r>
      <w:proofErr w:type="spellEnd"/>
      <w:r w:rsidR="001444B8" w:rsidRPr="00B237E8">
        <w:rPr>
          <w:color w:val="0D0D0D"/>
          <w:sz w:val="24"/>
          <w:szCs w:val="24"/>
          <w:shd w:val="clear" w:color="auto" w:fill="FFFFFF"/>
          <w:lang w:val="en-GB"/>
        </w:rPr>
        <w:t xml:space="preserve"> properties will be </w:t>
      </w:r>
      <w:r w:rsidR="007D4EAD">
        <w:rPr>
          <w:color w:val="0D0D0D"/>
          <w:sz w:val="24"/>
          <w:szCs w:val="24"/>
          <w:shd w:val="clear" w:color="auto" w:fill="FFFFFF"/>
          <w:lang w:val="en-GB"/>
        </w:rPr>
        <w:t xml:space="preserve">predicted </w:t>
      </w:r>
      <w:r w:rsidR="00E31743" w:rsidRPr="00340F93">
        <w:rPr>
          <w:i/>
          <w:iCs/>
          <w:color w:val="0D0D0D"/>
          <w:sz w:val="24"/>
          <w:szCs w:val="24"/>
          <w:shd w:val="clear" w:color="auto" w:fill="FFFFFF"/>
          <w:lang w:val="en-GB"/>
        </w:rPr>
        <w:t xml:space="preserve">in </w:t>
      </w:r>
      <w:proofErr w:type="spellStart"/>
      <w:r w:rsidR="00E31743" w:rsidRPr="00340F93">
        <w:rPr>
          <w:i/>
          <w:iCs/>
          <w:color w:val="0D0D0D"/>
          <w:sz w:val="24"/>
          <w:szCs w:val="24"/>
          <w:shd w:val="clear" w:color="auto" w:fill="FFFFFF"/>
          <w:lang w:val="en-GB"/>
        </w:rPr>
        <w:t>sillico</w:t>
      </w:r>
      <w:proofErr w:type="spellEnd"/>
      <w:r w:rsidR="001444B8" w:rsidRPr="00B237E8">
        <w:rPr>
          <w:color w:val="0D0D0D"/>
          <w:sz w:val="24"/>
          <w:szCs w:val="24"/>
          <w:shd w:val="clear" w:color="auto" w:fill="FFFFFF"/>
          <w:lang w:val="en-GB"/>
        </w:rPr>
        <w:t xml:space="preserve"> to ensure only bioactive compounds with </w:t>
      </w:r>
      <w:r w:rsidR="00E31743" w:rsidRPr="00B237E8">
        <w:rPr>
          <w:color w:val="0D0D0D"/>
          <w:sz w:val="24"/>
          <w:szCs w:val="24"/>
          <w:shd w:val="clear" w:color="auto" w:fill="FFFFFF"/>
          <w:lang w:val="en-GB"/>
        </w:rPr>
        <w:t>favourable</w:t>
      </w:r>
      <w:r w:rsidR="001444B8" w:rsidRPr="00B237E8">
        <w:rPr>
          <w:color w:val="0D0D0D"/>
          <w:sz w:val="24"/>
          <w:szCs w:val="24"/>
          <w:shd w:val="clear" w:color="auto" w:fill="FFFFFF"/>
          <w:lang w:val="en-GB"/>
        </w:rPr>
        <w:t xml:space="preserve"> properties are </w:t>
      </w:r>
      <w:r w:rsidR="00340F93" w:rsidRPr="00B237E8">
        <w:rPr>
          <w:color w:val="0D0D0D"/>
          <w:sz w:val="24"/>
          <w:szCs w:val="24"/>
          <w:shd w:val="clear" w:color="auto" w:fill="FFFFFF"/>
          <w:lang w:val="en-GB"/>
        </w:rPr>
        <w:t>isolated.</w:t>
      </w:r>
      <w:r w:rsidR="00340F93" w:rsidRPr="00FE27AD">
        <w:rPr>
          <w:color w:val="0D0D0D"/>
          <w:sz w:val="24"/>
          <w:szCs w:val="24"/>
          <w:shd w:val="clear" w:color="auto" w:fill="FFFFFF"/>
          <w:lang w:val="en-US"/>
        </w:rPr>
        <w:t xml:space="preserve"> Their</w:t>
      </w:r>
      <w:r w:rsidR="001444B8" w:rsidRPr="00FE27AD">
        <w:rPr>
          <w:color w:val="0D0D0D"/>
          <w:sz w:val="24"/>
          <w:szCs w:val="24"/>
          <w:shd w:val="clear" w:color="auto" w:fill="FFFFFF"/>
          <w:lang w:val="en-US"/>
        </w:rPr>
        <w:t xml:space="preserve"> structures will</w:t>
      </w:r>
      <w:r w:rsidR="00E31743" w:rsidRPr="00FE27AD">
        <w:rPr>
          <w:color w:val="0D0D0D"/>
          <w:sz w:val="24"/>
          <w:szCs w:val="24"/>
          <w:shd w:val="clear" w:color="auto" w:fill="FFFFFF"/>
          <w:lang w:val="en-US"/>
        </w:rPr>
        <w:t xml:space="preserve"> then </w:t>
      </w:r>
      <w:r w:rsidR="001444B8" w:rsidRPr="00FE27AD">
        <w:rPr>
          <w:color w:val="0D0D0D"/>
          <w:sz w:val="24"/>
          <w:szCs w:val="24"/>
          <w:shd w:val="clear" w:color="auto" w:fill="FFFFFF"/>
          <w:lang w:val="en-US"/>
        </w:rPr>
        <w:t>be confirmed through NMR.</w:t>
      </w:r>
    </w:p>
    <w:p w14:paraId="4ECE18FD" w14:textId="77777777" w:rsidR="001444B8" w:rsidRPr="003B2A67" w:rsidRDefault="001444B8" w:rsidP="00087E0C">
      <w:pPr>
        <w:pStyle w:val="TableParagraph"/>
        <w:spacing w:line="237" w:lineRule="auto"/>
        <w:ind w:right="153"/>
        <w:jc w:val="both"/>
        <w:rPr>
          <w:sz w:val="24"/>
          <w:szCs w:val="24"/>
          <w:lang w:val="en-GB"/>
        </w:rPr>
      </w:pPr>
    </w:p>
    <w:sectPr w:rsidR="001444B8" w:rsidRPr="003B2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033"/>
    <w:rsid w:val="00031C12"/>
    <w:rsid w:val="000429A6"/>
    <w:rsid w:val="00051B4A"/>
    <w:rsid w:val="00052BEF"/>
    <w:rsid w:val="0006120F"/>
    <w:rsid w:val="00087E0C"/>
    <w:rsid w:val="000B0F6A"/>
    <w:rsid w:val="000C07E5"/>
    <w:rsid w:val="000C652B"/>
    <w:rsid w:val="00111EAF"/>
    <w:rsid w:val="001148B8"/>
    <w:rsid w:val="00116E0D"/>
    <w:rsid w:val="001320D3"/>
    <w:rsid w:val="001342EB"/>
    <w:rsid w:val="001444B8"/>
    <w:rsid w:val="001B244D"/>
    <w:rsid w:val="00205385"/>
    <w:rsid w:val="0021489A"/>
    <w:rsid w:val="00216BB5"/>
    <w:rsid w:val="00234347"/>
    <w:rsid w:val="00244BDF"/>
    <w:rsid w:val="0025282D"/>
    <w:rsid w:val="00253D01"/>
    <w:rsid w:val="0025629C"/>
    <w:rsid w:val="0028402A"/>
    <w:rsid w:val="002B3161"/>
    <w:rsid w:val="002E1BF3"/>
    <w:rsid w:val="00320C04"/>
    <w:rsid w:val="00326CEC"/>
    <w:rsid w:val="00331CD7"/>
    <w:rsid w:val="0034083B"/>
    <w:rsid w:val="00340F93"/>
    <w:rsid w:val="00366A24"/>
    <w:rsid w:val="003A1D45"/>
    <w:rsid w:val="003A5B25"/>
    <w:rsid w:val="003B2A67"/>
    <w:rsid w:val="003E0913"/>
    <w:rsid w:val="003F1C0A"/>
    <w:rsid w:val="00406F25"/>
    <w:rsid w:val="0041719D"/>
    <w:rsid w:val="00443D46"/>
    <w:rsid w:val="00455DEE"/>
    <w:rsid w:val="00464E33"/>
    <w:rsid w:val="00465763"/>
    <w:rsid w:val="00476DFC"/>
    <w:rsid w:val="004948DA"/>
    <w:rsid w:val="004A2513"/>
    <w:rsid w:val="004B6B0E"/>
    <w:rsid w:val="004F2783"/>
    <w:rsid w:val="004F3C44"/>
    <w:rsid w:val="00501947"/>
    <w:rsid w:val="00596939"/>
    <w:rsid w:val="005A5D96"/>
    <w:rsid w:val="005B0E3A"/>
    <w:rsid w:val="005E7822"/>
    <w:rsid w:val="005F4078"/>
    <w:rsid w:val="0060065B"/>
    <w:rsid w:val="00616395"/>
    <w:rsid w:val="00641634"/>
    <w:rsid w:val="00644E31"/>
    <w:rsid w:val="00651491"/>
    <w:rsid w:val="00670CA2"/>
    <w:rsid w:val="00681AE8"/>
    <w:rsid w:val="0068707C"/>
    <w:rsid w:val="006D6F65"/>
    <w:rsid w:val="006F7F65"/>
    <w:rsid w:val="00733CB7"/>
    <w:rsid w:val="007A21CC"/>
    <w:rsid w:val="007A7699"/>
    <w:rsid w:val="007C23E2"/>
    <w:rsid w:val="007C6EFF"/>
    <w:rsid w:val="007D4EAD"/>
    <w:rsid w:val="007D6D71"/>
    <w:rsid w:val="007E145F"/>
    <w:rsid w:val="007F1D6C"/>
    <w:rsid w:val="00811CFA"/>
    <w:rsid w:val="0085180F"/>
    <w:rsid w:val="00882009"/>
    <w:rsid w:val="00885ACC"/>
    <w:rsid w:val="00886810"/>
    <w:rsid w:val="00891033"/>
    <w:rsid w:val="008A0939"/>
    <w:rsid w:val="008A6FB6"/>
    <w:rsid w:val="008C567A"/>
    <w:rsid w:val="008D4548"/>
    <w:rsid w:val="00907EB6"/>
    <w:rsid w:val="00942343"/>
    <w:rsid w:val="009B3258"/>
    <w:rsid w:val="009D464F"/>
    <w:rsid w:val="009D704E"/>
    <w:rsid w:val="00A170EF"/>
    <w:rsid w:val="00A366D7"/>
    <w:rsid w:val="00A604C3"/>
    <w:rsid w:val="00A65C3A"/>
    <w:rsid w:val="00A771C1"/>
    <w:rsid w:val="00A82609"/>
    <w:rsid w:val="00AA7A4C"/>
    <w:rsid w:val="00B041D7"/>
    <w:rsid w:val="00B22642"/>
    <w:rsid w:val="00B237E8"/>
    <w:rsid w:val="00B24BF6"/>
    <w:rsid w:val="00B813B9"/>
    <w:rsid w:val="00B842FA"/>
    <w:rsid w:val="00BB16C2"/>
    <w:rsid w:val="00BB7E78"/>
    <w:rsid w:val="00BF2848"/>
    <w:rsid w:val="00BF3B53"/>
    <w:rsid w:val="00BF3CFB"/>
    <w:rsid w:val="00C26CA3"/>
    <w:rsid w:val="00C61D88"/>
    <w:rsid w:val="00C642A7"/>
    <w:rsid w:val="00C65915"/>
    <w:rsid w:val="00C727AC"/>
    <w:rsid w:val="00C775C1"/>
    <w:rsid w:val="00CA4E7F"/>
    <w:rsid w:val="00CE158A"/>
    <w:rsid w:val="00D06A33"/>
    <w:rsid w:val="00D533CC"/>
    <w:rsid w:val="00D9270D"/>
    <w:rsid w:val="00DD65C5"/>
    <w:rsid w:val="00E03E37"/>
    <w:rsid w:val="00E05AF4"/>
    <w:rsid w:val="00E279B8"/>
    <w:rsid w:val="00E31743"/>
    <w:rsid w:val="00E33B5D"/>
    <w:rsid w:val="00E4474E"/>
    <w:rsid w:val="00E75E66"/>
    <w:rsid w:val="00E803D2"/>
    <w:rsid w:val="00E97F00"/>
    <w:rsid w:val="00ED5F03"/>
    <w:rsid w:val="00ED7833"/>
    <w:rsid w:val="00EE1CEE"/>
    <w:rsid w:val="00EE553E"/>
    <w:rsid w:val="00EF6E8E"/>
    <w:rsid w:val="00EF777E"/>
    <w:rsid w:val="00F01D3A"/>
    <w:rsid w:val="00F15693"/>
    <w:rsid w:val="00F45B2D"/>
    <w:rsid w:val="00F54254"/>
    <w:rsid w:val="00F64E33"/>
    <w:rsid w:val="00F70B6B"/>
    <w:rsid w:val="00FC12C1"/>
    <w:rsid w:val="00FC4B02"/>
    <w:rsid w:val="00FD3C6B"/>
    <w:rsid w:val="00FE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76B4"/>
  <w15:chartTrackingRefBased/>
  <w15:docId w15:val="{F5CB16D4-C6BA-49E5-B8F7-0CE412F2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91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91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910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91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910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91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91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91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91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910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910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910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9103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9103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9103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9103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9103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9103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91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91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91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91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91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9103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9103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9103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1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103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91033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2B316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fr-FR"/>
      <w14:ligatures w14:val="none"/>
    </w:rPr>
  </w:style>
  <w:style w:type="paragraph" w:styleId="Rvision">
    <w:name w:val="Revision"/>
    <w:hidden/>
    <w:uiPriority w:val="99"/>
    <w:semiHidden/>
    <w:rsid w:val="00E31743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E3174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3174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3174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3174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317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6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2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6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2D328EC-48FC-4CCB-AC9D-59F717413E6B}">
  <we:reference id="wa200001361" version="2.89.0.0" store="fr-FR" storeType="OMEX"/>
  <we:alternateReferences>
    <we:reference id="wa200001361" version="2.89.0.0" store="wa200001361" storeType="OMEX"/>
  </we:alternateReferences>
  <we:properties>
    <we:property name="paperpal-document-id" value="&quot;56c9a469-4ad6-4241-bcaa-fa6abd89a314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242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FAUQUET</dc:creator>
  <cp:keywords/>
  <dc:description/>
  <cp:lastModifiedBy>Jason FAUQUET</cp:lastModifiedBy>
  <cp:revision>6</cp:revision>
  <dcterms:created xsi:type="dcterms:W3CDTF">2024-06-06T14:31:00Z</dcterms:created>
  <dcterms:modified xsi:type="dcterms:W3CDTF">2024-06-07T15:35:00Z</dcterms:modified>
</cp:coreProperties>
</file>