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A7AD" w14:textId="66172523" w:rsidR="00746B2F" w:rsidRDefault="00C17147">
      <w:pPr>
        <w:spacing w:after="0"/>
        <w:jc w:val="center"/>
      </w:pPr>
      <w:r>
        <w:rPr>
          <w:b/>
          <w:sz w:val="28"/>
        </w:rPr>
        <w:t>Absorption Enhancement in Hybrid Au-TiO</w:t>
      </w:r>
      <w:r w:rsidR="00C76449" w:rsidRPr="00C76449">
        <w:rPr>
          <w:b/>
          <w:sz w:val="28"/>
          <w:vertAlign w:val="subscript"/>
        </w:rPr>
        <w:t>2</w:t>
      </w:r>
      <w:r>
        <w:rPr>
          <w:b/>
          <w:sz w:val="28"/>
        </w:rPr>
        <w:t xml:space="preserve"> Nanoparticle Assemblies:</w:t>
      </w:r>
    </w:p>
    <w:p w14:paraId="07318CF7" w14:textId="77777777" w:rsidR="00746B2F" w:rsidRDefault="00C17147">
      <w:pPr>
        <w:spacing w:after="120"/>
        <w:jc w:val="center"/>
      </w:pPr>
      <w:r>
        <w:rPr>
          <w:b/>
          <w:sz w:val="28"/>
        </w:rPr>
        <w:t>From Dimers to Disordered Clusters</w:t>
      </w:r>
    </w:p>
    <w:p w14:paraId="12F98F8A" w14:textId="77777777" w:rsidR="00746B2F" w:rsidRDefault="00C17147">
      <w:pPr>
        <w:spacing w:after="0"/>
        <w:jc w:val="center"/>
        <w:rPr>
          <w:vertAlign w:val="superscript"/>
        </w:rPr>
      </w:pPr>
      <w:r w:rsidRPr="00797D19">
        <w:t>C. Rousseau</w:t>
      </w:r>
      <w:r w:rsidRPr="00797D19">
        <w:rPr>
          <w:vertAlign w:val="superscript"/>
        </w:rPr>
        <w:t>1</w:t>
      </w:r>
      <w:r>
        <w:t xml:space="preserve">, </w:t>
      </w:r>
      <w:r w:rsidRPr="00797D19">
        <w:rPr>
          <w:b/>
          <w:bCs/>
        </w:rPr>
        <w:t>V. Joris</w:t>
      </w:r>
      <w:r w:rsidRPr="00797D19">
        <w:rPr>
          <w:b/>
          <w:bCs/>
          <w:vertAlign w:val="superscript"/>
        </w:rPr>
        <w:t>1</w:t>
      </w:r>
      <w:r>
        <w:t>, B. Maes</w:t>
      </w:r>
      <w:r>
        <w:rPr>
          <w:vertAlign w:val="superscript"/>
        </w:rPr>
        <w:t>1</w:t>
      </w:r>
      <w:r>
        <w:t xml:space="preserve"> and G. Rosolen</w:t>
      </w:r>
      <w:r>
        <w:rPr>
          <w:vertAlign w:val="superscript"/>
        </w:rPr>
        <w:t>1</w:t>
      </w:r>
    </w:p>
    <w:p w14:paraId="68EA0637" w14:textId="77777777" w:rsidR="00797D19" w:rsidRDefault="00797D19">
      <w:pPr>
        <w:spacing w:after="0"/>
        <w:jc w:val="center"/>
      </w:pPr>
    </w:p>
    <w:p w14:paraId="0B045044" w14:textId="77777777" w:rsidR="00746B2F" w:rsidRDefault="00C17147">
      <w:pPr>
        <w:jc w:val="center"/>
      </w:pPr>
      <w:r w:rsidRPr="00797D19">
        <w:rPr>
          <w:vertAlign w:val="superscript"/>
        </w:rPr>
        <w:t>1</w:t>
      </w:r>
      <w:r>
        <w:t xml:space="preserve"> </w:t>
      </w:r>
      <w:r w:rsidRPr="00797D19">
        <w:rPr>
          <w:rFonts w:ascii="Times" w:eastAsia="Calibri" w:hAnsi="Times" w:cs="Times New Roman"/>
          <w:i/>
          <w:color w:val="00000A"/>
          <w:szCs w:val="24"/>
        </w:rPr>
        <w:t>Micro- and Nanophotonic Materials Group, Research Institute for Materials Science and Engineering, University of Mons, 20 Place du Parc, B-7000 Mons, Belgium</w:t>
      </w:r>
    </w:p>
    <w:p w14:paraId="77FEED1E" w14:textId="02C527B1" w:rsidR="00BB0318" w:rsidRP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  <w:r w:rsidRPr="00BB0318">
        <w:rPr>
          <w:rFonts w:ascii="Times" w:eastAsia="Calibri" w:hAnsi="Times"/>
          <w:color w:val="00000A"/>
          <w:sz w:val="24"/>
          <w:szCs w:val="24"/>
        </w:rPr>
        <w:t>Hybrid nanostructures</w:t>
      </w:r>
      <w:r w:rsidR="00A04E86">
        <w:rPr>
          <w:rFonts w:ascii="Times" w:eastAsia="Calibri" w:hAnsi="Times"/>
          <w:color w:val="00000A"/>
          <w:sz w:val="24"/>
          <w:szCs w:val="24"/>
        </w:rPr>
        <w:t xml:space="preserve"> </w:t>
      </w:r>
      <w:r w:rsidR="00A04E86" w:rsidRPr="00BB0318">
        <w:rPr>
          <w:rFonts w:ascii="Times" w:eastAsia="Calibri" w:hAnsi="Times"/>
          <w:color w:val="00000A"/>
          <w:sz w:val="24"/>
          <w:szCs w:val="24"/>
        </w:rPr>
        <w:t>[1]</w:t>
      </w:r>
      <w:r w:rsidR="00A04E86">
        <w:rPr>
          <w:rFonts w:ascii="Times" w:eastAsia="Calibri" w:hAnsi="Times"/>
          <w:color w:val="00000A"/>
          <w:sz w:val="24"/>
          <w:szCs w:val="24"/>
        </w:rPr>
        <w:t xml:space="preserve"> 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combining plasmonic and dielectric nanoparticles (NPs) provide a versatile route to tailor light-matter interactions at the nanoscale. In this context, </w:t>
      </w:r>
      <w:proofErr w:type="spellStart"/>
      <w:r w:rsidRPr="00BB0318">
        <w:rPr>
          <w:rFonts w:ascii="Times" w:eastAsia="Calibri" w:hAnsi="Times"/>
          <w:color w:val="00000A"/>
          <w:sz w:val="24"/>
          <w:szCs w:val="24"/>
        </w:rPr>
        <w:t>heteroaggregation</w:t>
      </w:r>
      <w:proofErr w:type="spellEnd"/>
      <w:r w:rsidRPr="00BB0318">
        <w:rPr>
          <w:rFonts w:ascii="Times" w:eastAsia="Calibri" w:hAnsi="Times"/>
          <w:color w:val="00000A"/>
          <w:sz w:val="24"/>
          <w:szCs w:val="24"/>
        </w:rPr>
        <w:t>, namely the aggregation of distinct NP populations, offers a simple way to form such hybrid assemblies [</w:t>
      </w:r>
      <w:r w:rsidR="00A04E86">
        <w:rPr>
          <w:rFonts w:ascii="Times" w:eastAsia="Calibri" w:hAnsi="Times"/>
          <w:color w:val="00000A"/>
          <w:sz w:val="24"/>
          <w:szCs w:val="24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>]. Here, we investigate whether incorporating titanium dioxide (TiO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>) NPs can enhance the optical absorption of disordered gold (Au) NP assemblies. The analysis is based on full-wave finite-element simulations of Au-TiO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dimers, random three-dimensional clusters, and </w:t>
      </w:r>
      <w:r>
        <w:rPr>
          <w:rFonts w:ascii="Times" w:eastAsia="Calibri" w:hAnsi="Times"/>
          <w:color w:val="00000A"/>
          <w:sz w:val="24"/>
          <w:szCs w:val="24"/>
        </w:rPr>
        <w:t xml:space="preserve">random </w:t>
      </w:r>
      <w:r w:rsidRPr="00BB0318">
        <w:rPr>
          <w:rFonts w:ascii="Times" w:eastAsia="Calibri" w:hAnsi="Times"/>
          <w:color w:val="00000A"/>
          <w:sz w:val="24"/>
          <w:szCs w:val="24"/>
        </w:rPr>
        <w:t>planar arrays of aligned heterodimers.</w:t>
      </w:r>
    </w:p>
    <w:p w14:paraId="09DB83A6" w14:textId="77777777" w:rsidR="00BB0318" w:rsidRP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</w:p>
    <w:p w14:paraId="45563293" w14:textId="1F658D3C" w:rsidR="00BB0318" w:rsidRP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  <w:r w:rsidRPr="00BB0318">
        <w:rPr>
          <w:rFonts w:ascii="Times" w:eastAsia="Calibri" w:hAnsi="Times"/>
          <w:color w:val="00000A"/>
          <w:sz w:val="24"/>
          <w:szCs w:val="24"/>
        </w:rPr>
        <w:t>At the dimer level, the 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NP acts as a nearly lossless electromagnetic mediator. By storing and re-radiating the incident field, it modifies the local excitation experienced by the Au NP, leading either to absorption enhancement or suppression depending on the illumination geometry and relative particle position [</w:t>
      </w:r>
      <w:r w:rsidR="00A04E86">
        <w:rPr>
          <w:rFonts w:ascii="Times" w:eastAsia="Calibri" w:hAnsi="Times"/>
          <w:color w:val="00000A"/>
          <w:sz w:val="24"/>
          <w:szCs w:val="24"/>
        </w:rPr>
        <w:t>3</w:t>
      </w:r>
      <w:r w:rsidRPr="00BB0318">
        <w:rPr>
          <w:rFonts w:ascii="Times" w:eastAsia="Calibri" w:hAnsi="Times"/>
          <w:color w:val="00000A"/>
          <w:sz w:val="24"/>
          <w:szCs w:val="24"/>
        </w:rPr>
        <w:t>]. For NPs with a radius of 100 nm, our results show that, at 520 nm, the most favorable dimer configuration increases the Au absorption by about 43%, whereas an unfavorable one decreases it by about 15%.</w:t>
      </w:r>
    </w:p>
    <w:p w14:paraId="16DEFEE2" w14:textId="77777777" w:rsidR="00BB0318" w:rsidRP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</w:p>
    <w:p w14:paraId="03E4D08A" w14:textId="5EB7A8C4" w:rsidR="00BB0318" w:rsidRP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  <w:r w:rsidRPr="00BB0318">
        <w:rPr>
          <w:rFonts w:ascii="Times" w:eastAsia="Calibri" w:hAnsi="Times"/>
          <w:color w:val="00000A"/>
          <w:sz w:val="24"/>
          <w:szCs w:val="24"/>
        </w:rPr>
        <w:t>This mechanism is then examined statistically in random Au-TiO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clusters containing 10 Au and 10 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NPs. For each hybrid realization, a matched Au-only reference is obtained by removing the 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NPs while preserving the Au positions. Over 100 random configurations, 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addition produces a statistically significant enhancement over most of the visible range, with an increase of about 11% around 520 nm. This improvement results from reduced optical shielding within the Au subnetwork and a more favorable redistribution of the local electromagnetic field.</w:t>
      </w:r>
    </w:p>
    <w:p w14:paraId="7C20E697" w14:textId="77777777" w:rsidR="00BB0318" w:rsidRP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</w:p>
    <w:p w14:paraId="0BAB2636" w14:textId="73965661" w:rsid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  <w:r w:rsidRPr="00BB0318">
        <w:rPr>
          <w:rFonts w:ascii="Times" w:eastAsia="Calibri" w:hAnsi="Times"/>
          <w:color w:val="00000A"/>
          <w:sz w:val="24"/>
          <w:szCs w:val="24"/>
        </w:rPr>
        <w:t>Finally, random planar arrays of aligned Au-TiO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heterodimers are considered to preserve constructive dimer configurations more directly. Depending on illumination geometry and intra-dimer spacing, the visible absorption modulation ranges from weak suppression to enhancements of up </w:t>
      </w:r>
      <w:proofErr w:type="gramStart"/>
      <w:r w:rsidRPr="00BB0318">
        <w:rPr>
          <w:rFonts w:ascii="Times" w:eastAsia="Calibri" w:hAnsi="Times"/>
          <w:color w:val="00000A"/>
          <w:sz w:val="24"/>
          <w:szCs w:val="24"/>
        </w:rPr>
        <w:t>to about</w:t>
      </w:r>
      <w:proofErr w:type="gramEnd"/>
      <w:r w:rsidRPr="00BB0318">
        <w:rPr>
          <w:rFonts w:ascii="Times" w:eastAsia="Calibri" w:hAnsi="Times"/>
          <w:color w:val="00000A"/>
          <w:sz w:val="24"/>
          <w:szCs w:val="24"/>
        </w:rPr>
        <w:t xml:space="preserve"> 32%. Overall, our results show that position-dependent absorption modulations at the Au-TiO</w:t>
      </w:r>
      <w:r w:rsidR="00727143" w:rsidRPr="00727143">
        <w:rPr>
          <w:rFonts w:ascii="Times" w:eastAsia="Calibri" w:hAnsi="Times"/>
          <w:color w:val="00000A"/>
          <w:sz w:val="24"/>
          <w:szCs w:val="24"/>
          <w:vertAlign w:val="subscript"/>
        </w:rPr>
        <w:t>2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dimer level translate, on average, into a positive enhancement in random clusters. This suggests that </w:t>
      </w:r>
      <w:proofErr w:type="spellStart"/>
      <w:r w:rsidRPr="00BB0318">
        <w:rPr>
          <w:rFonts w:ascii="Times" w:eastAsia="Calibri" w:hAnsi="Times"/>
          <w:color w:val="00000A"/>
          <w:sz w:val="24"/>
          <w:szCs w:val="24"/>
        </w:rPr>
        <w:t>heteroaggregation</w:t>
      </w:r>
      <w:proofErr w:type="spellEnd"/>
      <w:r w:rsidRPr="00BB0318">
        <w:rPr>
          <w:rFonts w:ascii="Times" w:eastAsia="Calibri" w:hAnsi="Times"/>
          <w:color w:val="00000A"/>
          <w:sz w:val="24"/>
          <w:szCs w:val="24"/>
        </w:rPr>
        <w:t xml:space="preserve"> is a promising strategy to improve the optical absorption of </w:t>
      </w:r>
      <w:r w:rsidR="009E4F14">
        <w:rPr>
          <w:rFonts w:ascii="Times" w:eastAsia="Calibri" w:hAnsi="Times"/>
          <w:color w:val="00000A"/>
          <w:sz w:val="24"/>
          <w:szCs w:val="24"/>
        </w:rPr>
        <w:t>Au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</w:t>
      </w:r>
      <w:r w:rsidR="009E4F14">
        <w:rPr>
          <w:rFonts w:ascii="Times" w:eastAsia="Calibri" w:hAnsi="Times"/>
          <w:color w:val="00000A"/>
          <w:sz w:val="24"/>
          <w:szCs w:val="24"/>
        </w:rPr>
        <w:t>NP</w:t>
      </w:r>
      <w:r w:rsidRPr="00BB0318">
        <w:rPr>
          <w:rFonts w:ascii="Times" w:eastAsia="Calibri" w:hAnsi="Times"/>
          <w:color w:val="00000A"/>
          <w:sz w:val="24"/>
          <w:szCs w:val="24"/>
        </w:rPr>
        <w:t xml:space="preserve"> assemblies, and that this enhancement can be further amplified in designed two-dimensional geometries where favorable coupling configurations are preserved more effectively.</w:t>
      </w:r>
    </w:p>
    <w:p w14:paraId="0E58A5B7" w14:textId="77777777" w:rsidR="00BB0318" w:rsidRDefault="00BB0318" w:rsidP="00BB0318">
      <w:pPr>
        <w:pStyle w:val="Body"/>
        <w:rPr>
          <w:rFonts w:ascii="Times" w:eastAsia="Calibri" w:hAnsi="Times"/>
          <w:color w:val="00000A"/>
          <w:sz w:val="24"/>
          <w:szCs w:val="24"/>
        </w:rPr>
      </w:pPr>
    </w:p>
    <w:p w14:paraId="1B886ACA" w14:textId="0A918515" w:rsidR="00797D19" w:rsidRDefault="00797D19" w:rsidP="00BB0318">
      <w:pPr>
        <w:pStyle w:val="Body"/>
        <w:rPr>
          <w:b/>
          <w:kern w:val="28"/>
          <w:sz w:val="28"/>
        </w:rPr>
      </w:pPr>
      <w:r>
        <w:rPr>
          <w:b/>
          <w:kern w:val="28"/>
          <w:sz w:val="28"/>
        </w:rPr>
        <w:t>A</w:t>
      </w:r>
      <w:r w:rsidRPr="0025494D">
        <w:rPr>
          <w:b/>
          <w:kern w:val="28"/>
          <w:sz w:val="28"/>
        </w:rPr>
        <w:t>cknowledgement</w:t>
      </w:r>
    </w:p>
    <w:p w14:paraId="5B757FE1" w14:textId="77777777" w:rsidR="00797D19" w:rsidRDefault="00797D19" w:rsidP="00797D19">
      <w:pPr>
        <w:pStyle w:val="Body"/>
        <w:rPr>
          <w:b/>
          <w:kern w:val="28"/>
          <w:sz w:val="28"/>
        </w:rPr>
      </w:pPr>
    </w:p>
    <w:p w14:paraId="45B7B2EE" w14:textId="77777777" w:rsidR="00797D19" w:rsidRPr="00A04E86" w:rsidRDefault="00797D19" w:rsidP="00797D19">
      <w:pPr>
        <w:pStyle w:val="Body"/>
        <w:rPr>
          <w:rFonts w:ascii="Times" w:eastAsia="Calibri" w:hAnsi="Times"/>
          <w:color w:val="00000A"/>
          <w:szCs w:val="22"/>
        </w:rPr>
      </w:pPr>
      <w:r w:rsidRPr="00A04E86">
        <w:rPr>
          <w:rFonts w:ascii="Times" w:eastAsia="Calibri" w:hAnsi="Times"/>
          <w:color w:val="00000A"/>
          <w:szCs w:val="22"/>
        </w:rPr>
        <w:t xml:space="preserve">We acknowledge support from the Action de Recherche </w:t>
      </w:r>
      <w:proofErr w:type="spellStart"/>
      <w:r w:rsidRPr="00A04E86">
        <w:rPr>
          <w:rFonts w:ascii="Times" w:eastAsia="Calibri" w:hAnsi="Times"/>
          <w:color w:val="00000A"/>
          <w:szCs w:val="22"/>
        </w:rPr>
        <w:t>Concertée</w:t>
      </w:r>
      <w:proofErr w:type="spellEnd"/>
      <w:r w:rsidRPr="00A04E86">
        <w:rPr>
          <w:rFonts w:ascii="Times" w:eastAsia="Calibri" w:hAnsi="Times"/>
          <w:color w:val="00000A"/>
          <w:szCs w:val="22"/>
        </w:rPr>
        <w:t xml:space="preserve"> (project ARC-23/27 UMONS3).</w:t>
      </w:r>
    </w:p>
    <w:p w14:paraId="3DE61762" w14:textId="3F1BE125" w:rsidR="00BB0318" w:rsidRDefault="00C17147" w:rsidP="00BB0318">
      <w:pPr>
        <w:pStyle w:val="Titre1"/>
        <w:keepLines w:val="0"/>
        <w:tabs>
          <w:tab w:val="left" w:pos="340"/>
          <w:tab w:val="left" w:pos="2085"/>
        </w:tabs>
        <w:spacing w:before="240" w:after="60"/>
        <w:jc w:val="both"/>
        <w:rPr>
          <w:rFonts w:ascii="Times New Roman" w:eastAsia="Times New Roman" w:hAnsi="Times New Roman" w:cs="Times New Roman"/>
          <w:bCs w:val="0"/>
          <w:color w:val="auto"/>
          <w:kern w:val="28"/>
          <w:sz w:val="26"/>
          <w:szCs w:val="20"/>
        </w:rPr>
      </w:pPr>
      <w:r w:rsidRPr="00797D19">
        <w:rPr>
          <w:rFonts w:ascii="Times New Roman" w:eastAsia="Times New Roman" w:hAnsi="Times New Roman" w:cs="Times New Roman"/>
          <w:bCs w:val="0"/>
          <w:color w:val="auto"/>
          <w:kern w:val="28"/>
          <w:sz w:val="26"/>
          <w:szCs w:val="20"/>
        </w:rPr>
        <w:t>References</w:t>
      </w:r>
      <w:r w:rsidR="003A708E">
        <w:rPr>
          <w:rFonts w:ascii="Times New Roman" w:eastAsia="Times New Roman" w:hAnsi="Times New Roman" w:cs="Times New Roman"/>
          <w:bCs w:val="0"/>
          <w:color w:val="auto"/>
          <w:kern w:val="28"/>
          <w:sz w:val="26"/>
          <w:szCs w:val="20"/>
        </w:rPr>
        <w:tab/>
      </w:r>
    </w:p>
    <w:p w14:paraId="18B0D24F" w14:textId="4B4D8C75" w:rsidR="00A04E86" w:rsidRPr="00A04E86" w:rsidRDefault="00A04E86" w:rsidP="00A04E86">
      <w:pPr>
        <w:rPr>
          <w:sz w:val="22"/>
          <w:szCs w:val="20"/>
          <w:lang w:val="fr-BE"/>
        </w:rPr>
      </w:pPr>
      <w:r w:rsidRPr="00A04E86">
        <w:rPr>
          <w:sz w:val="22"/>
          <w:szCs w:val="20"/>
          <w:lang w:val="fr-BE"/>
        </w:rPr>
        <w:t>[1] C. Rousseau</w:t>
      </w:r>
      <w:r>
        <w:rPr>
          <w:sz w:val="22"/>
          <w:szCs w:val="20"/>
          <w:lang w:val="fr-BE"/>
        </w:rPr>
        <w:t xml:space="preserve"> </w:t>
      </w:r>
      <w:r w:rsidRPr="00A04E86">
        <w:rPr>
          <w:sz w:val="22"/>
          <w:szCs w:val="20"/>
          <w:lang w:val="fr-BE"/>
        </w:rPr>
        <w:t xml:space="preserve">et al., </w:t>
      </w:r>
      <w:r w:rsidRPr="00A04E86">
        <w:rPr>
          <w:i/>
          <w:iCs/>
          <w:sz w:val="22"/>
          <w:szCs w:val="20"/>
          <w:lang w:val="fr-BE"/>
        </w:rPr>
        <w:t xml:space="preserve">Computer Methods and Programs in </w:t>
      </w:r>
      <w:proofErr w:type="spellStart"/>
      <w:r w:rsidRPr="00A04E86">
        <w:rPr>
          <w:i/>
          <w:iCs/>
          <w:sz w:val="22"/>
          <w:szCs w:val="20"/>
          <w:lang w:val="fr-BE"/>
        </w:rPr>
        <w:t>Biomedicine</w:t>
      </w:r>
      <w:proofErr w:type="spellEnd"/>
      <w:r w:rsidRPr="00A04E86">
        <w:rPr>
          <w:sz w:val="22"/>
          <w:szCs w:val="20"/>
          <w:lang w:val="fr-BE"/>
        </w:rPr>
        <w:t>, vol. 257, p. 108453, 2024.</w:t>
      </w:r>
    </w:p>
    <w:p w14:paraId="28DACFB7" w14:textId="6ABADF0F" w:rsidR="003A708E" w:rsidRPr="00A04E86" w:rsidRDefault="003A708E" w:rsidP="003A708E">
      <w:pPr>
        <w:rPr>
          <w:sz w:val="20"/>
          <w:szCs w:val="18"/>
          <w:lang w:val="fr-BE"/>
        </w:rPr>
      </w:pPr>
      <w:r w:rsidRPr="00A04E86">
        <w:rPr>
          <w:sz w:val="20"/>
          <w:szCs w:val="18"/>
          <w:lang w:val="fr-BE"/>
        </w:rPr>
        <w:t>[</w:t>
      </w:r>
      <w:r w:rsidR="00A04E86">
        <w:rPr>
          <w:sz w:val="20"/>
          <w:szCs w:val="18"/>
          <w:lang w:val="fr-BE"/>
        </w:rPr>
        <w:t>2</w:t>
      </w:r>
      <w:r w:rsidRPr="00A04E86">
        <w:rPr>
          <w:sz w:val="20"/>
          <w:szCs w:val="18"/>
          <w:lang w:val="fr-BE"/>
        </w:rPr>
        <w:t xml:space="preserve">] B. M. Smith et al., Nason, </w:t>
      </w:r>
      <w:r w:rsidRPr="00A04E86">
        <w:rPr>
          <w:i/>
          <w:iCs/>
          <w:sz w:val="20"/>
          <w:szCs w:val="18"/>
          <w:lang w:val="fr-BE"/>
        </w:rPr>
        <w:t xml:space="preserve">Environ. </w:t>
      </w:r>
      <w:proofErr w:type="spellStart"/>
      <w:r w:rsidRPr="00A04E86">
        <w:rPr>
          <w:i/>
          <w:iCs/>
          <w:sz w:val="20"/>
          <w:szCs w:val="18"/>
          <w:lang w:val="fr-BE"/>
        </w:rPr>
        <w:t>Sci</w:t>
      </w:r>
      <w:proofErr w:type="spellEnd"/>
      <w:r w:rsidRPr="00A04E86">
        <w:rPr>
          <w:i/>
          <w:iCs/>
          <w:sz w:val="20"/>
          <w:szCs w:val="18"/>
          <w:lang w:val="fr-BE"/>
        </w:rPr>
        <w:t xml:space="preserve">. </w:t>
      </w:r>
      <w:proofErr w:type="spellStart"/>
      <w:r w:rsidRPr="00A04E86">
        <w:rPr>
          <w:i/>
          <w:iCs/>
          <w:sz w:val="20"/>
          <w:szCs w:val="18"/>
          <w:lang w:val="fr-BE"/>
        </w:rPr>
        <w:t>Technol</w:t>
      </w:r>
      <w:proofErr w:type="spellEnd"/>
      <w:r w:rsidRPr="00A04E86">
        <w:rPr>
          <w:i/>
          <w:iCs/>
          <w:sz w:val="20"/>
          <w:szCs w:val="18"/>
          <w:lang w:val="fr-BE"/>
        </w:rPr>
        <w:t>.</w:t>
      </w:r>
      <w:r w:rsidRPr="00A04E86">
        <w:rPr>
          <w:sz w:val="20"/>
          <w:szCs w:val="18"/>
          <w:lang w:val="fr-BE"/>
        </w:rPr>
        <w:t>, vol. 49, n</w:t>
      </w:r>
      <w:r w:rsidRPr="00A04E86">
        <w:rPr>
          <w:sz w:val="20"/>
          <w:szCs w:val="18"/>
          <w:vertAlign w:val="superscript"/>
          <w:lang w:val="fr-BE"/>
        </w:rPr>
        <w:t>o</w:t>
      </w:r>
      <w:r w:rsidRPr="00A04E86">
        <w:rPr>
          <w:sz w:val="20"/>
          <w:szCs w:val="18"/>
          <w:lang w:val="fr-BE"/>
        </w:rPr>
        <w:t xml:space="preserve"> 21, p. 12789</w:t>
      </w:r>
      <w:r w:rsidRPr="00A04E86">
        <w:rPr>
          <w:sz w:val="20"/>
          <w:szCs w:val="18"/>
          <w:lang w:val="fr-BE"/>
        </w:rPr>
        <w:noBreakHyphen/>
        <w:t>12797, 2015.</w:t>
      </w:r>
    </w:p>
    <w:p w14:paraId="1E5B7FE7" w14:textId="0D0FC858" w:rsidR="008D6691" w:rsidRPr="00A04E86" w:rsidRDefault="00B23CF1">
      <w:pPr>
        <w:spacing w:after="0"/>
        <w:jc w:val="both"/>
        <w:rPr>
          <w:sz w:val="20"/>
          <w:szCs w:val="18"/>
          <w:lang w:val="fr-BE"/>
        </w:rPr>
      </w:pPr>
      <w:r w:rsidRPr="00A04E86">
        <w:rPr>
          <w:sz w:val="20"/>
          <w:szCs w:val="18"/>
          <w:lang w:val="fr-BE"/>
        </w:rPr>
        <w:t>[</w:t>
      </w:r>
      <w:r w:rsidR="00A04E86">
        <w:rPr>
          <w:sz w:val="20"/>
          <w:szCs w:val="18"/>
          <w:lang w:val="fr-BE"/>
        </w:rPr>
        <w:t>3</w:t>
      </w:r>
      <w:r w:rsidRPr="00A04E86">
        <w:rPr>
          <w:sz w:val="20"/>
          <w:szCs w:val="18"/>
          <w:lang w:val="fr-BE"/>
        </w:rPr>
        <w:t xml:space="preserve">] </w:t>
      </w:r>
      <w:r w:rsidR="003A708E" w:rsidRPr="00A04E86">
        <w:rPr>
          <w:sz w:val="20"/>
          <w:szCs w:val="18"/>
          <w:lang w:val="fr-BE"/>
        </w:rPr>
        <w:t xml:space="preserve">Q. Zhao, Z.-J. Yang, et J. He, </w:t>
      </w:r>
      <w:r w:rsidR="003A708E" w:rsidRPr="00A04E86">
        <w:rPr>
          <w:i/>
          <w:iCs/>
          <w:sz w:val="20"/>
          <w:szCs w:val="18"/>
          <w:lang w:val="fr-BE"/>
        </w:rPr>
        <w:t>Front. Phys.</w:t>
      </w:r>
      <w:r w:rsidR="003A708E" w:rsidRPr="00A04E86">
        <w:rPr>
          <w:sz w:val="20"/>
          <w:szCs w:val="18"/>
          <w:lang w:val="fr-BE"/>
        </w:rPr>
        <w:t>, vol. 13, n</w:t>
      </w:r>
      <w:r w:rsidR="003A708E" w:rsidRPr="00A04E86">
        <w:rPr>
          <w:sz w:val="20"/>
          <w:szCs w:val="18"/>
          <w:vertAlign w:val="superscript"/>
          <w:lang w:val="fr-BE"/>
        </w:rPr>
        <w:t>o</w:t>
      </w:r>
      <w:r w:rsidR="003A708E" w:rsidRPr="00A04E86">
        <w:rPr>
          <w:sz w:val="20"/>
          <w:szCs w:val="18"/>
          <w:lang w:val="fr-BE"/>
        </w:rPr>
        <w:t xml:space="preserve"> 3, p. 137801, 2018.</w:t>
      </w:r>
    </w:p>
    <w:sectPr w:rsidR="008D6691" w:rsidRPr="00A04E86" w:rsidSect="00034616">
      <w:pgSz w:w="11906" w:h="16838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9462196">
    <w:abstractNumId w:val="8"/>
  </w:num>
  <w:num w:numId="2" w16cid:durableId="959411522">
    <w:abstractNumId w:val="6"/>
  </w:num>
  <w:num w:numId="3" w16cid:durableId="1582786592">
    <w:abstractNumId w:val="5"/>
  </w:num>
  <w:num w:numId="4" w16cid:durableId="957495398">
    <w:abstractNumId w:val="4"/>
  </w:num>
  <w:num w:numId="5" w16cid:durableId="343358719">
    <w:abstractNumId w:val="7"/>
  </w:num>
  <w:num w:numId="6" w16cid:durableId="759642662">
    <w:abstractNumId w:val="3"/>
  </w:num>
  <w:num w:numId="7" w16cid:durableId="1182549759">
    <w:abstractNumId w:val="2"/>
  </w:num>
  <w:num w:numId="8" w16cid:durableId="1556158100">
    <w:abstractNumId w:val="1"/>
  </w:num>
  <w:num w:numId="9" w16cid:durableId="6488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581B"/>
    <w:rsid w:val="003A708E"/>
    <w:rsid w:val="004A4B66"/>
    <w:rsid w:val="00645AAB"/>
    <w:rsid w:val="00727143"/>
    <w:rsid w:val="00746B2F"/>
    <w:rsid w:val="00797D19"/>
    <w:rsid w:val="007C5698"/>
    <w:rsid w:val="008D6691"/>
    <w:rsid w:val="009E1CCC"/>
    <w:rsid w:val="009E4F14"/>
    <w:rsid w:val="00A04E86"/>
    <w:rsid w:val="00AA1D8D"/>
    <w:rsid w:val="00AE1C20"/>
    <w:rsid w:val="00B23CF1"/>
    <w:rsid w:val="00B47730"/>
    <w:rsid w:val="00BB0318"/>
    <w:rsid w:val="00C17147"/>
    <w:rsid w:val="00C76449"/>
    <w:rsid w:val="00CB0664"/>
    <w:rsid w:val="00EB1874"/>
    <w:rsid w:val="00F868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C37B1"/>
  <w14:defaultImageDpi w14:val="300"/>
  <w15:docId w15:val="{2A726620-7151-411C-A0EF-04F164B8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240" w:lineRule="auto"/>
    </w:pPr>
    <w:rPr>
      <w:rFonts w:ascii="Times New Roman" w:eastAsia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">
    <w:name w:val="Body"/>
    <w:basedOn w:val="Normal"/>
    <w:rsid w:val="00797D19"/>
    <w:pPr>
      <w:spacing w:after="0"/>
      <w:jc w:val="both"/>
    </w:pPr>
    <w:rPr>
      <w:rFonts w:cs="Times New Roman"/>
      <w:sz w:val="22"/>
      <w:szCs w:val="20"/>
    </w:rPr>
  </w:style>
  <w:style w:type="character" w:styleId="Lienhypertexte">
    <w:name w:val="Hyperlink"/>
    <w:basedOn w:val="Policepardfaut"/>
    <w:uiPriority w:val="99"/>
    <w:unhideWhenUsed/>
    <w:rsid w:val="00B23CF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Cédric ROUSSEAU</cp:lastModifiedBy>
  <cp:revision>8</cp:revision>
  <dcterms:created xsi:type="dcterms:W3CDTF">2026-04-24T08:41:00Z</dcterms:created>
  <dcterms:modified xsi:type="dcterms:W3CDTF">2026-04-24T12:02:00Z</dcterms:modified>
  <cp:category/>
</cp:coreProperties>
</file>