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1B9FF" w14:textId="77777777" w:rsidR="00BC6563" w:rsidRPr="00BC6563" w:rsidRDefault="00BC6563" w:rsidP="00BC6563">
      <w:pPr>
        <w:spacing w:beforeAutospacing="1"/>
        <w:outlineLvl w:val="1"/>
        <w:rPr>
          <w:rFonts w:ascii="Arial" w:eastAsia="Times New Roman" w:hAnsi="Arial" w:cs="Arial"/>
          <w:b/>
          <w:bCs/>
          <w:color w:val="222222"/>
          <w:sz w:val="36"/>
          <w:szCs w:val="36"/>
          <w:lang w:val="en-US" w:eastAsia="fr-FR"/>
        </w:rPr>
      </w:pPr>
      <w:r w:rsidRPr="00BC6563">
        <w:rPr>
          <w:rFonts w:ascii="Arial" w:eastAsia="Times New Roman" w:hAnsi="Arial" w:cs="Arial"/>
          <w:b/>
          <w:bCs/>
          <w:color w:val="222222"/>
          <w:sz w:val="33"/>
          <w:szCs w:val="33"/>
          <w:bdr w:val="none" w:sz="0" w:space="0" w:color="auto" w:frame="1"/>
          <w:lang w:val="en-US" w:eastAsia="fr-FR"/>
        </w:rPr>
        <w:t>Improvement of pyclen-based manganese complexes relaxivity by using polymer vesicles (polymersomes)</w:t>
      </w:r>
    </w:p>
    <w:p w14:paraId="7CC943C0" w14:textId="77777777" w:rsidR="00BC6563" w:rsidRPr="00BC6563" w:rsidRDefault="00BC6563" w:rsidP="00BC6563">
      <w:pPr>
        <w:spacing w:line="286" w:lineRule="atLeast"/>
        <w:rPr>
          <w:rFonts w:ascii="Calibri" w:hAnsi="Calibri" w:cs="Times New Roman"/>
          <w:color w:val="201F1E"/>
          <w:sz w:val="22"/>
          <w:szCs w:val="22"/>
          <w:lang w:val="en-US" w:eastAsia="fr-FR"/>
        </w:rPr>
      </w:pPr>
      <w:r w:rsidRPr="00BC6563">
        <w:rPr>
          <w:rFonts w:ascii="Arial" w:hAnsi="Arial" w:cs="Arial"/>
          <w:b/>
          <w:bCs/>
          <w:color w:val="201F1E"/>
          <w:sz w:val="22"/>
          <w:szCs w:val="22"/>
          <w:u w:val="single"/>
          <w:bdr w:val="none" w:sz="0" w:space="0" w:color="auto" w:frame="1"/>
          <w:lang w:val="en-US" w:eastAsia="fr-FR"/>
        </w:rPr>
        <w:t>Marie Devreux</w:t>
      </w:r>
      <w:r w:rsidRPr="00BC6563">
        <w:rPr>
          <w:rFonts w:ascii="Arial" w:hAnsi="Arial" w:cs="Arial"/>
          <w:color w:val="201F1E"/>
          <w:sz w:val="22"/>
          <w:szCs w:val="22"/>
          <w:bdr w:val="none" w:sz="0" w:space="0" w:color="auto" w:frame="1"/>
          <w:lang w:val="en-US" w:eastAsia="fr-FR"/>
        </w:rPr>
        <w:t>1, 2, Céline Henoumont</w:t>
      </w:r>
      <w:r w:rsidRPr="00BC6563">
        <w:rPr>
          <w:rFonts w:ascii="Arial" w:hAnsi="Arial" w:cs="Arial"/>
          <w:color w:val="201F1E"/>
          <w:sz w:val="22"/>
          <w:szCs w:val="22"/>
          <w:bdr w:val="none" w:sz="0" w:space="0" w:color="auto" w:frame="1"/>
          <w:vertAlign w:val="superscript"/>
          <w:lang w:val="en-US" w:eastAsia="fr-FR"/>
        </w:rPr>
        <w:t>1</w:t>
      </w:r>
      <w:r w:rsidRPr="00BC6563">
        <w:rPr>
          <w:rFonts w:ascii="Arial" w:hAnsi="Arial" w:cs="Arial"/>
          <w:color w:val="201F1E"/>
          <w:sz w:val="22"/>
          <w:szCs w:val="22"/>
          <w:bdr w:val="none" w:sz="0" w:space="0" w:color="auto" w:frame="1"/>
          <w:lang w:val="en-US" w:eastAsia="fr-FR"/>
        </w:rPr>
        <w:t>, Fabienne Dioury</w:t>
      </w:r>
      <w:r w:rsidRPr="00BC6563">
        <w:rPr>
          <w:rFonts w:ascii="Arial" w:hAnsi="Arial" w:cs="Arial"/>
          <w:color w:val="201F1E"/>
          <w:sz w:val="22"/>
          <w:szCs w:val="22"/>
          <w:bdr w:val="none" w:sz="0" w:space="0" w:color="auto" w:frame="1"/>
          <w:vertAlign w:val="superscript"/>
          <w:lang w:val="en-US" w:eastAsia="fr-FR"/>
        </w:rPr>
        <w:t>3</w:t>
      </w:r>
      <w:r w:rsidRPr="00BC6563">
        <w:rPr>
          <w:rFonts w:ascii="Arial" w:hAnsi="Arial" w:cs="Arial"/>
          <w:color w:val="201F1E"/>
          <w:sz w:val="22"/>
          <w:szCs w:val="22"/>
          <w:bdr w:val="none" w:sz="0" w:space="0" w:color="auto" w:frame="1"/>
          <w:lang w:val="en-US" w:eastAsia="fr-FR"/>
        </w:rPr>
        <w:t>, Sébastien Boutry</w:t>
      </w:r>
      <w:r w:rsidRPr="00BC6563">
        <w:rPr>
          <w:rFonts w:ascii="Arial" w:hAnsi="Arial" w:cs="Arial"/>
          <w:color w:val="201F1E"/>
          <w:sz w:val="22"/>
          <w:szCs w:val="22"/>
          <w:bdr w:val="none" w:sz="0" w:space="0" w:color="auto" w:frame="1"/>
          <w:vertAlign w:val="superscript"/>
          <w:lang w:val="en-US" w:eastAsia="fr-FR"/>
        </w:rPr>
        <w:t>4</w:t>
      </w:r>
      <w:r w:rsidRPr="00BC6563">
        <w:rPr>
          <w:rFonts w:ascii="Arial" w:hAnsi="Arial" w:cs="Arial"/>
          <w:color w:val="201F1E"/>
          <w:sz w:val="22"/>
          <w:szCs w:val="22"/>
          <w:bdr w:val="none" w:sz="0" w:space="0" w:color="auto" w:frame="1"/>
          <w:lang w:val="en-US" w:eastAsia="fr-FR"/>
        </w:rPr>
        <w:t>, Olivier Vachez</w:t>
      </w:r>
      <w:r w:rsidRPr="00BC6563">
        <w:rPr>
          <w:rFonts w:ascii="Arial" w:hAnsi="Arial" w:cs="Arial"/>
          <w:color w:val="201F1E"/>
          <w:sz w:val="22"/>
          <w:szCs w:val="22"/>
          <w:bdr w:val="none" w:sz="0" w:space="0" w:color="auto" w:frame="1"/>
          <w:vertAlign w:val="superscript"/>
          <w:lang w:val="en-US" w:eastAsia="fr-FR"/>
        </w:rPr>
        <w:t>3</w:t>
      </w:r>
      <w:r w:rsidRPr="00BC6563">
        <w:rPr>
          <w:rFonts w:ascii="Arial" w:hAnsi="Arial" w:cs="Arial"/>
          <w:color w:val="201F1E"/>
          <w:sz w:val="22"/>
          <w:szCs w:val="22"/>
          <w:bdr w:val="none" w:sz="0" w:space="0" w:color="auto" w:frame="1"/>
          <w:lang w:val="en-US" w:eastAsia="fr-FR"/>
        </w:rPr>
        <w:t>, Luce Vander Elst</w:t>
      </w:r>
      <w:r w:rsidRPr="00BC6563">
        <w:rPr>
          <w:rFonts w:ascii="Arial" w:hAnsi="Arial" w:cs="Arial"/>
          <w:color w:val="201F1E"/>
          <w:sz w:val="22"/>
          <w:szCs w:val="22"/>
          <w:bdr w:val="none" w:sz="0" w:space="0" w:color="auto" w:frame="1"/>
          <w:vertAlign w:val="superscript"/>
          <w:lang w:val="en-US" w:eastAsia="fr-FR"/>
        </w:rPr>
        <w:t>1</w:t>
      </w:r>
      <w:r w:rsidRPr="00BC6563">
        <w:rPr>
          <w:rFonts w:ascii="Arial" w:hAnsi="Arial" w:cs="Arial"/>
          <w:color w:val="201F1E"/>
          <w:sz w:val="22"/>
          <w:szCs w:val="22"/>
          <w:bdr w:val="none" w:sz="0" w:space="0" w:color="auto" w:frame="1"/>
          <w:lang w:val="en-US" w:eastAsia="fr-FR"/>
        </w:rPr>
        <w:t>, Marc Port</w:t>
      </w:r>
      <w:r w:rsidRPr="00BC6563">
        <w:rPr>
          <w:rFonts w:ascii="Arial" w:hAnsi="Arial" w:cs="Arial"/>
          <w:color w:val="201F1E"/>
          <w:sz w:val="22"/>
          <w:szCs w:val="22"/>
          <w:bdr w:val="none" w:sz="0" w:space="0" w:color="auto" w:frame="1"/>
          <w:vertAlign w:val="superscript"/>
          <w:lang w:val="en-US" w:eastAsia="fr-FR"/>
        </w:rPr>
        <w:t>3</w:t>
      </w:r>
      <w:r w:rsidRPr="00BC6563">
        <w:rPr>
          <w:rFonts w:ascii="Arial" w:hAnsi="Arial" w:cs="Arial"/>
          <w:color w:val="201F1E"/>
          <w:sz w:val="22"/>
          <w:szCs w:val="22"/>
          <w:bdr w:val="none" w:sz="0" w:space="0" w:color="auto" w:frame="1"/>
          <w:lang w:val="en-US" w:eastAsia="fr-FR"/>
        </w:rPr>
        <w:t>, Robert N. Muller</w:t>
      </w:r>
      <w:r w:rsidRPr="00BC6563">
        <w:rPr>
          <w:rFonts w:ascii="Arial" w:hAnsi="Arial" w:cs="Arial"/>
          <w:color w:val="201F1E"/>
          <w:sz w:val="22"/>
          <w:szCs w:val="22"/>
          <w:bdr w:val="none" w:sz="0" w:space="0" w:color="auto" w:frame="1"/>
          <w:vertAlign w:val="superscript"/>
          <w:lang w:val="en-US" w:eastAsia="fr-FR"/>
        </w:rPr>
        <w:t>1, 4</w:t>
      </w:r>
      <w:r w:rsidRPr="00BC6563">
        <w:rPr>
          <w:rFonts w:ascii="Arial" w:hAnsi="Arial" w:cs="Arial"/>
          <w:color w:val="201F1E"/>
          <w:sz w:val="22"/>
          <w:szCs w:val="22"/>
          <w:bdr w:val="none" w:sz="0" w:space="0" w:color="auto" w:frame="1"/>
          <w:lang w:val="en-US" w:eastAsia="fr-FR"/>
        </w:rPr>
        <w:t>, Olivier Sandre</w:t>
      </w:r>
      <w:r w:rsidRPr="00BC6563">
        <w:rPr>
          <w:rFonts w:ascii="Arial" w:hAnsi="Arial" w:cs="Arial"/>
          <w:color w:val="201F1E"/>
          <w:sz w:val="22"/>
          <w:szCs w:val="22"/>
          <w:bdr w:val="none" w:sz="0" w:space="0" w:color="auto" w:frame="1"/>
          <w:vertAlign w:val="superscript"/>
          <w:lang w:val="en-US" w:eastAsia="fr-FR"/>
        </w:rPr>
        <w:t>2</w:t>
      </w:r>
      <w:r w:rsidRPr="00BC6563">
        <w:rPr>
          <w:rFonts w:ascii="Arial" w:hAnsi="Arial" w:cs="Arial"/>
          <w:color w:val="201F1E"/>
          <w:sz w:val="22"/>
          <w:szCs w:val="22"/>
          <w:bdr w:val="none" w:sz="0" w:space="0" w:color="auto" w:frame="1"/>
          <w:lang w:val="en-US" w:eastAsia="fr-FR"/>
        </w:rPr>
        <w:t>, Sophie Laurent</w:t>
      </w:r>
      <w:r w:rsidRPr="00BC6563">
        <w:rPr>
          <w:rFonts w:ascii="Arial" w:hAnsi="Arial" w:cs="Arial"/>
          <w:color w:val="201F1E"/>
          <w:sz w:val="22"/>
          <w:szCs w:val="22"/>
          <w:bdr w:val="none" w:sz="0" w:space="0" w:color="auto" w:frame="1"/>
          <w:vertAlign w:val="superscript"/>
          <w:lang w:val="en-US" w:eastAsia="fr-FR"/>
        </w:rPr>
        <w:t>1, 4</w:t>
      </w:r>
      <w:r w:rsidRPr="00BC6563">
        <w:rPr>
          <w:rFonts w:ascii="Arial" w:hAnsi="Arial" w:cs="Arial"/>
          <w:i/>
          <w:iCs/>
          <w:color w:val="201F1E"/>
          <w:sz w:val="22"/>
          <w:szCs w:val="22"/>
          <w:bdr w:val="none" w:sz="0" w:space="0" w:color="auto" w:frame="1"/>
          <w:lang w:val="en-US" w:eastAsia="fr-FR"/>
        </w:rPr>
        <w:br/>
        <w:t>1 University of Mons, General, Organic and Biomedical Chemistry, NMR and Molecular Imaging Laboratory, Mons, Belgium</w:t>
      </w:r>
      <w:r w:rsidRPr="00BC6563">
        <w:rPr>
          <w:rFonts w:ascii="Arial" w:hAnsi="Arial" w:cs="Arial"/>
          <w:i/>
          <w:iCs/>
          <w:color w:val="201F1E"/>
          <w:sz w:val="22"/>
          <w:szCs w:val="22"/>
          <w:bdr w:val="none" w:sz="0" w:space="0" w:color="auto" w:frame="1"/>
          <w:lang w:val="en-US" w:eastAsia="fr-FR"/>
        </w:rPr>
        <w:br/>
        <w:t>2 University of Bordeaux, CNRS, Bordeaux INP, ENSCBP, Laboratory of Organic Polymer Chemistry (LCPO), Pessac, France</w:t>
      </w:r>
      <w:r w:rsidRPr="00BC6563">
        <w:rPr>
          <w:rFonts w:ascii="Arial" w:hAnsi="Arial" w:cs="Arial"/>
          <w:i/>
          <w:iCs/>
          <w:color w:val="201F1E"/>
          <w:sz w:val="22"/>
          <w:szCs w:val="22"/>
          <w:bdr w:val="none" w:sz="0" w:space="0" w:color="auto" w:frame="1"/>
          <w:lang w:val="en-US" w:eastAsia="fr-FR"/>
        </w:rPr>
        <w:br/>
        <w:t>3 Conservatoire national des arts et métiers (CNAM), GBCM Laboratory, EA 7528, HESAM Université, Paris, France</w:t>
      </w:r>
      <w:r w:rsidRPr="00BC6563">
        <w:rPr>
          <w:rFonts w:ascii="Arial" w:hAnsi="Arial" w:cs="Arial"/>
          <w:i/>
          <w:iCs/>
          <w:color w:val="201F1E"/>
          <w:sz w:val="22"/>
          <w:szCs w:val="22"/>
          <w:bdr w:val="none" w:sz="0" w:space="0" w:color="auto" w:frame="1"/>
          <w:lang w:val="en-US" w:eastAsia="fr-FR"/>
        </w:rPr>
        <w:br/>
        <w:t>4 Center for microscopy and molecular imaging (CMMI), Charleroi, Belgium</w:t>
      </w:r>
    </w:p>
    <w:p w14:paraId="50390DF7"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Arial" w:hAnsi="Arial" w:cs="Arial"/>
          <w:b/>
          <w:bCs/>
          <w:color w:val="201F1E"/>
          <w:sz w:val="22"/>
          <w:szCs w:val="22"/>
          <w:bdr w:val="none" w:sz="0" w:space="0" w:color="auto" w:frame="1"/>
          <w:lang w:val="en-US" w:eastAsia="fr-FR"/>
        </w:rPr>
        <w:t>Introduction</w:t>
      </w:r>
    </w:p>
    <w:p w14:paraId="37D9A841"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t>Magnetic resonance imaging (MRI) is a powerful technique due to its high resolution. Its low sensitivity can be relieved by a contrast agent, but the commercial contrast agents are gadolinium complexes which can lead to NSF disease.</w:t>
      </w:r>
      <w:r w:rsidRPr="00BC6563">
        <w:rPr>
          <w:rFonts w:ascii="inherit" w:hAnsi="inherit" w:cs="Times New Roman"/>
          <w:color w:val="201F1E"/>
          <w:sz w:val="22"/>
          <w:szCs w:val="22"/>
          <w:bdr w:val="none" w:sz="0" w:space="0" w:color="auto" w:frame="1"/>
          <w:vertAlign w:val="superscript"/>
          <w:lang w:val="en-US" w:eastAsia="fr-FR"/>
        </w:rPr>
        <w:t>1</w:t>
      </w:r>
      <w:r w:rsidRPr="00BC6563">
        <w:rPr>
          <w:rFonts w:ascii="inherit" w:hAnsi="inherit" w:cs="Times New Roman"/>
          <w:color w:val="201F1E"/>
          <w:sz w:val="22"/>
          <w:szCs w:val="22"/>
          <w:bdr w:val="none" w:sz="0" w:space="0" w:color="auto" w:frame="1"/>
          <w:lang w:val="en-US" w:eastAsia="fr-FR"/>
        </w:rPr>
        <w:t> That is why the synthesis of complexes based on another cation, like manganese</w:t>
      </w:r>
      <w:r w:rsidRPr="00BC6563">
        <w:rPr>
          <w:rFonts w:ascii="inherit" w:hAnsi="inherit" w:cs="Times New Roman"/>
          <w:color w:val="201F1E"/>
          <w:sz w:val="22"/>
          <w:szCs w:val="22"/>
          <w:bdr w:val="none" w:sz="0" w:space="0" w:color="auto" w:frame="1"/>
          <w:vertAlign w:val="superscript"/>
          <w:lang w:val="en-US" w:eastAsia="fr-FR"/>
        </w:rPr>
        <w:t>2</w:t>
      </w:r>
      <w:r w:rsidRPr="00BC6563">
        <w:rPr>
          <w:rFonts w:ascii="inherit" w:hAnsi="inherit" w:cs="Times New Roman"/>
          <w:color w:val="201F1E"/>
          <w:sz w:val="22"/>
          <w:szCs w:val="22"/>
          <w:bdr w:val="none" w:sz="0" w:space="0" w:color="auto" w:frame="1"/>
          <w:lang w:val="en-US" w:eastAsia="fr-FR"/>
        </w:rPr>
        <w:t xml:space="preserve">, is interesting because they are potentially less toxic. To increase their efficacy, their incorporation into a polymersome is envisaged to increase the rotational correlation time </w:t>
      </w:r>
      <w:r w:rsidRPr="00BC6563">
        <w:rPr>
          <w:rFonts w:ascii="inherit" w:hAnsi="inherit" w:cs="Times New Roman"/>
          <w:color w:val="201F1E"/>
          <w:sz w:val="22"/>
          <w:szCs w:val="22"/>
          <w:bdr w:val="none" w:sz="0" w:space="0" w:color="auto" w:frame="1"/>
          <w:lang w:eastAsia="fr-FR"/>
        </w:rPr>
        <w:t>τ</w:t>
      </w:r>
      <w:r w:rsidRPr="00BC6563">
        <w:rPr>
          <w:rFonts w:ascii="inherit" w:hAnsi="inherit" w:cs="Times New Roman"/>
          <w:color w:val="201F1E"/>
          <w:sz w:val="22"/>
          <w:szCs w:val="22"/>
          <w:bdr w:val="none" w:sz="0" w:space="0" w:color="auto" w:frame="1"/>
          <w:vertAlign w:val="subscript"/>
          <w:lang w:val="en-US" w:eastAsia="fr-FR"/>
        </w:rPr>
        <w:t>R</w:t>
      </w:r>
      <w:r w:rsidRPr="00BC6563">
        <w:rPr>
          <w:rFonts w:ascii="inherit" w:hAnsi="inherit" w:cs="Times New Roman"/>
          <w:color w:val="201F1E"/>
          <w:sz w:val="22"/>
          <w:szCs w:val="22"/>
          <w:bdr w:val="none" w:sz="0" w:space="0" w:color="auto" w:frame="1"/>
          <w:lang w:val="en-US" w:eastAsia="fr-FR"/>
        </w:rPr>
        <w:t>. A fluorescent probe will also be incorporated to obtain a bimodal system active in optical imaging.</w:t>
      </w:r>
    </w:p>
    <w:p w14:paraId="34189231"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Arial" w:hAnsi="Arial" w:cs="Arial"/>
          <w:b/>
          <w:bCs/>
          <w:color w:val="201F1E"/>
          <w:sz w:val="22"/>
          <w:szCs w:val="22"/>
          <w:bdr w:val="none" w:sz="0" w:space="0" w:color="auto" w:frame="1"/>
          <w:lang w:val="en-US" w:eastAsia="fr-FR"/>
        </w:rPr>
        <w:t>Methods</w:t>
      </w:r>
    </w:p>
    <w:p w14:paraId="2DAD2DB4"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t>The pyclen macrocycle is obtained by a macrocyclization between an upper part and a lower part appropriately functionalized to allow selective deprotection steps, as well as the presence of a limited number of coordinating atoms. An arm present on the pyridine moiety allows the functionalization of the molecule. The final product is obtained by some deprotection reactions followed by a coupling reaction on the arm and finally the deprotection of -tBu groups to complex the ligand with manganese ions.</w:t>
      </w:r>
      <w:r w:rsidRPr="00BC6563">
        <w:rPr>
          <w:rFonts w:ascii="inherit" w:hAnsi="inherit" w:cs="Times New Roman"/>
          <w:color w:val="201F1E"/>
          <w:sz w:val="22"/>
          <w:szCs w:val="22"/>
          <w:bdr w:val="none" w:sz="0" w:space="0" w:color="auto" w:frame="1"/>
          <w:vertAlign w:val="superscript"/>
          <w:lang w:val="en-US" w:eastAsia="fr-FR"/>
        </w:rPr>
        <w:t>3</w:t>
      </w:r>
    </w:p>
    <w:p w14:paraId="67BF2C4D"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t>The polymer vesicles also called polymersomes, composed of a pH sensible diblock PEO-b-PCL, are obtained by the nanoprecipitation route in the presence in the aqueous phase of ZW800-1, an indocyanine green derivative. (Figure 1) They are then purified by size exclusion chromatography.</w:t>
      </w:r>
    </w:p>
    <w:p w14:paraId="2C1384FA"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Arial" w:hAnsi="Arial" w:cs="Arial"/>
          <w:b/>
          <w:bCs/>
          <w:color w:val="201F1E"/>
          <w:sz w:val="22"/>
          <w:szCs w:val="22"/>
          <w:bdr w:val="none" w:sz="0" w:space="0" w:color="auto" w:frame="1"/>
          <w:lang w:val="en-US" w:eastAsia="fr-FR"/>
        </w:rPr>
        <w:t>Results/Discussion</w:t>
      </w:r>
    </w:p>
    <w:p w14:paraId="03E14018"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t>Each intermediate were completely characterized by NMR and mass spectrometry to attest their structure. The obtained pyclen based manganese complexes were then fully characterized by relaxometry to evidence their efficacy. The presence of one fast exchanging water molecule in the inner coordination sphere of the metal cation was evidenced by </w:t>
      </w:r>
      <w:r w:rsidRPr="00BC6563">
        <w:rPr>
          <w:rFonts w:ascii="inherit" w:hAnsi="inherit" w:cs="Times New Roman"/>
          <w:color w:val="201F1E"/>
          <w:sz w:val="22"/>
          <w:szCs w:val="22"/>
          <w:bdr w:val="none" w:sz="0" w:space="0" w:color="auto" w:frame="1"/>
          <w:vertAlign w:val="superscript"/>
          <w:lang w:val="en-US" w:eastAsia="fr-FR"/>
        </w:rPr>
        <w:t>17</w:t>
      </w:r>
      <w:r w:rsidRPr="00BC6563">
        <w:rPr>
          <w:rFonts w:ascii="inherit" w:hAnsi="inherit" w:cs="Times New Roman"/>
          <w:color w:val="201F1E"/>
          <w:sz w:val="22"/>
          <w:szCs w:val="22"/>
          <w:bdr w:val="none" w:sz="0" w:space="0" w:color="auto" w:frame="1"/>
          <w:lang w:val="en-US" w:eastAsia="fr-FR"/>
        </w:rPr>
        <w:t xml:space="preserve">O NMR. Their NMRD profiles were then recorded and fitted with the Solomon and Bloembergen model. This has allowed to show a slight increase of the relaxivity when the arm is present on the pyridine moiety due to a slight increase of </w:t>
      </w:r>
      <w:r w:rsidRPr="00BC6563">
        <w:rPr>
          <w:rFonts w:ascii="inherit" w:hAnsi="inherit" w:cs="Times New Roman"/>
          <w:color w:val="201F1E"/>
          <w:sz w:val="22"/>
          <w:szCs w:val="22"/>
          <w:bdr w:val="none" w:sz="0" w:space="0" w:color="auto" w:frame="1"/>
          <w:lang w:eastAsia="fr-FR"/>
        </w:rPr>
        <w:t>τ</w:t>
      </w:r>
      <w:r w:rsidRPr="00BC6563">
        <w:rPr>
          <w:rFonts w:ascii="inherit" w:hAnsi="inherit" w:cs="Times New Roman"/>
          <w:color w:val="201F1E"/>
          <w:sz w:val="22"/>
          <w:szCs w:val="22"/>
          <w:bdr w:val="none" w:sz="0" w:space="0" w:color="auto" w:frame="1"/>
          <w:vertAlign w:val="subscript"/>
          <w:lang w:val="en-US" w:eastAsia="fr-FR"/>
        </w:rPr>
        <w:t>R</w:t>
      </w:r>
      <w:r w:rsidRPr="00BC6563">
        <w:rPr>
          <w:rFonts w:ascii="inherit" w:hAnsi="inherit" w:cs="Times New Roman"/>
          <w:color w:val="201F1E"/>
          <w:sz w:val="22"/>
          <w:szCs w:val="22"/>
          <w:bdr w:val="none" w:sz="0" w:space="0" w:color="auto" w:frame="1"/>
          <w:lang w:val="en-US" w:eastAsia="fr-FR"/>
        </w:rPr>
        <w:t>.</w:t>
      </w:r>
      <w:r w:rsidRPr="00BC6563">
        <w:rPr>
          <w:rFonts w:ascii="inherit" w:hAnsi="inherit" w:cs="Times New Roman"/>
          <w:color w:val="201F1E"/>
          <w:sz w:val="22"/>
          <w:szCs w:val="22"/>
          <w:bdr w:val="none" w:sz="0" w:space="0" w:color="auto" w:frame="1"/>
          <w:vertAlign w:val="superscript"/>
          <w:lang w:val="en-US" w:eastAsia="fr-FR"/>
        </w:rPr>
        <w:t>3</w:t>
      </w:r>
    </w:p>
    <w:p w14:paraId="736480F4"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t>Polymersomes were prepared in different conditions by varying the hydrophobic block length of the copolymer. They were then characterized by DLS and MALS in order to obtain both their hydrodynamic and gyration radii and demonstrate their structure. The rate of encapsulation of the fluorescent probe was also determined by fluorescence spectroscopy to optimize it and to perform model drug release experiments.</w:t>
      </w:r>
    </w:p>
    <w:p w14:paraId="71B3FF3B"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Arial" w:hAnsi="Arial" w:cs="Arial"/>
          <w:b/>
          <w:bCs/>
          <w:color w:val="201F1E"/>
          <w:sz w:val="22"/>
          <w:szCs w:val="22"/>
          <w:bdr w:val="none" w:sz="0" w:space="0" w:color="auto" w:frame="1"/>
          <w:lang w:val="en-US" w:eastAsia="fr-FR"/>
        </w:rPr>
        <w:t>Conclusions</w:t>
      </w:r>
    </w:p>
    <w:p w14:paraId="21537E89"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lastRenderedPageBreak/>
        <w:t>The pyclen derivatives complexed with manganese cations were obtained and fully characterized. Their T</w:t>
      </w:r>
      <w:r w:rsidRPr="00BC6563">
        <w:rPr>
          <w:rFonts w:ascii="inherit" w:hAnsi="inherit" w:cs="Times New Roman"/>
          <w:color w:val="201F1E"/>
          <w:sz w:val="22"/>
          <w:szCs w:val="22"/>
          <w:bdr w:val="none" w:sz="0" w:space="0" w:color="auto" w:frame="1"/>
          <w:vertAlign w:val="subscript"/>
          <w:lang w:val="en-US" w:eastAsia="fr-FR"/>
        </w:rPr>
        <w:t>1</w:t>
      </w:r>
      <w:r w:rsidRPr="00BC6563">
        <w:rPr>
          <w:rFonts w:ascii="inherit" w:hAnsi="inherit" w:cs="Times New Roman"/>
          <w:color w:val="201F1E"/>
          <w:sz w:val="22"/>
          <w:szCs w:val="22"/>
          <w:bdr w:val="none" w:sz="0" w:space="0" w:color="auto" w:frame="1"/>
          <w:lang w:val="en-US" w:eastAsia="fr-FR"/>
        </w:rPr>
        <w:t>relaxivities are close to that of the Dotarem</w:t>
      </w:r>
      <w:r w:rsidRPr="00BC6563">
        <w:rPr>
          <w:rFonts w:ascii="inherit" w:hAnsi="inherit" w:cs="Times New Roman"/>
          <w:color w:val="201F1E"/>
          <w:sz w:val="22"/>
          <w:szCs w:val="22"/>
          <w:bdr w:val="none" w:sz="0" w:space="0" w:color="auto" w:frame="1"/>
          <w:vertAlign w:val="superscript"/>
          <w:lang w:val="en-US" w:eastAsia="fr-FR"/>
        </w:rPr>
        <w:t>®</w:t>
      </w:r>
      <w:r w:rsidRPr="00BC6563">
        <w:rPr>
          <w:rFonts w:ascii="inherit" w:hAnsi="inherit" w:cs="Times New Roman"/>
          <w:color w:val="201F1E"/>
          <w:sz w:val="22"/>
          <w:szCs w:val="22"/>
          <w:bdr w:val="none" w:sz="0" w:space="0" w:color="auto" w:frame="1"/>
          <w:lang w:val="en-US" w:eastAsia="fr-FR"/>
        </w:rPr>
        <w:t> commercial MR contrast agent. Fluorescent polymersomes active in optical imaging were also obtained and characterized. In a near future, the manganese complexes will be incorporated in the polymersomes to increase their efficacy and obtain a bimodal probe active in both MRI and optical imaging.</w:t>
      </w:r>
    </w:p>
    <w:p w14:paraId="1B2A0A3D"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Arial" w:hAnsi="Arial" w:cs="Arial"/>
          <w:b/>
          <w:bCs/>
          <w:color w:val="201F1E"/>
          <w:sz w:val="22"/>
          <w:szCs w:val="22"/>
          <w:bdr w:val="none" w:sz="0" w:space="0" w:color="auto" w:frame="1"/>
          <w:lang w:val="en-US" w:eastAsia="fr-FR"/>
        </w:rPr>
        <w:t>Acknowledgement </w:t>
      </w:r>
    </w:p>
    <w:p w14:paraId="36D7900A"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t>This work was performed with the financial support of SIRIC BRIO (COMMUNCAN), FNRS, ARC, the Walloon Region (Gadolymph, Holocancer and Interreg projects), and the COST actions. Authors thank the Center for Microscopy and Molecular Imaging (CMMI), supported by European Regional Development Fund and Wallonia.</w:t>
      </w:r>
    </w:p>
    <w:p w14:paraId="06BDAD39"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Arial" w:hAnsi="Arial" w:cs="Arial"/>
          <w:b/>
          <w:bCs/>
          <w:color w:val="201F1E"/>
          <w:sz w:val="22"/>
          <w:szCs w:val="22"/>
          <w:bdr w:val="none" w:sz="0" w:space="0" w:color="auto" w:frame="1"/>
          <w:lang w:val="en-US" w:eastAsia="fr-FR"/>
        </w:rPr>
        <w:t>Disclosure</w:t>
      </w:r>
    </w:p>
    <w:p w14:paraId="35AB122A" w14:textId="77777777" w:rsidR="00BC6563" w:rsidRPr="00BC6563" w:rsidRDefault="00BC6563" w:rsidP="00BC6563">
      <w:pPr>
        <w:spacing w:beforeAutospacing="1" w:afterAutospacing="1"/>
        <w:rPr>
          <w:rFonts w:ascii="Helvetica Neue" w:hAnsi="Helvetica Neue" w:cs="Times New Roman"/>
          <w:color w:val="201F1E"/>
          <w:sz w:val="23"/>
          <w:szCs w:val="23"/>
          <w:lang w:val="en-US" w:eastAsia="fr-FR"/>
        </w:rPr>
      </w:pPr>
      <w:r w:rsidRPr="00BC6563">
        <w:rPr>
          <w:rFonts w:ascii="inherit" w:hAnsi="inherit" w:cs="Times New Roman"/>
          <w:color w:val="201F1E"/>
          <w:sz w:val="22"/>
          <w:szCs w:val="22"/>
          <w:bdr w:val="none" w:sz="0" w:space="0" w:color="auto" w:frame="1"/>
          <w:lang w:val="en-US" w:eastAsia="fr-FR"/>
        </w:rPr>
        <w:t>I or one of my co-authors have no financial interest or relationship to disclose regarding the subject matter of this presentation.</w:t>
      </w:r>
    </w:p>
    <w:p w14:paraId="7EE4A068" w14:textId="77777777" w:rsidR="00BC6563" w:rsidRPr="00BC6563" w:rsidRDefault="00BC6563" w:rsidP="00BC6563">
      <w:pPr>
        <w:spacing w:beforeAutospacing="1" w:afterAutospacing="1"/>
        <w:rPr>
          <w:rFonts w:ascii="Helvetica Neue" w:hAnsi="Helvetica Neue" w:cs="Times New Roman"/>
          <w:color w:val="201F1E"/>
          <w:sz w:val="23"/>
          <w:szCs w:val="23"/>
          <w:lang w:eastAsia="fr-FR"/>
        </w:rPr>
      </w:pPr>
      <w:r w:rsidRPr="00BC6563">
        <w:rPr>
          <w:rFonts w:ascii="Arial" w:hAnsi="Arial" w:cs="Arial"/>
          <w:b/>
          <w:bCs/>
          <w:color w:val="201F1E"/>
          <w:sz w:val="22"/>
          <w:szCs w:val="22"/>
          <w:bdr w:val="none" w:sz="0" w:space="0" w:color="auto" w:frame="1"/>
          <w:lang w:val="en-US" w:eastAsia="fr-FR"/>
        </w:rPr>
        <w:t>References</w:t>
      </w:r>
      <w:r w:rsidRPr="00BC6563">
        <w:rPr>
          <w:rFonts w:ascii="inherit" w:hAnsi="inherit" w:cs="Times New Roman"/>
          <w:color w:val="201F1E"/>
          <w:sz w:val="22"/>
          <w:szCs w:val="22"/>
          <w:bdr w:val="none" w:sz="0" w:space="0" w:color="auto" w:frame="1"/>
          <w:lang w:val="en-US" w:eastAsia="fr-FR"/>
        </w:rPr>
        <w:br/>
        <w:t>1</w:t>
      </w:r>
      <w:r w:rsidRPr="00BC6563">
        <w:rPr>
          <w:rFonts w:ascii="inherit" w:hAnsi="inherit" w:cs="Times New Roman"/>
          <w:color w:val="201F1E"/>
          <w:sz w:val="22"/>
          <w:szCs w:val="22"/>
          <w:bdr w:val="none" w:sz="0" w:space="0" w:color="auto" w:frame="1"/>
          <w:lang w:eastAsia="fr-FR"/>
        </w:rPr>
        <w:t> </w:t>
      </w:r>
      <w:r w:rsidRPr="00BC6563">
        <w:rPr>
          <w:rFonts w:ascii="inherit" w:hAnsi="inherit" w:cs="Times New Roman"/>
          <w:color w:val="201F1E"/>
          <w:sz w:val="22"/>
          <w:szCs w:val="22"/>
          <w:bdr w:val="none" w:sz="0" w:space="0" w:color="auto" w:frame="1"/>
          <w:lang w:val="en-US" w:eastAsia="fr-FR"/>
        </w:rPr>
        <w:t>Beam, A. S., Moore, K. G., Gillis, S. N., Ford, K. F., Gray, T., Steinwinde, A. H., Graham, A. A., "GBCAs and risk for nephrogenic systemic fibrosis: A literature review.", Radiol. Technol., 2017, 88, 583−589.</w:t>
      </w:r>
      <w:r w:rsidRPr="00BC6563">
        <w:rPr>
          <w:rFonts w:ascii="PMingLiU" w:eastAsia="PMingLiU" w:hAnsi="PMingLiU" w:cs="PMingLiU"/>
          <w:color w:val="201F1E"/>
          <w:sz w:val="22"/>
          <w:szCs w:val="22"/>
          <w:bdr w:val="none" w:sz="0" w:space="0" w:color="auto" w:frame="1"/>
          <w:lang w:val="en-US" w:eastAsia="fr-FR"/>
        </w:rPr>
        <w:br/>
      </w:r>
      <w:r w:rsidRPr="00BC6563">
        <w:rPr>
          <w:rFonts w:ascii="inherit" w:hAnsi="inherit" w:cs="Times New Roman"/>
          <w:color w:val="201F1E"/>
          <w:sz w:val="22"/>
          <w:szCs w:val="22"/>
          <w:bdr w:val="none" w:sz="0" w:space="0" w:color="auto" w:frame="1"/>
          <w:lang w:val="en-US" w:eastAsia="fr-FR"/>
        </w:rPr>
        <w:t>2</w:t>
      </w:r>
      <w:r w:rsidRPr="00BC6563">
        <w:rPr>
          <w:rFonts w:ascii="inherit" w:hAnsi="inherit" w:cs="Times New Roman"/>
          <w:color w:val="201F1E"/>
          <w:sz w:val="22"/>
          <w:szCs w:val="22"/>
          <w:bdr w:val="none" w:sz="0" w:space="0" w:color="auto" w:frame="1"/>
          <w:lang w:eastAsia="fr-FR"/>
        </w:rPr>
        <w:t> </w:t>
      </w:r>
      <w:r w:rsidRPr="00BC6563">
        <w:rPr>
          <w:rFonts w:ascii="inherit" w:hAnsi="inherit" w:cs="Times New Roman"/>
          <w:color w:val="201F1E"/>
          <w:sz w:val="22"/>
          <w:szCs w:val="22"/>
          <w:bdr w:val="none" w:sz="0" w:space="0" w:color="auto" w:frame="1"/>
          <w:lang w:val="en-US" w:eastAsia="fr-FR"/>
        </w:rPr>
        <w:t>Botta, M., Carniato, F., Esteban-Gómez, D., Platas-Iglesias, C., Tei, L., "Mn(II) compounds as an alternative to Gd-based MRI probes.", Future Med. Chem., 2019, 11, 1461−1483.</w:t>
      </w:r>
      <w:r w:rsidRPr="00BC6563">
        <w:rPr>
          <w:rFonts w:ascii="PMingLiU" w:eastAsia="PMingLiU" w:hAnsi="PMingLiU" w:cs="PMingLiU"/>
          <w:color w:val="201F1E"/>
          <w:sz w:val="22"/>
          <w:szCs w:val="22"/>
          <w:bdr w:val="none" w:sz="0" w:space="0" w:color="auto" w:frame="1"/>
          <w:lang w:val="en-US" w:eastAsia="fr-FR"/>
        </w:rPr>
        <w:br/>
      </w:r>
      <w:r w:rsidRPr="00BC6563">
        <w:rPr>
          <w:rFonts w:ascii="inherit" w:hAnsi="inherit" w:cs="Times New Roman"/>
          <w:color w:val="201F1E"/>
          <w:sz w:val="22"/>
          <w:szCs w:val="22"/>
          <w:bdr w:val="none" w:sz="0" w:space="0" w:color="auto" w:frame="1"/>
          <w:lang w:val="en-US" w:eastAsia="fr-FR"/>
        </w:rPr>
        <w:t>3</w:t>
      </w:r>
      <w:r w:rsidRPr="00BC6563">
        <w:rPr>
          <w:rFonts w:ascii="inherit" w:hAnsi="inherit" w:cs="Times New Roman"/>
          <w:color w:val="201F1E"/>
          <w:sz w:val="22"/>
          <w:szCs w:val="22"/>
          <w:bdr w:val="none" w:sz="0" w:space="0" w:color="auto" w:frame="1"/>
          <w:lang w:eastAsia="fr-FR"/>
        </w:rPr>
        <w:t> </w:t>
      </w:r>
      <w:r w:rsidRPr="00BC6563">
        <w:rPr>
          <w:rFonts w:ascii="inherit" w:hAnsi="inherit" w:cs="Times New Roman"/>
          <w:color w:val="201F1E"/>
          <w:sz w:val="22"/>
          <w:szCs w:val="22"/>
          <w:bdr w:val="none" w:sz="0" w:space="0" w:color="auto" w:frame="1"/>
          <w:lang w:val="en-US" w:eastAsia="fr-FR"/>
        </w:rPr>
        <w:t xml:space="preserve">Devreux, M., Henoumont, C., Dioury, F., Boutry, S., Vacher, O., Vander Elst, L., Port, M., Muller, R. N., Sandre, O., Laurent, S., "Mn2+ Complexes with Pyclen-Based Derivatives as Contrast Agents for Magnetic Resonance Imaging: Synthesis and Relaxometry Characterization.", Inorg. </w:t>
      </w:r>
      <w:proofErr w:type="spellStart"/>
      <w:r w:rsidRPr="00BC6563">
        <w:rPr>
          <w:rFonts w:ascii="inherit" w:hAnsi="inherit" w:cs="Times New Roman"/>
          <w:color w:val="201F1E"/>
          <w:sz w:val="22"/>
          <w:szCs w:val="22"/>
          <w:bdr w:val="none" w:sz="0" w:space="0" w:color="auto" w:frame="1"/>
          <w:lang w:eastAsia="fr-FR"/>
        </w:rPr>
        <w:t>Chem</w:t>
      </w:r>
      <w:proofErr w:type="spellEnd"/>
      <w:r w:rsidRPr="00BC6563">
        <w:rPr>
          <w:rFonts w:ascii="inherit" w:hAnsi="inherit" w:cs="Times New Roman"/>
          <w:color w:val="201F1E"/>
          <w:sz w:val="22"/>
          <w:szCs w:val="22"/>
          <w:bdr w:val="none" w:sz="0" w:space="0" w:color="auto" w:frame="1"/>
          <w:lang w:eastAsia="fr-FR"/>
        </w:rPr>
        <w:t>., 2021, 60, 3604−3619</w:t>
      </w:r>
    </w:p>
    <w:p w14:paraId="23EABD1B" w14:textId="77777777" w:rsidR="0000031A" w:rsidRDefault="00BC6563">
      <w:bookmarkStart w:id="0" w:name="_GoBack"/>
      <w:bookmarkEnd w:id="0"/>
    </w:p>
    <w:sectPr w:rsidR="0000031A" w:rsidSect="00AB02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3"/>
    <w:rsid w:val="00371BC8"/>
    <w:rsid w:val="005E171D"/>
    <w:rsid w:val="007A43DB"/>
    <w:rsid w:val="00AB0262"/>
    <w:rsid w:val="00BC6563"/>
    <w:rsid w:val="00E0359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4311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BC6563"/>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6563"/>
    <w:rPr>
      <w:rFonts w:ascii="Times New Roman" w:hAnsi="Times New Roman" w:cs="Times New Roman"/>
      <w:b/>
      <w:bCs/>
      <w:sz w:val="36"/>
      <w:szCs w:val="36"/>
      <w:lang w:eastAsia="fr-FR"/>
    </w:rPr>
  </w:style>
  <w:style w:type="character" w:styleId="lev">
    <w:name w:val="Strong"/>
    <w:basedOn w:val="Policepardfaut"/>
    <w:uiPriority w:val="22"/>
    <w:qFormat/>
    <w:rsid w:val="00BC6563"/>
    <w:rPr>
      <w:b/>
      <w:bCs/>
    </w:rPr>
  </w:style>
  <w:style w:type="paragraph" w:customStyle="1" w:styleId="xmsonormal">
    <w:name w:val="x_msonormal"/>
    <w:basedOn w:val="Normal"/>
    <w:rsid w:val="00BC6563"/>
    <w:pPr>
      <w:spacing w:before="100" w:beforeAutospacing="1" w:after="100" w:afterAutospacing="1"/>
    </w:pPr>
    <w:rPr>
      <w:rFonts w:ascii="Times New Roman" w:hAnsi="Times New Roman" w:cs="Times New Roman"/>
      <w:lang w:eastAsia="fr-FR"/>
    </w:rPr>
  </w:style>
  <w:style w:type="character" w:styleId="Emphase">
    <w:name w:val="Emphasis"/>
    <w:basedOn w:val="Policepardfaut"/>
    <w:uiPriority w:val="20"/>
    <w:qFormat/>
    <w:rsid w:val="00BC6563"/>
    <w:rPr>
      <w:i/>
      <w:iCs/>
    </w:rPr>
  </w:style>
  <w:style w:type="character" w:customStyle="1" w:styleId="apple-converted-space">
    <w:name w:val="apple-converted-space"/>
    <w:basedOn w:val="Policepardfaut"/>
    <w:rsid w:val="00BC6563"/>
  </w:style>
  <w:style w:type="paragraph" w:styleId="Normalweb">
    <w:name w:val="Normal (Web)"/>
    <w:basedOn w:val="Normal"/>
    <w:uiPriority w:val="99"/>
    <w:semiHidden/>
    <w:unhideWhenUsed/>
    <w:rsid w:val="00BC6563"/>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7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4032</Characters>
  <Application>Microsoft Macintosh Word</Application>
  <DocSecurity>0</DocSecurity>
  <Lines>33</Lines>
  <Paragraphs>9</Paragraphs>
  <ScaleCrop>false</ScaleCrop>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Harmach .</dc:creator>
  <cp:keywords/>
  <dc:description/>
  <cp:lastModifiedBy>Harmach .</cp:lastModifiedBy>
  <cp:revision>1</cp:revision>
  <dcterms:created xsi:type="dcterms:W3CDTF">2021-12-20T13:16:00Z</dcterms:created>
  <dcterms:modified xsi:type="dcterms:W3CDTF">2021-12-20T13:16:00Z</dcterms:modified>
</cp:coreProperties>
</file>